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16070" w14:textId="77777777" w:rsidR="009A4B37" w:rsidRPr="00E252FB" w:rsidRDefault="009A4B37">
      <w:pPr>
        <w:rPr>
          <w:rFonts w:cs="Times New Roman"/>
          <w:b/>
          <w:bCs/>
          <w:szCs w:val="24"/>
        </w:rPr>
      </w:pPr>
    </w:p>
    <w:p w14:paraId="50941D5C" w14:textId="77777777" w:rsidR="00FB32F9" w:rsidRPr="00E252FB" w:rsidRDefault="00FB32F9">
      <w:pPr>
        <w:rPr>
          <w:rFonts w:cs="Times New Roman"/>
          <w:b/>
          <w:bCs/>
          <w:szCs w:val="24"/>
        </w:rPr>
      </w:pPr>
    </w:p>
    <w:p w14:paraId="2A2B06AF" w14:textId="77777777" w:rsidR="00FB32F9" w:rsidRPr="00E252FB" w:rsidRDefault="00FB32F9">
      <w:pPr>
        <w:rPr>
          <w:rFonts w:cs="Times New Roman"/>
          <w:b/>
          <w:bCs/>
          <w:szCs w:val="24"/>
        </w:rPr>
      </w:pPr>
    </w:p>
    <w:p w14:paraId="171D54E0" w14:textId="296E6CC1" w:rsidR="0000187D" w:rsidRPr="00E252FB" w:rsidRDefault="0037320E" w:rsidP="0000187D">
      <w:pPr>
        <w:jc w:val="center"/>
        <w:rPr>
          <w:rFonts w:cs="Times New Roman"/>
          <w:b/>
          <w:bCs/>
        </w:rPr>
        <w:sectPr w:rsidR="0000187D" w:rsidRPr="00E252FB" w:rsidSect="00537360">
          <w:footerReference w:type="default" r:id="rId8"/>
          <w:pgSz w:w="12240" w:h="15840"/>
          <w:pgMar w:top="1417" w:right="1417" w:bottom="1417" w:left="1417" w:header="720" w:footer="720" w:gutter="0"/>
          <w:pgNumType w:fmt="lowerRoman" w:start="1"/>
          <w:cols w:space="720"/>
          <w:docGrid w:linePitch="360"/>
        </w:sectPr>
      </w:pPr>
      <w:proofErr w:type="gramStart"/>
      <w:r w:rsidRPr="00E252FB">
        <w:rPr>
          <w:rFonts w:cs="Times New Roman"/>
          <w:b/>
          <w:bCs/>
        </w:rPr>
        <w:t>Tit</w:t>
      </w:r>
      <w:r w:rsidR="00085F33">
        <w:rPr>
          <w:rFonts w:cs="Times New Roman"/>
          <w:b/>
          <w:bCs/>
        </w:rPr>
        <w:t>le</w:t>
      </w:r>
      <w:r w:rsidRPr="00E252FB">
        <w:rPr>
          <w:rFonts w:cs="Times New Roman"/>
          <w:b/>
          <w:bCs/>
        </w:rPr>
        <w:t> :</w:t>
      </w:r>
      <w:proofErr w:type="gramEnd"/>
      <w:r w:rsidRPr="00E252FB">
        <w:rPr>
          <w:rFonts w:cs="Times New Roman"/>
          <w:b/>
          <w:bCs/>
        </w:rPr>
        <w:t xml:space="preserve"> </w:t>
      </w:r>
      <w:r w:rsidR="007153FA" w:rsidRPr="007153FA">
        <w:rPr>
          <w:rFonts w:cs="Times New Roman"/>
          <w:b/>
          <w:bCs/>
        </w:rPr>
        <w:t>Modeling and predicting earthworm diversity and distribution in France: A comparative approach using multiple algorithms</w:t>
      </w:r>
    </w:p>
    <w:p w14:paraId="1DC27ECD" w14:textId="3434F460" w:rsidR="00E636DD" w:rsidRPr="00E252FB" w:rsidRDefault="00AF40D7" w:rsidP="0000187D">
      <w:pPr>
        <w:pStyle w:val="Heading1"/>
        <w:rPr>
          <w:rFonts w:cs="Times New Roman"/>
        </w:rPr>
      </w:pPr>
      <w:r w:rsidRPr="00E252FB">
        <w:rPr>
          <w:rFonts w:cs="Times New Roman"/>
        </w:rPr>
        <w:lastRenderedPageBreak/>
        <w:t>Introduction</w:t>
      </w:r>
    </w:p>
    <w:p w14:paraId="2DFE6F4D" w14:textId="4378C3D3" w:rsidR="00DA7103" w:rsidRPr="00E252FB" w:rsidRDefault="00DA7103" w:rsidP="0037320E">
      <w:pPr>
        <w:rPr>
          <w:rFonts w:cs="Times New Roman"/>
        </w:rPr>
      </w:pPr>
      <w:r w:rsidRPr="00E252FB">
        <w:rPr>
          <w:rFonts w:cs="Times New Roman"/>
        </w:rPr>
        <w:t xml:space="preserve">The biodiversity of terrestrial ecosystems is predominantly constituted by soil-dwelling fauna </w:t>
      </w:r>
      <w:r w:rsidR="006E144D" w:rsidRPr="00E252FB">
        <w:rPr>
          <w:rFonts w:cs="Times New Roman"/>
        </w:rPr>
        <w:fldChar w:fldCharType="begin"/>
      </w:r>
      <w:r w:rsidR="006E144D" w:rsidRPr="00E252FB">
        <w:rPr>
          <w:rFonts w:cs="Times New Roman"/>
        </w:rPr>
        <w:instrText xml:space="preserve"> ADDIN ZOTERO_ITEM CSL_CITATION {"citationID":"mifKAOmN","properties":{"unsorted":true,"formattedCitation":"(FAO, 2020; Anthony et al., 2023)","plainCitation":"(FAO, 2020; Anthony et al., 2023)","noteIndex":0},"citationItems":[{"id":1083,"uris":["http://zotero.org/users/7119014/items/QMUZWGFX"],"itemData":{"id":1083,"type":"article-journal","abstract":"There is increasing attention on the importance of biodiversity for food security and nutrition, especially above-ground biodiversity such as plants and animals. However, less attention is being paid to the biodiversity beneath our feet, soil biodiversity, which drives many processes that produce food or purify soil and water. This summary for policy makers presents the key findings of the main report and is the result of an inclusive process involving more than 300 scientists from around the world under the auspices of the FAO’s Global Soil Partnership and its Intergovernmental Technical Panel on Soils, the Convention on Biological Diversity, the Global Soil Biodiversity Initiative and the European Commission. The summary for policy makers presents concisely the state of knowledge on soil biodiversity, the threats to it and the solutions that soil biodiversity can provide to problems in different fields. This report is a valuable contribution to raising awareness of the importance of soil biodiversity and highlighting its role in finding solutions to today's global threats.","language":"fr","note":"publisher: FAO: Food and Agriculture Organization of the United Nations","source":"policycommons.net","title":"State of knowledge of soil biodiversity – Status, challenges and potentialities. Summary for policy makers","URL":"https://policycommons.net/artifacts/1526136/state-of-knowledge-of-soil-biodiversity-status-challenges-and-potentialities/2214245/","author":[{"family":"FAO","given":"Itps"}],"accessed":{"date-parts":[["2024",1,30]]},"issued":{"date-parts":[["2020"]]}}},{"id":1162,"uris":["http://zotero.org/users/7119014/items/KEQGTPJF"],"itemData":{"id":1162,"type":"article-journal","abstract":"Abstrait\nLe sol est un immense habitat pour divers organismes de l’arbre de vie, mais le nombre exact d’organismes qui y vivent est étonnamment inconnu. Les efforts antérieurs visant à énumérer la biodiversité des sols ne prennent en compte que certains types d'organismes (par exemple, les animaux) ou rapportent des valeurs pour divers groupes sans séparer les espèces qui vivent dans le sol par rapport aux autres habitats. Ici, nous avons examiné la littérature sur la biodiversité pour montrer que le sol abrite probablement 59 ± 15 % des espèces sur Terre. Nous estimons donc une biodiversité des sols environ deux fois plus grande que les estimations précédentes, et nous incluons des représentants des organismes les plus simples (microbiens) aux plus complexes (mammifères). Les Enchytraeidae ont le plus grand pourcentage d'espèces dans le sol (98,6 %), suivis des champignons (90 %), des Plantae (85,5 %) et des Isoptera (84,2 %). Nos résultats démontrent que le sol est l’habitat singulier le plus diversifié en termes de biodiversité. En utilisant cette estimation de la biodiversité des sols, nous pouvons plaider de manière plus précise et quantitative en faveur de la conservation et de la restauration des organismes du sol en tant qu’objectif central de l’Anthropocène.","container-title":"Proceedings of the National Academy of Sciences","DOI":"10.1073/pnas.2304663120","issue":"33","note":"publisher: Proceedings of the National Academy of Sciences","page":"e2304663120","source":"pnas.org (Atypon)","title":"Enumerating soil biodiversity","volume":"120","author":[{"family":"Anthony","given":"Mark A."},{"family":"Bender","given":"S. Franz"},{"family":"Heijden","given":"Marcel GA","non-dropping-particle":"van der"}],"issued":{"date-parts":[["2023",8,15]]}}}],"schema":"https://github.com/citation-style-language/schema/raw/master/csl-citation.json"} </w:instrText>
      </w:r>
      <w:r w:rsidR="006E144D" w:rsidRPr="00E252FB">
        <w:rPr>
          <w:rFonts w:cs="Times New Roman"/>
        </w:rPr>
        <w:fldChar w:fldCharType="separate"/>
      </w:r>
      <w:r w:rsidR="006E144D" w:rsidRPr="00E252FB">
        <w:rPr>
          <w:rFonts w:cs="Times New Roman"/>
        </w:rPr>
        <w:t>(FAO, 2020; Anthony et al., 2023)</w:t>
      </w:r>
      <w:r w:rsidR="006E144D" w:rsidRPr="00E252FB">
        <w:rPr>
          <w:rFonts w:cs="Times New Roman"/>
        </w:rPr>
        <w:fldChar w:fldCharType="end"/>
      </w:r>
      <w:r w:rsidR="006E144D" w:rsidRPr="00E252FB">
        <w:rPr>
          <w:rStyle w:val="CommentReference"/>
          <w:rFonts w:cs="Times New Roman"/>
        </w:rPr>
        <w:t xml:space="preserve">. </w:t>
      </w:r>
      <w:r w:rsidRPr="00E252FB">
        <w:rPr>
          <w:rFonts w:cs="Times New Roman"/>
        </w:rPr>
        <w:t xml:space="preserve">This soil fauna provides a wide range of ecosystem services </w:t>
      </w:r>
      <w:r w:rsidR="006E144D" w:rsidRPr="00E252FB">
        <w:rPr>
          <w:rFonts w:cs="Times New Roman"/>
        </w:rPr>
        <w:fldChar w:fldCharType="begin"/>
      </w:r>
      <w:r w:rsidR="006E144D" w:rsidRPr="00E252FB">
        <w:rPr>
          <w:rFonts w:cs="Times New Roman"/>
        </w:rPr>
        <w:instrText xml:space="preserve"> ADDIN ZOTERO_ITEM CSL_CITATION {"citationID":"Q89JeZ0V","properties":{"formattedCitation":"(Bardgett &amp; Van der Putten, 2014; FAO, 2020)","plainCitation":"(Bardgett &amp; Van der Putten, 2014; FAO, 2020)","noteIndex":0},"citationItems":[{"id":1085,"uris":["http://zotero.org/users/7119014/items/4PJREYIU"],"itemData":{"id":1085,"type":"article-journal","abstract":"Growing evidence points to belowground biota as a significant contributor to aboveground diversity and functioning as well as impacting eco-evolutionary responses to environmental change; this review explores such evidence and proposes further research directions.","container-title":"Nature","DOI":"10.1038/nature13855","ISSN":"1476-4687","issue":"7528","language":"en","license":"2014 Springer Nature Limited","note":"number: 7528\npublisher: Nature Publishing Group","page":"505-511","source":"www.nature.com","title":"Belowground biodiversity and ecosystem functioning","volume":"515","author":[{"family":"Bardgett","given":"Richard D."},{"family":"Van der Putten","given":"Wim H."}],"issued":{"date-parts":[["2014",11]]}}},{"id":1083,"uris":["http://zotero.org/users/7119014/items/QMUZWGFX"],"itemData":{"id":1083,"type":"article-journal","abstract":"There is increasing attention on the importance of biodiversity for food security and nutrition, especially above-ground biodiversity such as plants and animals. However, less attention is being paid to the biodiversity beneath our feet, soil biodiversity, which drives many processes that produce food or purify soil and water. This summary for policy makers presents the key findings of the main report and is the result of an inclusive process involving more than 300 scientists from around the world under the auspices of the FAO’s Global Soil Partnership and its Intergovernmental Technical Panel on Soils, the Convention on Biological Diversity, the Global Soil Biodiversity Initiative and the European Commission. The summary for policy makers presents concisely the state of knowledge on soil biodiversity, the threats to it and the solutions that soil biodiversity can provide to problems in different fields. This report is a valuable contribution to raising awareness of the importance of soil biodiversity and highlighting its role in finding solutions to today's global threats.","language":"fr","note":"publisher: FAO: Food and Agriculture Organization of the United Nations","source":"policycommons.net","title":"State of knowledge of soil biodiversity – Status, challenges and potentialities. Summary for policy makers","URL":"https://policycommons.net/artifacts/1526136/state-of-knowledge-of-soil-biodiversity-status-challenges-and-potentialities/2214245/","author":[{"family":"FAO","given":"Itps"}],"accessed":{"date-parts":[["2024",1,30]]},"issued":{"date-parts":[["2020"]]}}}],"schema":"https://github.com/citation-style-language/schema/raw/master/csl-citation.json"} </w:instrText>
      </w:r>
      <w:r w:rsidR="006E144D" w:rsidRPr="00E252FB">
        <w:rPr>
          <w:rFonts w:cs="Times New Roman"/>
        </w:rPr>
        <w:fldChar w:fldCharType="separate"/>
      </w:r>
      <w:r w:rsidR="006E144D" w:rsidRPr="00E252FB">
        <w:rPr>
          <w:rFonts w:cs="Times New Roman"/>
        </w:rPr>
        <w:t>(Bardgett &amp; Van der Putten, 2014; FAO, 2020)</w:t>
      </w:r>
      <w:r w:rsidR="006E144D" w:rsidRPr="00E252FB">
        <w:rPr>
          <w:rFonts w:cs="Times New Roman"/>
        </w:rPr>
        <w:fldChar w:fldCharType="end"/>
      </w:r>
      <w:r w:rsidRPr="00E252FB">
        <w:rPr>
          <w:rFonts w:cs="Times New Roman"/>
        </w:rPr>
        <w:t xml:space="preserve">, most of which result from processes conducted by the functional groups of various biological communities, such as earthworms </w:t>
      </w:r>
      <w:r w:rsidR="006E144D" w:rsidRPr="00E252FB">
        <w:rPr>
          <w:rFonts w:cs="Times New Roman"/>
        </w:rPr>
        <w:fldChar w:fldCharType="begin"/>
      </w:r>
      <w:r w:rsidR="006E144D" w:rsidRPr="00E252FB">
        <w:rPr>
          <w:rFonts w:cs="Times New Roman"/>
        </w:rPr>
        <w:instrText xml:space="preserve"> ADDIN ZOTERO_ITEM CSL_CITATION {"citationID":"wVTwIexJ","properties":{"formattedCitation":"(Gardi &amp; Jeffery, 2009; Turb\\uc0\\u233{} et al., 2010)","plainCitation":"(Gardi &amp; Jeffery, 2009; Turbé et al., 2010)","noteIndex":0},"citationItems":[{"id":1087,"uris":["http://zotero.org/users/7119014/items/VRGEX8SW"],"itemData":{"id":1087,"type":"article-journal","DOI":"https://doi.org/10.2788/7831","language":"en","source":"DOI.org (CSL JSON)","title":"Soil biodiversity","URL":"https://data.europa.eu/doi/10.2788/7831","author":[{"family":"Gardi","given":"Ciro"},{"family":"Jeffery","given":"Simon"}],"accessed":{"date-parts":[["2024",1,30]]},"issued":{"date-parts":[["2009"]]}}},{"id":1091,"uris":["http://zotero.org/users/7119014/items/9QH73KSZ"],"itemData":{"id":1091,"type":"article-journal","container-title":"Report for European Commission","title":"Soil biodiversity: functions, threats and tools for policy makers","author":[{"family":"Turbé","given":"Anne"},{"family":"Toni","given":"Arianna"},{"family":"Benito","given":"Patricia"},{"family":"Lavelle","given":"Patrick"},{"family":"Lavelle","given":"Perrine"},{"family":"Camacho","given":"Nuria"},{"family":"Putten","given":"Wim"},{"family":"Labouze","given":"Eric"},{"family":"Mudgal","given":"Shailendra"}],"issued":{"date-parts":[["2010",2]]}}}],"schema":"https://github.com/citation-style-language/schema/raw/master/csl-citation.json"} </w:instrText>
      </w:r>
      <w:r w:rsidR="006E144D" w:rsidRPr="00E252FB">
        <w:rPr>
          <w:rFonts w:cs="Times New Roman"/>
        </w:rPr>
        <w:fldChar w:fldCharType="separate"/>
      </w:r>
      <w:r w:rsidR="006E144D" w:rsidRPr="00E252FB">
        <w:rPr>
          <w:rFonts w:cs="Times New Roman"/>
          <w:kern w:val="0"/>
        </w:rPr>
        <w:t>(Gardi &amp; Jeffery, 2009; Turbé et al., 2010)</w:t>
      </w:r>
      <w:r w:rsidR="006E144D" w:rsidRPr="00E252FB">
        <w:rPr>
          <w:rFonts w:cs="Times New Roman"/>
        </w:rPr>
        <w:fldChar w:fldCharType="end"/>
      </w:r>
      <w:r w:rsidRPr="00E252FB">
        <w:rPr>
          <w:rFonts w:cs="Times New Roman"/>
        </w:rPr>
        <w:t xml:space="preserve">. Earthworms are referred to as "ecosystem engineers" because they contribute to soil structure development </w:t>
      </w:r>
      <w:r w:rsidR="006E144D" w:rsidRPr="00E252FB">
        <w:rPr>
          <w:rFonts w:cs="Times New Roman"/>
        </w:rPr>
        <w:fldChar w:fldCharType="begin"/>
      </w:r>
      <w:r w:rsidR="006E144D" w:rsidRPr="00E252FB">
        <w:rPr>
          <w:rFonts w:cs="Times New Roman"/>
        </w:rPr>
        <w:instrText xml:space="preserve"> ADDIN ZOTERO_ITEM CSL_CITATION {"citationID":"RIcnk5Ne","properties":{"unsorted":true,"formattedCitation":"(Sharma et al., 2017; Edwards &amp; Arancon, 2022; Lavelle et al., 1997)","plainCitation":"(Sharma et al., 2017; Edwards &amp; Arancon, 2022; Lavelle et al., 1997)","noteIndex":0},"citationItems":[{"id":394,"uris":["http://zotero.org/users/7119014/items/CAHXPVVR"],"itemData":{"id":394,"type":"article-journal","abstract":"Earthworms commonly occur within the soil. They alter physico-chemical and biological regimes of the soil through their activities, such as burrowing, casting, feeding and propagating, and therefore are known as 'ecosystem engineers'. Through their activities, they provide a number of ecosystem services which are ecologically and socio-economically important. This article reviews the role of earthworms in improving soil structural and functional properties, which serves as key determinants of soil ecosystem services and economic benefits for the farmers. A methodology of economic evaluation of the agro-ecosystem services provided by earthworms has been demonstrated. Further, the information gaps and future research have been discussed for ensuring sustainable agro-ecosystems management.","container-title":"Current Science","ISSN":"0011-3891","issue":"6","note":"publisher: Current Science Association","page":"1064-1071","source":"JSTOR","title":"Role of earthworm in improving soil structure and functioning","volume":"113","author":[{"family":"Sharma","given":"D. K."},{"family":"Tomar","given":"S."},{"family":"Chakraborty","given":"D."}],"issued":{"date-parts":[["2017"]]}}},{"id":1026,"uris":["http://zotero.org/users/7119014/items/3BZSAW6Y"],"itemData":{"id":1026,"type":"book","event-place":"New York, NY","ISBN":"978-0-387-74942-6","language":"en","note":"DOI: 10.1007/978-0-387-74943-3","publisher":"Springer US","publisher-place":"New York, NY","source":"DOI.org (Crossref)","title":"Biology and Ecology of Earthworms","URL":"https://link.springer.com/10.1007/978-0-387-74943-3","author":[{"family":"Edwards","given":"Clive A."},{"family":"Arancon","given":"Norman Q."}],"accessed":{"date-parts":[["2024",1,18]]},"issued":{"date-parts":[["2022"]]}}},{"id":1164,"uris":["http://zotero.org/users/7119014/items/I54IFM86"],"itemData":{"id":1164,"type":"article-journal","abstract":"Cette revue place au centre des interactions entre les plantes, les animaux et les microorganismes du sol, les invertebres abondants et de grande taille qui ingerent des particules organiques et minerales produisant ainsi des structures durables. Ces invertebres sont appeles organismes ingenieurs du sol et les donnees disponibles sur leur abondance, leur distribution geographique et leurs roles fonctionnels montrent que les vers de terre et les termites en sont les principaux representants. Ils influencent la diversite et l'activite des organismes appartenant a des groupes fonctionnels subordonnes, les transformateurs de litiere, les micropredateurs et les microorganismes regulant ainsi les transformations de nutriments. Les liens entre l'activite et la diversite des ingenieurs et les proprietes physiques du sol sont detailles ; une mention particuliere est faite de leurs effets sur l'heterogeneite du sol, sa stabilite structurale, la distribution de la matiere organique dans le profil, l'infiltration et la retention de l'eau. Il est probable que les changements globaux attendus affecteront l'abondance et la diversite des organismes ingenieurs par le biais de la quantite et de la qualite de la litiere et d'autres effets lies aux modifications des plantes et de leurs peuplements. Les changements de temperature attendus pourraient elargir la distribution latitudinale des termites et favoriser les termites humivores et les vers de terre endoges a regime geophage. Dans certaines regions, cependant, ces changements ne pourront s'observer car la faune locale ne comprend pas de representants de ces groupes. Dans l'immediat, c'est surtout l'intensification de l'usage des terres et, en particulier, la perturbation des milieux forestiers qui est preoccupante car des modifications de l'equilibre des groupes fonctionnels d'organismes ingenieurs s'observent deja. De plus, l'invasion des ecosystemes perturbes par des vers de terre exotiques colonisateurs agressifs peut avoir des effets adverses sur la structure du sol. La perturbation affecte les termites en reduisant leur diversite, particulierement celle des humivores et quelques especes peuvent devenir des parasites des cultures pour pallier le deficit des apports organiques. En general, une diminution de l'abondance des organismes ingenieurs aura tendance a diminuer les stocks de carbone du sol; un desequilibre entre les groupes fonctionnels (par exemple des « compactants » aux depens des « decompactants ») peut aussi entrainer une degradation physique du sol. La restauration des sols degrades par l'inoculation de vers de terre est brievement discutee dans ses implications ecologiques et economiques.","container-title":"European Journal of Soil Biology","source":"Semantic Scholar","title":"Soil function in a changing world: the role of invertebrate ecosystem engineers","title-short":"Soil function in a changing world","URL":"https://www.semanticscholar.org/paper/Soil-function-in-a-changing-world%3A-the-role-of-Lavelle-Bignell/363b3c76b7cef2aa2637d1b3a33034ffa41b1dce","author":[{"family":"Lavelle","given":"P."},{"family":"Bignell","given":"D."},{"family":"Lepage","given":"M."},{"family":"Wolters","given":"V."},{"family":"Roger","given":"P."},{"family":"Ineson","given":"P."},{"family":"Heal","given":"O. W."},{"family":"Dhillion","given":"S."}],"accessed":{"date-parts":[["2024",5,18]]},"issued":{"date-parts":[["1997"]]}}}],"schema":"https://github.com/citation-style-language/schema/raw/master/csl-citation.json"} </w:instrText>
      </w:r>
      <w:r w:rsidR="006E144D" w:rsidRPr="00E252FB">
        <w:rPr>
          <w:rFonts w:cs="Times New Roman"/>
        </w:rPr>
        <w:fldChar w:fldCharType="separate"/>
      </w:r>
      <w:r w:rsidR="006E144D" w:rsidRPr="00E252FB">
        <w:rPr>
          <w:rFonts w:cs="Times New Roman"/>
        </w:rPr>
        <w:t>(Sharma et al., 2017; Edwards &amp; Arancon, 2022; Lavelle et al., 1997)</w:t>
      </w:r>
      <w:r w:rsidR="006E144D" w:rsidRPr="00E252FB">
        <w:rPr>
          <w:rFonts w:cs="Times New Roman"/>
        </w:rPr>
        <w:fldChar w:fldCharType="end"/>
      </w:r>
      <w:r w:rsidRPr="00E252FB">
        <w:rPr>
          <w:rFonts w:cs="Times New Roman"/>
        </w:rPr>
        <w:t xml:space="preserve">, water infiltration through vertical and horizontal burrows in the soil </w:t>
      </w:r>
      <w:r w:rsidR="00B376EC" w:rsidRPr="00E252FB">
        <w:rPr>
          <w:rFonts w:cs="Times New Roman"/>
        </w:rPr>
        <w:fldChar w:fldCharType="begin"/>
      </w:r>
      <w:r w:rsidR="00B376EC" w:rsidRPr="00E252FB">
        <w:rPr>
          <w:rFonts w:cs="Times New Roman"/>
        </w:rPr>
        <w:instrText xml:space="preserve"> ADDIN ZOTERO_ITEM CSL_CITATION {"citationID":"46fDaH61","properties":{"formattedCitation":"(Capowiez et al., 2014; Cunha et al., 2016)","plainCitation":"(Capowiez et al., 2014; Cunha et al., 2016)","noteIndex":0},"citationItems":[{"id":178,"uris":["http://zotero.org/users/7119014/items/8WK7BHXA"],"itemData":{"id":178,"type":"article-journal","abstract":"By creating burrows, earthworms influence the transfer properties of soils. The effects of endogeic species on soil transfer properties, however, are not yet well understood because these earthworms generally create burrows that are refilled by casts and have no preferential vertical orientation. Thirty soil cores were incubated for various periods (1–3 or 4 weeks) at different earthworm densities (70, 210, 345 or 480individualsm−2). The cores were then scanned using X-ray tomography and the burrow systems were characterised by measuring the total burrow volume, bioturbation volume (refilled burrows and lateral compaction around the burrows), the number of branches, tortuosity and continuity (assessed by computing the number of burrows with a vertical extension greater than 15, 20 and 25% of the core). We also computed the mean geodesic distance, i.e. the mean distance from the bottom to the top of the core assuming that distances inside burrows are null. Rainfall simulations were carried out on 17 cores chosen to encompass the variations observed in the burrow systems. The water transfer efficiency of each core was estimated by measuring two parameters: breakthrough volume and the percentage of water transmitted after 1h of rain. Burrow and bioturbation volume increased significantly and steadily with time and earthworm density. We estimated that on average Allolobophora chlorotica burrowed 22cm per week. All other burrow system characteristics also increased with time and earthworm density except the mean geodesic distance, which decreased significantly. This suggests that intraspecific interactions had no significant effect on burrow system geometry. Univariate PLS regressions were used to understand which burrow system characteristics had the strongest influence on water transfer. These regressions showed that the mean geodesic distance was the most important parameter. This means that in addition to individual burrow characteristics, the spatial arrangement of the whole burrow system also had a major effect on transfer properties.","container-title":"Pedobiologia","DOI":"10.1016/j.pedobi.2014.04.001","ISSN":"0031-4056","issue":"4","journalAbbreviation":"Pedobiologia","language":"en","page":"303-309","source":"ScienceDirect","title":"Burrow systems of endogeic earthworms: Effects of earthworm abundance and consequences for soil water infiltration","title-short":"Burrow systems of endogeic earthworms","volume":"57","author":[{"family":"Capowiez","given":"Yvan"},{"family":"Sammartino","given":"Stéphane"},{"family":"Michel","given":"Eric"}],"issued":{"date-parts":[["2014",11,1]]}}},{"id":395,"uris":["http://zotero.org/users/7119014/items/LDILDV6D"],"itemData":{"id":395,"type":"article-journal","abstract":"Le rôle des vers de terre en tant que l'un des groupes les plus importants d'ingénieurs écosystémiques dans les environnements naturels et modifiés par l'homme n'a été de plus en plus reconnu qu'au cours des 30 dernières années, pourtant les vers de terre et les humains agissent ensemble dans la construction de paysages depuis des millénaires. Cette relation est bien représentée dans les champs surélevés précolombiens, dans les savanes sujettes aux inondations autour du pourtour de l'Amazonie, mais aussi par le rôle potentiellement important des vers de terre dans la formation et la résilience des terres sombres amazoniennes. Grâce à l'action bioturbatrice des vers de terre, le sol est modifié biologiquement, chimiquement et physiquement; les nutriments sont transloqués; la matière organique se décompose et se transforme ; et le biote environnant interagit comme un grand orchestre où les musiciens du sol jouent ensemble sur les différents instruments mais où les vers de terre jouent un rôle de premier plan, améliorant l'activité microbienne et stimulant généralement la croissance des plantes. Dans cet article, nous évaluons le rôle remarquable des vers de terre au centre des processus pédogénétiques du sol dans les paysages anthropiques, en disséquant leurs fonctions avec un accent particulier sur les terres sombres amazoniennes.","container-title":"Soil Science","DOI":"10.1097/SS.0000000000000144","ISSN":"0038-075X","issue":"3/4","language":"fr","page":"110–125","source":"journals.lww.com","title":"Soil Animals and Pedogenesis: The Role of Earthworms in Anthropogenic Soils","title-short":"Soil Animals and Pedogenesis","volume":"181","author":[{"family":"Cunha","given":"Luis"},{"family":"Brown","given":"George G."},{"family":"Stanton","given":"David W. G."},{"family":"Da Silva","given":"Elodie"},{"family":"Hansel","given":"Fabricio A."},{"family":"Jorge","given":"Gabriella"},{"family":"McKey","given":"Doyle"},{"family":"Vidal-Torrado","given":"Pablo"},{"family":"Macedo","given":"Rodrigo S."},{"family":"Velasquez","given":"Elena"},{"family":"James","given":"Samuel W."},{"family":"Lavelle","given":"Patrick"},{"family":"Kille","given":"Peter"},{"family":"Network","given":"the Terra Preta de Indio"}],"issued":{"date-parts":[["2016",4]]}}}],"schema":"https://github.com/citation-style-language/schema/raw/master/csl-citation.json"} </w:instrText>
      </w:r>
      <w:r w:rsidR="00B376EC" w:rsidRPr="00E252FB">
        <w:rPr>
          <w:rFonts w:cs="Times New Roman"/>
        </w:rPr>
        <w:fldChar w:fldCharType="separate"/>
      </w:r>
      <w:r w:rsidR="00B376EC" w:rsidRPr="00E252FB">
        <w:rPr>
          <w:rFonts w:cs="Times New Roman"/>
        </w:rPr>
        <w:t>(Capowiez et al., 2014; Cunha et al., 2016)</w:t>
      </w:r>
      <w:r w:rsidR="00B376EC" w:rsidRPr="00E252FB">
        <w:rPr>
          <w:rFonts w:cs="Times New Roman"/>
        </w:rPr>
        <w:fldChar w:fldCharType="end"/>
      </w:r>
      <w:r w:rsidRPr="00E252FB">
        <w:rPr>
          <w:rFonts w:cs="Times New Roman"/>
        </w:rPr>
        <w:t xml:space="preserve">, and nutrient mineralization through the degradation of organic matter </w:t>
      </w:r>
      <w:r w:rsidR="00B376EC" w:rsidRPr="00E252FB">
        <w:rPr>
          <w:rFonts w:cs="Times New Roman"/>
        </w:rPr>
        <w:fldChar w:fldCharType="begin"/>
      </w:r>
      <w:r w:rsidR="00B376EC" w:rsidRPr="00E252FB">
        <w:rPr>
          <w:rFonts w:cs="Times New Roman"/>
        </w:rPr>
        <w:instrText xml:space="preserve"> ADDIN ZOTERO_ITEM CSL_CITATION {"citationID":"TJWl5Lq8","properties":{"formattedCitation":"(Van Groenigen et al., 2019)","plainCitation":"(Van Groenigen et al., 2019)","noteIndex":0},"citationItems":[{"id":152,"uris":["http://zotero.org/users/7119014/items/E4AET9XC"],"itemData":{"id":152,"type":"article-journal","abstract":"It has long been established that earthworms beneficially affect plant growth. This is to a large extent due to the high fertility of their casts. However, it is not clear how fertile casts are compared to bulk soil, and how their fertility varies between earthworm feeding guilds and with physico-chemical soil properties. Using meta-analysis, we quantified the fertility of earthworm casts and identified its controlling factors. Our analysis included 405 observations from 81 articles, originating from all continents except Antarctica. We quantified cast fertility by determining the enrichment of earthworm casts relative to the bulk soil (“relative cast fertility”; RCF) for total organic carbon (TOC), total phosphorus (P) and total nitrogen (N) concentrations, as well as for plant available pools of N (total mineral N) and P (available P: P-Olsen, P-Bray or comparable metrics), C-to-N ratio and microbial biomass C. In addition to these response variables, we studied four additional ones closely related to soil fertility: pH-H2O, clay content, cation exchange capacity (CEC), and base saturation. With the exception of C-to-N ratio, microbial C and clay content, all studied response variables were significantly increased in casts compared to the bulk soil. Increases in total elemental concentrations (TOC, total P and total N), which are the result of preferential feeding or concentration processes, were comparable and ranged between 40 and 48%. Nutrient availability, which is to a large extent the result of (bio)chemical transformation processes in the earthworm gut, was increased more strongly than total elemental concentrations (241% and 84% for mineral N and available P, respectively). Increases in pH (0.5 pH units), cation exchange capacity (40%), and base saturation (27%) were also large and significant. None of the soil-related possible controlling factors could satisfactorily explain the variation in RCF; plant presence (or other sources of organic C input such as residue application) was the only controlling factor that consistently increased RCF across soil properties. With the exception of available P, none of the studied response variables could be linked to earthworm feeding guild. Our results show that earthworm casts are much more fertile than bulk soil for almost all analysed cast fertility properties. However, these positive RCFs are to a large extent dependent upon the presence of plants. In general, earthworm feeding guild or specific physico-chemical soil properties could not explain the large variability in RCF for the various response variables. Therefore, we hypothesize that RCF effects depend on intricate interactions between earthworm species traits and specific soil properties. Understanding these interactions requires trait-based approaches combined with mechanistic modelling of biochemical processes in the earthworm gut and casts.","container-title":"Geoderma","DOI":"10.1016/j.geoderma.2018.11.001","ISSN":"0016-7061","journalAbbreviation":"Geoderma","language":"en","page":"525-535","source":"ScienceDirect","title":"How fertile are earthworm casts? A meta-analysis","title-short":"How fertile are earthworm casts?","volume":"338","author":[{"family":"Van Groenigen","given":"Jan Willem"},{"family":"Van Groenigen","given":"Kees Jan"},{"family":"Koopmans","given":"Gerwin F."},{"family":"Stokkermans","given":"Lotte"},{"family":"Vos","given":"Hannah M. J."},{"family":"Lubbers","given":"Ingrid M."}],"issued":{"date-parts":[["2019",3,15]]}}}],"schema":"https://github.com/citation-style-language/schema/raw/master/csl-citation.json"} </w:instrText>
      </w:r>
      <w:r w:rsidR="00B376EC" w:rsidRPr="00E252FB">
        <w:rPr>
          <w:rFonts w:cs="Times New Roman"/>
        </w:rPr>
        <w:fldChar w:fldCharType="separate"/>
      </w:r>
      <w:r w:rsidR="00B376EC" w:rsidRPr="00E252FB">
        <w:rPr>
          <w:rFonts w:cs="Times New Roman"/>
        </w:rPr>
        <w:t>(Van Groenigen et al., 2019)</w:t>
      </w:r>
      <w:r w:rsidR="00B376EC" w:rsidRPr="00E252FB">
        <w:rPr>
          <w:rFonts w:cs="Times New Roman"/>
        </w:rPr>
        <w:fldChar w:fldCharType="end"/>
      </w:r>
      <w:r w:rsidRPr="00E252FB">
        <w:rPr>
          <w:rFonts w:cs="Times New Roman"/>
        </w:rPr>
        <w:t xml:space="preserve">. These studies have been justified by the growing awareness that changes in earthworm composition will lead to an alteration of the ecosystem services provided by these organisms </w:t>
      </w:r>
      <w:r w:rsidR="00B376EC" w:rsidRPr="00E252FB">
        <w:rPr>
          <w:rFonts w:cs="Times New Roman"/>
        </w:rPr>
        <w:fldChar w:fldCharType="begin"/>
      </w:r>
      <w:r w:rsidR="00B376EC" w:rsidRPr="00E252FB">
        <w:rPr>
          <w:rFonts w:cs="Times New Roman"/>
        </w:rPr>
        <w:instrText xml:space="preserve"> ADDIN ZOTERO_ITEM CSL_CITATION {"citationID":"SZF2bIfB","properties":{"formattedCitation":"(Cardinale et al., 2012; Hooper et al., 2012; Van Groenigen et al., 2014)","plainCitation":"(Cardinale et al., 2012; Hooper et al., 2012; Van Groenigen et al., 2014)","noteIndex":0},"citationItems":[{"id":1092,"uris":["http://zotero.org/users/7119014/items/KB97IM4I"],"itemData":{"id":1092,"type":"article-journal","abstract":"Two decades ago the first Earth Summit raised the question of how biological diversity loss alters ecosystem functioning and affects humanity; this Review looks at the progress made towards answering this question.","container-title":"Nature","DOI":"10.1038/nature11148","ISSN":"1476-4687","issue":"7401","language":"en","license":"2012 Springer Nature Limited","note":"number: 7401\npublisher: Nature Publishing Group","page":"59-67","source":"www.nature.com","title":"Biodiversity loss and its impact on humanity","volume":"486","author":[{"family":"Cardinale","given":"Bradley J."},{"family":"Duffy","given":"J. Emmett"},{"family":"Gonzalez","given":"Andrew"},{"family":"Hooper","given":"David U."},{"family":"Perrings","given":"Charles"},{"family":"Venail","given":"Patrick"},{"family":"Narwani","given":"Anita"},{"family":"Mace","given":"Georgina M."},{"family":"Tilman","given":"David"},{"family":"Wardle","given":"David A."},{"family":"Kinzig","given":"Ann P."},{"family":"Daily","given":"Gretchen C."},{"family":"Loreau","given":"Michel"},{"family":"Grace","given":"James B."},{"family":"Larigauderie","given":"Anne"},{"family":"Srivastava","given":"Diane S."},{"family":"Naeem","given":"Shahid"}],"issued":{"date-parts":[["2012",6]]}}},{"id":1094,"uris":["http://zotero.org/users/7119014/items/K985LPZS"],"itemData":{"id":1094,"type":"article-journal","abstract":"Although loss of biodiversity is known to cause reduction in ecosystem function, it is not known how this threat compares to other environmental alterations such as climate change; this analysis of the data from over 100 published studies shows that biodiversity loss is as significant as other major drivers of change in ecosystem function.","container-title":"Nature","DOI":"10.1038/nature11118","ISSN":"1476-4687","issue":"7401","language":"en","license":"2012 Springer Nature Limited","note":"number: 7401\npublisher: Nature Publishing Group","page":"105-108","source":"www.nature.com","title":"A global synthesis reveals biodiversity loss as a major driver of ecosystem change","volume":"486","author":[{"family":"Hooper","given":"David U."},{"family":"Adair","given":"E. Carol"},{"family":"Cardinale","given":"Bradley J."},{"family":"Byrnes","given":"Jarrett E. K."},{"family":"Hungate","given":"Bruce A."},{"family":"Matulich","given":"Kristin L."},{"family":"Gonzalez","given":"Andrew"},{"family":"Duffy","given":"J. Emmett"},{"family":"Gamfeldt","given":"Lars"},{"family":"O’Connor","given":"Mary I."}],"issued":{"date-parts":[["2012",6]]}}},{"id":145,"uris":["http://zotero.org/users/7119014/items/C4GREGVA"],"itemData":{"id":145,"type":"article-journal","abstract":"To meet the challenge of feeding a growing world population with minimal environmental impact, we need comprehensive and quantitative knowledge of ecological factors affecting crop production. Earthworms are among the most important soil dwelling invertebrates. Their activity affects both biotic and abiotic soil properties, in turn affecting plant growth. Yet, studies on the effect of earthworm presence on crop yields have not been quantitatively synthesized. Here we show, using meta-analysis, that on average earthworm presence in agroecosystems leads to a 25% increase in crop yield and a 23% increase in aboveground biomass. The magnitude of these effects depends on presence of crop residue, earthworm density and type and rate of fertilization. The positive effects of earthworms become larger when more residue is returned to the soil, but disappear when soil nitrogen availability is high. This suggests that earthworms stimulate plant growth predominantly through releasing nitrogen locked away in residue and soil organic matter. Our results therefore imply that earthworms are of crucial importance to decrease the yield gap of farmers who can't -or won't- use nitrogen fertilizer.","container-title":"Scientific Reports","DOI":"10.1038/srep06365","ISSN":"2045-2322","issue":"1","journalAbbreviation":"Sci Rep","language":"en","license":"2014 The Author(s)","note":"number: 1\npublisher: Nature Publishing Group","page":"6365","source":"www.nature.com","title":"Earthworms increase plant production: a meta-analysis","title-short":"Earthworms increase plant production","volume":"4","author":[{"family":"Van Groenigen","given":"Jan Willem"},{"family":"Lubbers","given":"Ingrid M."},{"family":"Vos","given":"Hannah M. J."},{"family":"Brown","given":"George G."},{"family":"De Deyn","given":"Gerlinde B."},{"family":"Groenigen","given":"Kees Jan","non-dropping-particle":"van"}],"issued":{"date-parts":[["2014",9,15]]}}}],"schema":"https://github.com/citation-style-language/schema/raw/master/csl-citation.json"} </w:instrText>
      </w:r>
      <w:r w:rsidR="00B376EC" w:rsidRPr="00E252FB">
        <w:rPr>
          <w:rFonts w:cs="Times New Roman"/>
        </w:rPr>
        <w:fldChar w:fldCharType="separate"/>
      </w:r>
      <w:r w:rsidR="00B376EC" w:rsidRPr="00E252FB">
        <w:rPr>
          <w:rFonts w:cs="Times New Roman"/>
        </w:rPr>
        <w:t>(Cardinale et al., 2012; Hooper et al., 2012; Van Groenigen et al., 2014)</w:t>
      </w:r>
      <w:r w:rsidR="00B376EC" w:rsidRPr="00E252FB">
        <w:rPr>
          <w:rFonts w:cs="Times New Roman"/>
        </w:rPr>
        <w:fldChar w:fldCharType="end"/>
      </w:r>
      <w:r w:rsidR="00B376EC" w:rsidRPr="00E252FB">
        <w:rPr>
          <w:rFonts w:cs="Times New Roman"/>
        </w:rPr>
        <w:t>.</w:t>
      </w:r>
    </w:p>
    <w:p w14:paraId="6A5AF5E1" w14:textId="074AF85D" w:rsidR="00DE34ED" w:rsidRPr="00E252FB" w:rsidRDefault="00DE34ED" w:rsidP="0000187D">
      <w:pPr>
        <w:rPr>
          <w:rFonts w:cs="Times New Roman"/>
          <w:szCs w:val="24"/>
        </w:rPr>
      </w:pPr>
      <w:r w:rsidRPr="00E252FB">
        <w:rPr>
          <w:rFonts w:cs="Times New Roman"/>
          <w:szCs w:val="24"/>
        </w:rPr>
        <w:t xml:space="preserve">Numerous studies have examined the effects of anthropogenic and environmental factors on earthworms at local scales </w:t>
      </w:r>
      <w:r w:rsidR="00E963B7" w:rsidRPr="00E252FB">
        <w:rPr>
          <w:rFonts w:cs="Times New Roman"/>
          <w:szCs w:val="24"/>
        </w:rPr>
        <w:fldChar w:fldCharType="begin"/>
      </w:r>
      <w:r w:rsidR="00E963B7" w:rsidRPr="00E252FB">
        <w:rPr>
          <w:rFonts w:cs="Times New Roman"/>
          <w:szCs w:val="24"/>
        </w:rPr>
        <w:instrText xml:space="preserve"> ADDIN ZOTERO_ITEM CSL_CITATION {"citationID":"1dnvonX9","properties":{"unsorted":true,"formattedCitation":"(Pelosi, Pey, et al., 2014; March\\uc0\\u225{}n et al., 2015; Gabriac et al., 2022)","plainCitation":"(Pelosi, Pey, et al., 2014; Marchán et al., 2015; Gabriac et al., 2022)","noteIndex":0},"citationItems":[{"id":169,"uris":["http://zotero.org/users/7119014/items/RI5P2L7I"],"itemData":{"id":169,"type":"article-journal","abstract":"Alternative cropping systems such as conservation agriculture have been implemented to limit the harmful effects of intensive conventional cropping systems. Conservation agriculture is known to modify the structural diversity of earthworm communities, but no data have been reported so far on their functional diversity. Structural and functional indices of community were used to study the effects of different soil tillage intensity on earthworm diversity in arable soils. Field data were collected in four agricultural trials across France representing different soiland climatic conditions. Three types of soil tillage were assessed: plowing, superficial tillage and direct seeding. Earthworm abundance, species richness and ecomorphological group abundance were investigated. Seven functional traits, i.e. body length, body mass/length ratio, epithelium type, cocoon diameter, typhlosolis type, carbon preferences and vertical distribution, were selected according to their hypothesized link with mechanisms of tillage impact. Functional diversity indices were then computed. Soil tillage intensity decreased functional diversity and modified the functional trait profile within the earthworm community whereas neither structural diversity (species number) nor abundance changed with tillage intensity. Differences between plowing and direct seeding were significant in each trial, and superficial tillage often showed intermediate trait values. Regarding ecomorphological groups, anecic abundance was positively influenced by a decrease in soil tillage, contrary to epigeic and endogeic earthworms that showed no response. Tillage acts as an environmental filter, and decreasing its intensity caused a lesser convergence of traits and thus higher functional trait diversity. We demonstrated that a trait-based approach better permitted comparisons of community responses across sites than species number or abundance.","collection-title":"XVI International Colloquium on Soil Zoology &amp; XIII International Colloquium on Apterygota, Coimbra, 2012 – Selected papers","container-title":"Applied Soil Ecology","DOI":"10.1016/j.apsoil.2013.10.005","ISSN":"0929-1393","journalAbbreviation":"Applied Soil Ecology","language":"en","page":"79-87","source":"ScienceDirect","title":"Reducing tillage in cultivated fields increases earthworm functional diversity","volume":"83","author":[{"family":"Pelosi","given":"Céline"},{"family":"Pey","given":"B."},{"family":"Hedde","given":"M."},{"family":"Caro","given":"G."},{"family":"Capowiez","given":"Y."},{"family":"Guernion","given":"M."},{"family":"Peigné","given":"J."},{"family":"Piron","given":"D."},{"family":"Bertrand","given":"M."},{"family":"Cluzeau","given":"D."}],"issued":{"date-parts":[["2014",11,1]]}}},{"id":1003,"uris":["http://zotero.org/users/7119014/items/JV52ZV6I"],"itemData":{"id":1003,"type":"article-journal","abstract":"Studies on spatial patterns of distributions of soil dwelling animals have usually relied on soil micro-variables or statistical analyses based on presence/absence data. Geographic Information Systems (GIS) allow easy access to large-scale variables to build species distribution models. In this study, we used MaxEnt to model the distribution of the endogeic earthworm Hormogaster elisae. Significant differences were found between the predicted suitability values of localities where the species was present and those where it was absent, validating the predictive model. Most of the large-scale training variables showed significant correlation with soil micro-variables known to influence the biology of the species, proving the ability of the model to predict (to an extent) soil variables from environmental ones. The methodology could be extended to other soil fauna.","container-title":"Soil Biology and Biochemistry","DOI":"10.1016/j.soilbio.2014.10.023","ISSN":"0038-0717","journalAbbreviation":"Soil Biology and Biochemistry","page":"124-127","source":"ScienceDirect","title":"Predicting soil micro-variables and the distribution of an endogeic earthworm species through a model based on large-scale variables","volume":"81","author":[{"family":"Marchán","given":"Daniel F."},{"family":"Refoyo","given":"Pablo"},{"family":"Novo","given":"Marta"},{"family":"Fernández","given":"Rosa"},{"family":"Trigo","given":"Dolores"},{"family":"Díaz Cosín","given":"Darío J."}],"issued":{"date-parts":[["2015",2,1]]}},"label":"page"},{"id":997,"uris":["http://zotero.org/users/7119014/items/DLDEC2SW"],"itemData":{"id":997,"type":"article","abstract":"The study of elevational diversity gradients is a central topic in biodiversity research. In this study, we tested for the effect of climate, resource quality and habitat heterogeneity on earthworm communities along an altitudinal gradient and around the treeline in the French Alps. Earthworm communities and environmental properties (i.e. climate, soil properties and vegetation structure and composition) were sampled in six altitudinal stages from 1400 to 2400 m. Results were analysed through multi-table factorial analyses and structural equation modelling. We found average density, biomass and species richness in the range of what is usually reported in comparable ecosystems. We found no monotonic decrease in species richness along the altitudinal gradient, which we explain by the species pool being dominated by taxa with high environmental tolerance and dispersal capacities. Instead, we highlighted the ecotone associated with the treeline as the primary driving factor of earthworm communities: at 1800-2000m altitude, communities were more abundant and diverse, and had a greater variability in body mass. This result was largely explained by the structure and composition of the vegetation, whereas soil and climate appeared to have only indirect effects. Therefore, the treeline effect on earthworm communities can be explained both by the effect of environmental heterogeneity and of trophic resource quality which increases at the ecotone level.","DOI":"10.1101/2022.10.13.512055","language":"en","license":"© 2022, Posted by Cold Spring Harbor Laboratory. The copyright holder for this pre-print is the author. All rights reserved. The material may not be redistributed, re-used or adapted without the author's permission.","note":"page: 2022.10.13.512055\nsection: New Results","publisher":"bioRxiv","source":"bioRxiv","title":"Environmental drivers of earthworm communities along an altitudinal gradient in the French Alps","URL":"https://www.biorxiv.org/content/10.1101/2022.10.13.512055v1","author":[{"family":"Gabriac","given":"Quentin"},{"family":"Ganault","given":"Pierre"},{"family":"Barois","given":"Isabelle"},{"family":"Aranda-Delgado","given":"Eduardo"},{"family":"Cimetière","given":"Elisa"},{"family":"Cortet","given":"Jérôme"},{"family":"Gautier","given":"Montan"},{"family":"Hedde","given":"Mickaël"},{"family":"Marchán","given":"Daniel F."},{"family":"Reyes","given":"José Carlos Pimentel"},{"family":"Stokes","given":"Alexia"},{"family":"Decaëns","given":"Thibaud"}],"accessed":{"date-parts":[["2024",1,17]]},"issued":{"date-parts":[["2022",10,17]]}}}],"schema":"https://github.com/citation-style-language/schema/raw/master/csl-citation.json"} </w:instrText>
      </w:r>
      <w:r w:rsidR="00E963B7" w:rsidRPr="00E252FB">
        <w:rPr>
          <w:rFonts w:cs="Times New Roman"/>
          <w:szCs w:val="24"/>
        </w:rPr>
        <w:fldChar w:fldCharType="separate"/>
      </w:r>
      <w:r w:rsidR="00E963B7" w:rsidRPr="00E252FB">
        <w:rPr>
          <w:rFonts w:cs="Times New Roman"/>
          <w:kern w:val="0"/>
        </w:rPr>
        <w:t>(Pelosi, Pey, et al., 2014; Marchán et al., 2015; Gabriac et al., 2022)</w:t>
      </w:r>
      <w:r w:rsidR="00E963B7" w:rsidRPr="00E252FB">
        <w:rPr>
          <w:rFonts w:cs="Times New Roman"/>
          <w:szCs w:val="24"/>
        </w:rPr>
        <w:fldChar w:fldCharType="end"/>
      </w:r>
      <w:r w:rsidR="00E963B7" w:rsidRPr="00E252FB">
        <w:rPr>
          <w:rFonts w:cs="Times New Roman"/>
          <w:szCs w:val="24"/>
        </w:rPr>
        <w:t xml:space="preserve"> and regional scales </w:t>
      </w:r>
      <w:r w:rsidR="00E963B7" w:rsidRPr="00E252FB">
        <w:rPr>
          <w:rFonts w:cs="Times New Roman"/>
          <w:szCs w:val="24"/>
        </w:rPr>
        <w:fldChar w:fldCharType="begin"/>
      </w:r>
      <w:r w:rsidR="00E963B7" w:rsidRPr="00E252FB">
        <w:rPr>
          <w:rFonts w:cs="Times New Roman"/>
          <w:szCs w:val="24"/>
        </w:rPr>
        <w:instrText xml:space="preserve"> ADDIN ZOTERO_ITEM CSL_CITATION {"citationID":"7gviJEyw","properties":{"unsorted":true,"formattedCitation":"(March\\uc0\\u225{}n et al., 2016, 2021; March\\uc0\\u225{}n &amp; Dom\\uc0\\u237{}nguez, 2022; Diallo et al., 2023)","plainCitation":"(Marchán et al., 2016, 2021; Marchán &amp; Domínguez, 2022; Diallo et al., 2023)","noteIndex":0},"citationItems":[{"id":1053,"uris":["http://zotero.org/users/7119014/items/PUHIMJ58"],"itemData":{"id":1053,"type":"article-journal","abstract":"Ecological Niche Modeling (ENM) through MaxEnt and quantitative comparison techniques using ENMtools could facilitate ecological inferences in problematic soil dwelling taxa. Despite its ecological relevance in the Western Mediterranean basin, the ecology of the endemic family Hormogastridae (Annelida, Oligochaeta) is poorly known. Applying this comparative approach to the main clades of Hormogastridae would allow a better understanding of their ecological preferences and differences. One hundred twenty-four occurrence data belonging to four clades within this earthworm family were used as input to infer separate MaxEnt models, including seven predictor variables. Niche breadth, niche overlap and identity tests were calculated in ENMtools; a spatial Principal Components Analysis (sPCA) was performed to contrast with the realized niches. The highly suitable predicted ranges varied in their ability to reflect the known distribution of the clades. The different analyses pointed towards different ecological preferences and significant ecological divergence in the four above-mentioned clades. These results are an example of wide-scale ecological inferences for soil fauna made possible by this promising methodology, and show how ecological characterization of relevant taxonomic units could be a useful support for systematic revisions.","container-title":"European Journal of Soil Biology","DOI":"10.1016/j.ejsobi.2016.05.003","ISSN":"1164-5563","journalAbbreviation":"European Journal of Soil Biology","page":"115-122","source":"ScienceDirect","title":"Macroecological inferences on soil fauna through comparative niche modeling: The case of Hormogastridae (Annelida, Oligochaeta)","title-short":"Macroecological inferences on soil fauna through comparative niche modeling","volume":"75","author":[{"family":"Marchán","given":"Daniel F."},{"family":"Refoyo","given":"Pablo"},{"family":"Fernández","given":"Rosa"},{"family":"Novo","given":"Marta"},{"family":"Sosa","given":"Irene","non-dropping-particle":"de"},{"family":"Díaz Cosín","given":"Darío J."}],"issued":{"date-parts":[["2016",7,1]]}}},{"id":1047,"uris":["http://zotero.org/users/7119014/items/8ENHPEXA"],"itemData":{"id":1047,"type":"article-journal","abstract":"The historical biogeography of the Lumbricidae, the main Palearctic earthworm family, may be linked to the paleogeography of their putative ancestral range in Iberia–southeastern France–Corsica–Sardinia. Although molecular phylogenetics has recently been used to analyze most endemic genera in this area, the genus Kritodrilus has not yet been studied. The generotype Kritodrilus calarensis and other closely related species inhabit southeastern France. However, other species from the Iberian Peninsula (e.g., Kr. osellai) have been assigned to Kritodrilus, the same for the Vindobonic (Hungarian–Austrian–Czech–Slovakian) Dendrobaena mrazeki. In order to unravel the paleobiogeographic, evolutionary, and taxonomic significance of Kritodrilus, the aforementioned species (and three potential relatives) were sequenced for seven molecular markers. Molecular phylogenetic inference recovered a clade of French Kritodrilus (including Et. setusmontanus) closely related to the Northwestern Iberian Galiciandrilus and Compostelandrilus, the latter being a sister clade to the Vindobonic species (described as a new genus). Time-calibrated phylogenetic inference estimated that these three clades diverged around 55 Ma. Ecological niche models for these clades were mainly influenced by the same environmental variables, but showed non-overlapping highly suitable areas (except for Kritodrilus). Ancestral area reconstruction inferred the origin of the Lumbricidae in Corsica–Sardinia and the Iberian Peninsula, with eventual expansion eastwards toward France, Central Europe, and the Carpato-Balkanic area. For Kritodrilus and its relatives, this expansion may have been contemporaneous with the Paleocene–Eocene thermal maximum. Later climatic changes may explain the strikingly disjunct ranges. This work highlights the evolutionary and biogeographic significance of these isolated earthworm lineages and the importance of their preservation.","container-title":"Journal of Zoological Systematics and Evolutionary Research","DOI":"10.1111/jzs.12514","ISSN":"1439-0469","issue":"8","language":"en","license":"© 2021 Wiley-VCH GmbH","note":"_eprint: https://onlinelibrary.wiley.com/doi/pdf/10.1111/jzs.12514","page":"1703-1717","source":"Wiley Online Library","title":"The disjunct distribution of relict earthworm genera clarifies the early historical biogeography of the Lumbricidae (Crassiclitellata, Annelida)","volume":"59","author":[{"family":"Marchán","given":"Daniel F."},{"family":"Csuzdi","given":"Csaba"},{"family":"Decaëns","given":"Thibaud"},{"family":"Szederjesi","given":"Timea"},{"family":"Pizl","given":"Vaclav"},{"family":"Domínguez","given":"Jorge"}],"issued":{"date-parts":[["2021"]]}}},{"id":999,"uris":["http://zotero.org/users/7119014/items/FUPHVLK9"],"itemData":{"id":999,"type":"article-journal","abstract":"In spite of the high conservation value of soil fauna, the evaluation of their conservation status has usually been neglected. This is more evident for earthworms, one of the most important ecosystem service providers in temperate habitats but rarely the subject of conservation research. These studies have not been developed in Western Europe, which comprises high diversity and several early-branching, relic genera. One potentially menaced representative of this fauna is Compostelandrilus cyaneus; this risk can be assessed by implementing potential distribution modeling and genetic diversity monitoring to their known populations. Genetic barcoding was performed in representatives of four populations (three of them newly sampled) in order to estimate genetic diversity and population genetics parameters. Ensemble species distribution models were built by combining several algorithms and using the five more relevant bioclimatic and soil variables as predictors. A large amount of genetic diversity was found in a small area of less than 20 km2, with populations located in less managed, better-preserved habitats showing higher genetic variability than populations isolated from natural habitats and surrounded by anthropic habitats. Potential distribution appears to be strongly restricted at a regional scale, and suitable habitats within the extent of occurrence appear fragmented and relatively limited. In addition, the main variables determining the ecological niche of C. cyaneus suggests a vulnerability to climate change and increasing soil compaction. Based on this knowledge, this species was assessed as Critically Endangered following the IUCN Red List of Threatened Species criteria, and some potential conservation actions are suggested.","container-title":"Genes","DOI":"10.3390/genes13020337","ISSN":"2073-4425","issue":"2","language":"en","license":"http://creativecommons.org/licenses/by/3.0/","note":"number: 2\npublisher: Multidisciplinary Digital Publishing Institute","page":"337","source":"www.mdpi.com","title":"Evaluating the Conservation Status of a North-Western Iberian Earthworm (Compostelandrilus cyaneus) with Insight into Its Genetic Diversity and Ecological Preferences","volume":"13","author":[{"family":"Marchán","given":"Daniel F."},{"family":"Domínguez","given":"Jorge"}],"issued":{"date-parts":[["2022",2]]}}},{"id":245,"uris":["http://zotero.org/users/7119014/items/ELLWPHW8"],"itemData":{"id":245,"type":"article-journal","abstract":"Earthworm communities are subjected to a great variety of agricultural practices in cropping systems. Most studies that focus on the impacts of agricultural practices on earthworm communities have been carried out on a small combination of practices (e.g., tillage, pesticides, fertilization…) while their simultaneous effects in the field remain little known. In this context, the aim of the present study was to jointly evaluate the effects of (i) tillage (ploughing vs reduced tillage), (ii) fertilization (mineral and organic) and (iii) pesticide applications (herbicides and a combination of insecticides, fungicides and molluscicides) on earthworm communities. Abundance, biomass and richness of earthworm communities were monitored for four consecutive years (2017 to 2020) on a network of 26 fields where annual crops are cultivated, in Brittany (France). The results of this medium-term multifactorial study highlighted that tillage was the most influential agricultural practice on earthworms, followed respectively by fertilization and pesticides application. Our study demonstrated that ploughing was more detrimental to earthworm biomass and richness than to earthworm abundance. Compared to reduced tillage, plough decreased earthworm richness by 1.2-fold, total earthworm biomass by 1.6-fold, Aporrectodea anecic biomass and abundance by respectively 2.7-fold and 2.8-fold. Increased mineral fertilization increased epigeic abundance and biomass as well as Lumbricus anecic biomass. In contrast, organic fertilization did not affect any earthworm community parameters. Increase use of insecticides, fungicides and molluscicides decreased the biomass of Aporrectodea anecic earthworms. Finally, endogeic earthworms have not been impacted by any agricultural practices. To move towards sustainable agriculture, it is necessary to adapt crop management in order to preserve the ecosystem services provided by soil biodiversity, in particular earthworms.","container-title":"Applied Soil Ecology","DOI":"10.1016/j.apsoil.2023.105073","ISSN":"0929-1393","journalAbbreviation":"Applied Soil Ecology","language":"en","license":"All rights reserved","page":"105073","source":"ScienceDirect","title":"Combined effects of annual crop agricultural practices on earthworm communities","volume":"192","author":[{"family":"Diallo","given":"Abdourahmane"},{"family":"Hoeffner","given":"Kevin"},{"family":"Guillocheau","given":"Sarah"},{"family":"Sorgniard","given":"Pierrick"},{"family":"Cluzeau","given":"Daniel"}],"issued":{"date-parts":[["2023",12,1]]}}}],"schema":"https://github.com/citation-style-language/schema/raw/master/csl-citation.json"} </w:instrText>
      </w:r>
      <w:r w:rsidR="00E963B7" w:rsidRPr="00E252FB">
        <w:rPr>
          <w:rFonts w:cs="Times New Roman"/>
          <w:szCs w:val="24"/>
        </w:rPr>
        <w:fldChar w:fldCharType="separate"/>
      </w:r>
      <w:r w:rsidR="00E963B7" w:rsidRPr="00E252FB">
        <w:rPr>
          <w:rFonts w:cs="Times New Roman"/>
          <w:kern w:val="0"/>
        </w:rPr>
        <w:t>(Marchán et al., 2016, 2021; Marchán &amp; Domínguez, 2022; Diallo et al., 2023)</w:t>
      </w:r>
      <w:r w:rsidR="00E963B7" w:rsidRPr="00E252FB">
        <w:rPr>
          <w:rFonts w:cs="Times New Roman"/>
          <w:szCs w:val="24"/>
        </w:rPr>
        <w:fldChar w:fldCharType="end"/>
      </w:r>
      <w:r w:rsidR="00E963B7" w:rsidRPr="00E252FB">
        <w:rPr>
          <w:rFonts w:cs="Times New Roman"/>
          <w:szCs w:val="24"/>
        </w:rPr>
        <w:t xml:space="preserve">. </w:t>
      </w:r>
      <w:r w:rsidRPr="00E252FB">
        <w:rPr>
          <w:rFonts w:cs="Times New Roman"/>
          <w:szCs w:val="24"/>
        </w:rPr>
        <w:t xml:space="preserve">However, few studies have focused on the effects of these factors on earthworm biodiversity and distribution at larger scales, i.e., supranational or national levels </w:t>
      </w:r>
      <w:r w:rsidR="00E963B7" w:rsidRPr="00E252FB">
        <w:rPr>
          <w:rFonts w:cs="Times New Roman"/>
          <w:szCs w:val="24"/>
        </w:rPr>
        <w:fldChar w:fldCharType="begin"/>
      </w:r>
      <w:r w:rsidR="00E963B7" w:rsidRPr="00E252FB">
        <w:rPr>
          <w:rFonts w:cs="Times New Roman"/>
          <w:szCs w:val="24"/>
        </w:rPr>
        <w:instrText xml:space="preserve"> ADDIN ZOTERO_ITEM CSL_CITATION {"citationID":"DVtBb4fF","properties":{"formattedCitation":"(Fourcade &amp; Vercauteren, 2022; Salako et al., 2023; Zeiss et al., 2024)","plainCitation":"(Fourcade &amp; Vercauteren, 2022; Salako et al., 2023; Zeiss et al., 2024)","noteIndex":0},"citationItems":[{"id":1011,"uris":["http://zotero.org/users/7119014/items/QD53Q9Y6"],"itemData":{"id":1011,"type":"article-journal","abstract":"Aim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J."},{"family":"Stucke","given":"Andres"},{"family":"Eberhardt","given":"Einar"}],"issued":{"date-parts":[["2023",6,1]]}}},{"id":1155,"uris":["http://zotero.org/users/7119014/items/QY5LCK2X"],"itemData":{"id":1155,"type":"article-journal","abstract":"Belowground biodiversity distribution does not necessarily reflect aboveground biodiversity patterns, but maps of soil biodiversity remain scarce because of limited data availability. Earthworms belong to the most thoroughly studied soil organisms and—in their role as ecosystem engineers—have a significant impact on ecosystem functioning. We used species distribution modeling (SDMs) and available data sets to map the spatial distribution of commonly observed (i.e., frequently recorded) earthworm species (Annelida, Oligochaeta) across Europe under current and future climate conditions. First, we predicted potential species distributions with commonly used models (i.e., MaxEnt and Biomod) and estimated total species richness (i.e., number of species in a 5 × 5 km grid cell). Second, we determined how much the different types of protected areas covered predicted earthworm richness and species ranges (i.e., distributions) by estimating the respective proportion of the range area. Earthworm species richness was high in central western Europe and low in northeastern Europe. This pattern was mainly associated with annual mean temperature and precipitation seasonality, but the importance of predictor variables to species occurrences varied among species. The geographical ranges of the majority of the earthworm species were predicted to shift to eastern Europe and partly decrease under future climate scenarios. Predicted current and future ranges were only poorly covered by protected areas, such as national parks. More than 80% of future earthworm ranges were on average not protected at all (mean [SD] = 82.6% [0.04]). Overall, our results emphasize the urgency of considering especially vulnerable earthworm species, as well as other soil organisms, in the design of nature conservation measures.","container-title":"Conservation Biology","DOI":"10.1111/cobi.14187","ISSN":"1523-1739","issue":"2","language":"en","license":"© 2024 The Authors. Conservation Biology published by Wiley Periodicals LLC on behalf of Society for Conservation Biology.","note":"_eprint: https://onlinelibrary.wiley.com/doi/pdf/10.1111/cobi.14187","page":"e14187","source":"Wiley Online Library","title":"Effects of climate on the distribution and conservation of commonly observed European earthworms","volume":"38","author":[{"family":"Zeiss","given":"Romy"},{"family":"Briones","given":"Maria J. I."},{"family":"Mathieu","given":"Jérome"},{"family":"Lomba","given":"Angela"},{"family":"Dahlke","given":"Jessica"},{"family":"Heptner","given":"Laura-Fiona"},{"family":"Salako","given":"Gabriel"},{"family":"Eisenhauer","given":"Nico"},{"family":"Guerra","given":"Carlos A."}],"issued":{"date-parts":[["2024"]]}}}],"schema":"https://github.com/citation-style-language/schema/raw/master/csl-citation.json"} </w:instrText>
      </w:r>
      <w:r w:rsidR="00E963B7" w:rsidRPr="00E252FB">
        <w:rPr>
          <w:rFonts w:cs="Times New Roman"/>
          <w:szCs w:val="24"/>
        </w:rPr>
        <w:fldChar w:fldCharType="separate"/>
      </w:r>
      <w:r w:rsidR="00E963B7" w:rsidRPr="00E252FB">
        <w:rPr>
          <w:rFonts w:cs="Times New Roman"/>
        </w:rPr>
        <w:t>(Fourcade &amp; Vercauteren, 2022; Salako et al., 2023; Zeiss et al., 2024)</w:t>
      </w:r>
      <w:r w:rsidR="00E963B7" w:rsidRPr="00E252FB">
        <w:rPr>
          <w:rFonts w:cs="Times New Roman"/>
          <w:szCs w:val="24"/>
        </w:rPr>
        <w:fldChar w:fldCharType="end"/>
      </w:r>
      <w:r w:rsidR="00E963B7" w:rsidRPr="00E252FB">
        <w:rPr>
          <w:rFonts w:cs="Times New Roman"/>
          <w:szCs w:val="24"/>
        </w:rPr>
        <w:t xml:space="preserve">. </w:t>
      </w:r>
      <w:r w:rsidRPr="00E252FB">
        <w:rPr>
          <w:rFonts w:cs="Times New Roman"/>
          <w:szCs w:val="24"/>
        </w:rPr>
        <w:t>The reasons for this lack of knowledge include the limited availability of data at the country or continent level, taxonomic inconsistencies, and difficulties in merging existing databases</w:t>
      </w:r>
      <w:r w:rsidR="003F29A2" w:rsidRPr="00E252FB">
        <w:rPr>
          <w:rFonts w:cs="Times New Roman"/>
          <w:szCs w:val="24"/>
        </w:rPr>
        <w:t xml:space="preserve"> (</w:t>
      </w:r>
      <w:r w:rsidR="003F29A2" w:rsidRPr="00E252FB">
        <w:rPr>
          <w:rFonts w:cs="Times New Roman"/>
          <w:szCs w:val="24"/>
        </w:rPr>
        <w:fldChar w:fldCharType="begin"/>
      </w:r>
      <w:r w:rsidR="003F29A2" w:rsidRPr="00E252FB">
        <w:rPr>
          <w:rFonts w:cs="Times New Roman"/>
          <w:szCs w:val="24"/>
        </w:rPr>
        <w:instrText xml:space="preserve"> ADDIN ZOTERO_ITEM CSL_CITATION {"citationID":"GxB4shci","properties":{"formattedCitation":"(Rutgers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3F29A2" w:rsidRPr="00E252FB">
        <w:rPr>
          <w:rFonts w:cs="Times New Roman"/>
          <w:szCs w:val="24"/>
        </w:rPr>
        <w:fldChar w:fldCharType="separate"/>
      </w:r>
      <w:r w:rsidR="003F29A2" w:rsidRPr="00E252FB">
        <w:rPr>
          <w:rFonts w:cs="Times New Roman"/>
          <w:szCs w:val="24"/>
        </w:rPr>
        <w:t>Rutgers et al. 2016)</w:t>
      </w:r>
      <w:r w:rsidR="003F29A2" w:rsidRPr="00E252FB">
        <w:rPr>
          <w:rFonts w:cs="Times New Roman"/>
          <w:szCs w:val="24"/>
        </w:rPr>
        <w:fldChar w:fldCharType="end"/>
      </w:r>
      <w:r w:rsidRPr="00E252FB">
        <w:rPr>
          <w:rFonts w:cs="Times New Roman"/>
          <w:szCs w:val="24"/>
        </w:rPr>
        <w:t xml:space="preserve">. The first study conducted at a continental scale was carried out by </w:t>
      </w:r>
      <w:r w:rsidR="003F29A2" w:rsidRPr="00E252FB">
        <w:rPr>
          <w:rFonts w:cs="Times New Roman"/>
          <w:szCs w:val="24"/>
        </w:rPr>
        <w:fldChar w:fldCharType="begin"/>
      </w:r>
      <w:r w:rsidR="009268B1" w:rsidRPr="00E252FB">
        <w:rPr>
          <w:rFonts w:cs="Times New Roman"/>
          <w:szCs w:val="24"/>
        </w:rPr>
        <w:instrText xml:space="preserve"> ADDIN ZOTERO_ITEM CSL_CITATION {"citationID":"lwWNl6s5","properties":{"formattedCitation":"(Rutgers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3F29A2" w:rsidRPr="00E252FB">
        <w:rPr>
          <w:rFonts w:cs="Times New Roman"/>
          <w:szCs w:val="24"/>
        </w:rPr>
        <w:fldChar w:fldCharType="separate"/>
      </w:r>
      <w:r w:rsidR="003F29A2" w:rsidRPr="00E252FB">
        <w:rPr>
          <w:rFonts w:cs="Times New Roman"/>
          <w:szCs w:val="24"/>
        </w:rPr>
        <w:t>Rutgers et al. (2016)</w:t>
      </w:r>
      <w:r w:rsidR="003F29A2" w:rsidRPr="00E252FB">
        <w:rPr>
          <w:rFonts w:cs="Times New Roman"/>
          <w:szCs w:val="24"/>
        </w:rPr>
        <w:fldChar w:fldCharType="end"/>
      </w:r>
      <w:r w:rsidRPr="00E252FB">
        <w:rPr>
          <w:rFonts w:cs="Times New Roman"/>
          <w:szCs w:val="24"/>
        </w:rPr>
        <w:t xml:space="preserve">, who mapped the earthworm community at 3,838 sampled sites across 8 European countries. They observed that earthworm abundance and richness were affected by land use, soil properties (pH, organic matter, and textures), and latitude. Recently, another study by </w:t>
      </w:r>
      <w:r w:rsidR="003F29A2" w:rsidRPr="00E252FB">
        <w:rPr>
          <w:rFonts w:cs="Times New Roman"/>
          <w:szCs w:val="24"/>
        </w:rPr>
        <w:fldChar w:fldCharType="begin"/>
      </w:r>
      <w:r w:rsidR="003F29A2" w:rsidRPr="00E252FB">
        <w:rPr>
          <w:rFonts w:cs="Times New Roman"/>
          <w:szCs w:val="24"/>
        </w:rPr>
        <w:instrText xml:space="preserve"> ADDIN ZOTERO_ITEM CSL_CITATION {"citationID":"yTL7XPzT","properties":{"formattedCitation":"(Phillips et al., 2019)","plainCitation":"(Phillips et al., 2019)","dontUpdate":true,"noteIndex":0},"citationItems":[{"id":995,"uris":["http://zotero.org/users/7119014/items/TLDEJM6M"],"itemData":{"id":995,"type":"article-journal","abstract":"Soil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K."},{"family":"Eisenhauer","given":"Nico"}],"issued":{"date-parts":[["2019",10,25]]}}}],"schema":"https://github.com/citation-style-language/schema/raw/master/csl-citation.json"} </w:instrText>
      </w:r>
      <w:r w:rsidR="003F29A2" w:rsidRPr="00E252FB">
        <w:rPr>
          <w:rFonts w:cs="Times New Roman"/>
          <w:szCs w:val="24"/>
        </w:rPr>
        <w:fldChar w:fldCharType="separate"/>
      </w:r>
      <w:r w:rsidR="003F29A2" w:rsidRPr="00E252FB">
        <w:rPr>
          <w:rFonts w:cs="Times New Roman"/>
          <w:szCs w:val="24"/>
        </w:rPr>
        <w:t>Phillips et al. (2019)</w:t>
      </w:r>
      <w:r w:rsidR="003F29A2" w:rsidRPr="00E252FB">
        <w:rPr>
          <w:rFonts w:cs="Times New Roman"/>
          <w:szCs w:val="24"/>
        </w:rPr>
        <w:fldChar w:fldCharType="end"/>
      </w:r>
      <w:r w:rsidRPr="00E252FB">
        <w:rPr>
          <w:rFonts w:cs="Times New Roman"/>
          <w:szCs w:val="24"/>
        </w:rPr>
        <w:t xml:space="preserve"> on 9,212 sites distributed across 57 countries demonstrated that climatic factors and habitat type are the most important environmental filters affecting earthworm parameters. However, their studies are limited by the use of a single type of predictive modeling algorithm: generalized linear models for </w:t>
      </w:r>
      <w:r w:rsidR="003F29A2" w:rsidRPr="00E252FB">
        <w:rPr>
          <w:rFonts w:cs="Times New Roman"/>
          <w:szCs w:val="24"/>
        </w:rPr>
        <w:fldChar w:fldCharType="begin"/>
      </w:r>
      <w:r w:rsidR="009268B1" w:rsidRPr="00E252FB">
        <w:rPr>
          <w:rFonts w:cs="Times New Roman"/>
          <w:szCs w:val="24"/>
        </w:rPr>
        <w:instrText xml:space="preserve"> ADDIN ZOTERO_ITEM CSL_CITATION {"citationID":"y6zTAu9N","properties":{"formattedCitation":"(Rutgers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3F29A2" w:rsidRPr="00E252FB">
        <w:rPr>
          <w:rFonts w:cs="Times New Roman"/>
          <w:szCs w:val="24"/>
        </w:rPr>
        <w:fldChar w:fldCharType="separate"/>
      </w:r>
      <w:r w:rsidR="003F29A2" w:rsidRPr="00E252FB">
        <w:rPr>
          <w:rFonts w:cs="Times New Roman"/>
          <w:szCs w:val="24"/>
        </w:rPr>
        <w:t>Rutgers et al. (2016)</w:t>
      </w:r>
      <w:r w:rsidR="003F29A2" w:rsidRPr="00E252FB">
        <w:rPr>
          <w:rFonts w:cs="Times New Roman"/>
          <w:szCs w:val="24"/>
        </w:rPr>
        <w:fldChar w:fldCharType="end"/>
      </w:r>
      <w:r w:rsidRPr="00E252FB">
        <w:rPr>
          <w:rFonts w:cs="Times New Roman"/>
          <w:szCs w:val="24"/>
        </w:rPr>
        <w:t xml:space="preserve"> and generalized linear mixed models for </w:t>
      </w:r>
      <w:r w:rsidR="003F29A2" w:rsidRPr="00E252FB">
        <w:rPr>
          <w:rFonts w:cs="Times New Roman"/>
          <w:szCs w:val="24"/>
        </w:rPr>
        <w:fldChar w:fldCharType="begin"/>
      </w:r>
      <w:r w:rsidR="009268B1" w:rsidRPr="00E252FB">
        <w:rPr>
          <w:rFonts w:cs="Times New Roman"/>
          <w:szCs w:val="24"/>
        </w:rPr>
        <w:instrText xml:space="preserve"> ADDIN ZOTERO_ITEM CSL_CITATION {"citationID":"Z8cMfqG2","properties":{"formattedCitation":"(Phillips et al., 2019)","plainCitation":"(Phillips et al., 2019)","dontUpdate":true,"noteIndex":0},"citationItems":[{"id":995,"uris":["http://zotero.org/users/7119014/items/TLDEJM6M"],"itemData":{"id":995,"type":"article-journal","abstract":"Soil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K."},{"family":"Eisenhauer","given":"Nico"}],"issued":{"date-parts":[["2019",10,25]]}}}],"schema":"https://github.com/citation-style-language/schema/raw/master/csl-citation.json"} </w:instrText>
      </w:r>
      <w:r w:rsidR="003F29A2" w:rsidRPr="00E252FB">
        <w:rPr>
          <w:rFonts w:cs="Times New Roman"/>
          <w:szCs w:val="24"/>
        </w:rPr>
        <w:fldChar w:fldCharType="separate"/>
      </w:r>
      <w:r w:rsidR="003F29A2" w:rsidRPr="00E252FB">
        <w:rPr>
          <w:rFonts w:cs="Times New Roman"/>
          <w:szCs w:val="24"/>
        </w:rPr>
        <w:t>Phillips et al. (2019)</w:t>
      </w:r>
      <w:r w:rsidR="003F29A2" w:rsidRPr="00E252FB">
        <w:rPr>
          <w:rFonts w:cs="Times New Roman"/>
          <w:szCs w:val="24"/>
        </w:rPr>
        <w:fldChar w:fldCharType="end"/>
      </w:r>
      <w:r w:rsidRPr="00E252FB">
        <w:rPr>
          <w:rFonts w:cs="Times New Roman"/>
          <w:szCs w:val="24"/>
        </w:rPr>
        <w:t>. Therefore, it would be relevant to compare multiple algorithms to find the best model for each earthworm parameter (abundance, biomass, and richness).</w:t>
      </w:r>
    </w:p>
    <w:p w14:paraId="50AC3B7C" w14:textId="45B4D36A" w:rsidR="007A2DEB" w:rsidRPr="00E252FB" w:rsidRDefault="007A2DEB" w:rsidP="0000187D">
      <w:pPr>
        <w:rPr>
          <w:rFonts w:cs="Times New Roman"/>
          <w:szCs w:val="24"/>
        </w:rPr>
      </w:pPr>
      <w:r w:rsidRPr="00E252FB">
        <w:rPr>
          <w:rFonts w:cs="Times New Roman"/>
          <w:szCs w:val="24"/>
        </w:rPr>
        <w:lastRenderedPageBreak/>
        <w:t xml:space="preserve">In France, the most recent study was conducted at 1,366 sites by </w:t>
      </w:r>
      <w:r w:rsidRPr="00E252FB">
        <w:rPr>
          <w:rFonts w:cs="Times New Roman"/>
          <w:szCs w:val="24"/>
        </w:rPr>
        <w:fldChar w:fldCharType="begin"/>
      </w:r>
      <w:r w:rsidRPr="00E252FB">
        <w:rPr>
          <w:rFonts w:cs="Times New Roman"/>
          <w:szCs w:val="24"/>
        </w:rPr>
        <w:instrText xml:space="preserve"> ADDIN ZOTERO_ITEM CSL_CITATION {"citationID":"HXTWwOD9","properties":{"formattedCitation":"(Fourcade and Vercauteren, 2022)","plainCitation":"(Fourcade and Vercauteren, 2022)","dontUpdate":true,"noteIndex":0},"citationItems":[{"id":1011,"uris":["http://zotero.org/users/7119014/items/QD53Q9Y6"],"itemData":{"id":1011,"type":"article-journal","abstract":"Aim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change","volume":"28","author":[{"family":"Fourcade","given":"Yoan"},{"family":"Vercauteren","given":"Mathias"}],"issued":{"date-parts":[["2022"]]}}}],"schema":"https://github.com/citation-style-language/schema/raw/master/csl-citation.json"} </w:instrText>
      </w:r>
      <w:r w:rsidRPr="00E252FB">
        <w:rPr>
          <w:rFonts w:cs="Times New Roman"/>
          <w:szCs w:val="24"/>
        </w:rPr>
        <w:fldChar w:fldCharType="separate"/>
      </w:r>
      <w:r w:rsidRPr="00E252FB">
        <w:rPr>
          <w:rFonts w:cs="Times New Roman"/>
          <w:szCs w:val="24"/>
        </w:rPr>
        <w:t>Fourcade and Vercauteren (2022)</w:t>
      </w:r>
      <w:r w:rsidRPr="00E252FB">
        <w:rPr>
          <w:rFonts w:cs="Times New Roman"/>
          <w:szCs w:val="24"/>
        </w:rPr>
        <w:fldChar w:fldCharType="end"/>
      </w:r>
      <w:r w:rsidRPr="00E252FB">
        <w:rPr>
          <w:rFonts w:cs="Times New Roman"/>
          <w:szCs w:val="24"/>
        </w:rPr>
        <w:t xml:space="preserve">, who utilized boosted regression trees to build spatial predictions of functional diversity with 44 earthworm species. Their research shows a decline in functional richness between 1960 and 2012. Additionally, their models predict that this reduction in functional richness could continue in the future across different temporal periods and climate change scenarios. However, </w:t>
      </w:r>
      <w:r w:rsidR="001F33F9" w:rsidRPr="00E252FB">
        <w:rPr>
          <w:rFonts w:cs="Times New Roman"/>
          <w:szCs w:val="24"/>
        </w:rPr>
        <w:fldChar w:fldCharType="begin"/>
      </w:r>
      <w:r w:rsidR="009268B1" w:rsidRPr="00E252FB">
        <w:rPr>
          <w:rFonts w:cs="Times New Roman"/>
          <w:szCs w:val="24"/>
        </w:rPr>
        <w:instrText xml:space="preserve"> ADDIN ZOTERO_ITEM CSL_CITATION {"citationID":"2nAuRFg1","properties":{"formattedCitation":"(Fourcade and Vercauteren, 2022)","plainCitation":"(Fourcade and Vercauteren, 2022)","dontUpdate":true,"noteIndex":0},"citationItems":[{"id":1011,"uris":["http://zotero.org/users/7119014/items/QD53Q9Y6"],"itemData":{"id":1011,"type":"article-journal","abstract":"Aim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change","volume":"28","author":[{"family":"Fourcade","given":"Yoan"},{"family":"Vercauteren","given":"Mathias"}],"issued":{"date-parts":[["2022"]]}}}],"schema":"https://github.com/citation-style-language/schema/raw/master/csl-citation.json"} </w:instrText>
      </w:r>
      <w:r w:rsidR="001F33F9" w:rsidRPr="00E252FB">
        <w:rPr>
          <w:rFonts w:cs="Times New Roman"/>
          <w:szCs w:val="24"/>
        </w:rPr>
        <w:fldChar w:fldCharType="separate"/>
      </w:r>
      <w:r w:rsidR="001F33F9" w:rsidRPr="00E252FB">
        <w:rPr>
          <w:rFonts w:cs="Times New Roman"/>
          <w:szCs w:val="24"/>
        </w:rPr>
        <w:t>Fourcade and Vercauteren</w:t>
      </w:r>
      <w:r w:rsidR="001C7C6B" w:rsidRPr="00E252FB">
        <w:rPr>
          <w:rFonts w:cs="Times New Roman"/>
          <w:szCs w:val="24"/>
        </w:rPr>
        <w:t>'s</w:t>
      </w:r>
      <w:r w:rsidR="001F33F9" w:rsidRPr="00E252FB">
        <w:rPr>
          <w:rFonts w:cs="Times New Roman"/>
          <w:szCs w:val="24"/>
        </w:rPr>
        <w:t xml:space="preserve"> (2022)</w:t>
      </w:r>
      <w:r w:rsidR="001F33F9" w:rsidRPr="00E252FB">
        <w:rPr>
          <w:rFonts w:cs="Times New Roman"/>
          <w:szCs w:val="24"/>
        </w:rPr>
        <w:fldChar w:fldCharType="end"/>
      </w:r>
      <w:r w:rsidRPr="00E252FB">
        <w:rPr>
          <w:rFonts w:cs="Times New Roman"/>
          <w:szCs w:val="24"/>
        </w:rPr>
        <w:t xml:space="preserve"> study is based on presence/absence data of earthworm species in France collected in the 1960s by </w:t>
      </w:r>
      <w:r w:rsidR="001C7C6B" w:rsidRPr="00E252FB">
        <w:rPr>
          <w:rFonts w:cs="Times New Roman"/>
          <w:szCs w:val="24"/>
        </w:rPr>
        <w:fldChar w:fldCharType="begin"/>
      </w:r>
      <w:r w:rsidR="001C7C6B" w:rsidRPr="00E252FB">
        <w:rPr>
          <w:rFonts w:cs="Times New Roman"/>
          <w:szCs w:val="24"/>
        </w:rPr>
        <w:instrText xml:space="preserve"> ADDIN ZOTERO_ITEM CSL_CITATION {"citationID":"QllsLShn","properties":{"formattedCitation":"(Bouch\\uc0\\u233{}, 1972)","plainCitation":"(Bouché, 1972)","dontUpdate":true,"noteIndex":0},"citationItems":[{"id":430,"uris":["http://zotero.org/users/7119014/items/44Y4WQN6"],"itemData":{"id":430,"type":"book","language":"fr","note":"issue: HS\npage: 671 p.","publisher":"INRA Editions","source":"hal.inrae.fr","title":"Lombriciens de France. Ecologie et systématique","URL":"https://hal.inrae.fr/hal-02859798","volume":"72-2","author":[{"family":"Bouché","given":"M. B."}],"accessed":{"date-parts":[["2022",2,18]]},"issued":{"date-parts":[["1972"]]}}}],"schema":"https://github.com/citation-style-language/schema/raw/master/csl-citation.json"} </w:instrText>
      </w:r>
      <w:r w:rsidR="001C7C6B" w:rsidRPr="00E252FB">
        <w:rPr>
          <w:rFonts w:cs="Times New Roman"/>
          <w:szCs w:val="24"/>
        </w:rPr>
        <w:fldChar w:fldCharType="separate"/>
      </w:r>
      <w:r w:rsidR="001C7C6B" w:rsidRPr="00E252FB">
        <w:rPr>
          <w:rFonts w:cs="Times New Roman"/>
          <w:kern w:val="0"/>
        </w:rPr>
        <w:t>Bouché (1972)</w:t>
      </w:r>
      <w:r w:rsidR="001C7C6B" w:rsidRPr="00E252FB">
        <w:rPr>
          <w:rFonts w:cs="Times New Roman"/>
          <w:szCs w:val="24"/>
        </w:rPr>
        <w:fldChar w:fldCharType="end"/>
      </w:r>
      <w:r w:rsidRPr="00E252FB">
        <w:rPr>
          <w:rFonts w:cs="Times New Roman"/>
          <w:szCs w:val="24"/>
        </w:rPr>
        <w:t xml:space="preserve">. These data no longer reflect the current earthworm assemblage in France. Furthermore, the study of earthworm communities should include variables describing species richness, abundance, and total biomass, which are essential parameters for biodiversity assessments. Relying solely on functional diversity is not sufficient to fully evaluate biodiversity, as, for instance, two communities may be identical in terms of diversity but differ in terms of density </w:t>
      </w:r>
      <w:r w:rsidR="001C7C6B" w:rsidRPr="00E252FB">
        <w:rPr>
          <w:rFonts w:cs="Times New Roman"/>
          <w:szCs w:val="24"/>
        </w:rPr>
        <w:fldChar w:fldCharType="begin"/>
      </w:r>
      <w:r w:rsidR="001C7C6B" w:rsidRPr="00E252FB">
        <w:rPr>
          <w:rFonts w:cs="Times New Roman"/>
          <w:szCs w:val="24"/>
        </w:rPr>
        <w:instrText xml:space="preserve"> ADDIN ZOTERO_ITEM CSL_CITATION {"citationID":"6WVji3bf","properties":{"formattedCitation":"(Groves, 2022)","plainCitation":"(Groves, 2022)","noteIndex":0},"citationItems":[{"id":1126,"uris":["http://zotero.org/users/7119014/items/99W33M6C"],"itemData":{"id":1126,"type":"webpage","title":"Biogeographic region | Definition, Features, Locations, &amp; Facts | Britannica","URL":"https://www.britannica.com/science/biogeographic-region","author":[{"family":"Groves","given":"C. Peter"}],"accessed":{"date-parts":[["2024",4,17]]},"issued":{"date-parts":[["2022"]]}}}],"schema":"https://github.com/citation-style-language/schema/raw/master/csl-citation.json"} </w:instrText>
      </w:r>
      <w:r w:rsidR="001C7C6B" w:rsidRPr="00E252FB">
        <w:rPr>
          <w:rFonts w:cs="Times New Roman"/>
          <w:szCs w:val="24"/>
        </w:rPr>
        <w:fldChar w:fldCharType="separate"/>
      </w:r>
      <w:r w:rsidR="001C7C6B" w:rsidRPr="00E252FB">
        <w:rPr>
          <w:rFonts w:cs="Times New Roman"/>
        </w:rPr>
        <w:t>(Groves, 2022)</w:t>
      </w:r>
      <w:r w:rsidR="001C7C6B" w:rsidRPr="00E252FB">
        <w:rPr>
          <w:rFonts w:cs="Times New Roman"/>
          <w:szCs w:val="24"/>
        </w:rPr>
        <w:fldChar w:fldCharType="end"/>
      </w:r>
      <w:r w:rsidR="001C7C6B" w:rsidRPr="00E252FB">
        <w:rPr>
          <w:rFonts w:cs="Times New Roman"/>
          <w:szCs w:val="24"/>
        </w:rPr>
        <w:t>.</w:t>
      </w:r>
    </w:p>
    <w:p w14:paraId="68F28AA0" w14:textId="4C5AF301" w:rsidR="00CC376D" w:rsidRPr="00E252FB" w:rsidRDefault="00921E7B" w:rsidP="0000187D">
      <w:pPr>
        <w:rPr>
          <w:rFonts w:cs="Times New Roman"/>
          <w:szCs w:val="24"/>
        </w:rPr>
      </w:pPr>
      <w:r w:rsidRPr="00E252FB">
        <w:rPr>
          <w:rFonts w:cs="Times New Roman"/>
          <w:szCs w:val="24"/>
        </w:rPr>
        <w:t xml:space="preserve">To understand biodiversity, its distribution, and the environmental factors influencing this distribution, several tools have been developed in recent years. We distinguish species distribution models (SDMs), which are models based on ecological niches and allow for modeling correlations between species or communities and their environment </w:t>
      </w:r>
      <w:r w:rsidR="00CD4D2D" w:rsidRPr="00E252FB">
        <w:rPr>
          <w:rFonts w:cs="Times New Roman"/>
          <w:szCs w:val="24"/>
        </w:rPr>
        <w:fldChar w:fldCharType="begin"/>
      </w:r>
      <w:r w:rsidR="009268B1" w:rsidRPr="00E252FB">
        <w:rPr>
          <w:rFonts w:cs="Times New Roman"/>
          <w:szCs w:val="24"/>
        </w:rPr>
        <w:instrText xml:space="preserve"> ADDIN ZOTERO_ITEM CSL_CITATION {"citationID":"eRfXj1Rt","properties":{"formattedCitation":"(Elith &amp; Leathwick, 2009; Guisan et al., 2017)","plainCitation":"(Elith &amp; Leathwick, 2009; Guisan et al., 2017)","noteIndex":0},"citationItems":[{"id":1102,"uris":["http://zotero.org/users/7119014/items/QFIFJTSI"],"itemData":{"id":1102,"type":"article-journal","abstract":"Species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“established use.”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uncertainty.","container-title":"Annual Review of Ecology, Evolution, and Systematics","DOI":"10.1146/annurev.ecolsys.110308.120159","issue":"1","note":"_eprint: https://doi.org/10.1146/annurev.ecolsys.110308.120159","page":"677-697","source":"Annual Reviews","title":"Species Distribution Models: Ecological Explanation and Prediction Across Space and Time","title-short":"Species Distribution Models","volume":"40","author":[{"family":"Elith","given":"Jane"},{"family":"Leathwick","given":"John R."}],"issued":{"date-parts":[["2009"]]}}},{"id":1104,"uris":["http://zotero.org/users/7119014/items/2D592TSI"],"itemData":{"id":1104,"type":"book","abstract":"This book introduces the key stages of niche-based habitat suitability model building, evaluation and prediction required for understanding and predicting future patterns of species and biodiversity. Beginning with the main theory behind ecological niches and species distributions, the book proceeds through all major steps of model building, from conceptualization and model training to model evaluation and spatio-temporal predictions. Extensive examples using R support graduate students and researchers in quantifying ecological niches and predicting species distributions with their own data, and help to address key environmental and conservation problems. Reflecting this highly active field of research, the book incorporates the latest developments from informatics and statistics, as well as using data from remote sources such as satellite imagery. A website at www.unil.ch/hsdm contains the codes and supporting material required to run the examples and teach courses.","collection-title":"Ecology, Biodiversity and Conservation","event-place":"Cambridge","ISBN":"978-0-521-76513-8","note":"DOI: 10.1017/9781139028271","publisher":"Cambridge University Press","publisher-place":"Cambridge","source":"Cambridge University Press","title":"Habitat Suitability and Distribution Models: With Applications in R","title-short":"Habitat Suitability and Distribution Models","URL":"https://www.cambridge.org/core/books/habitat-suitability-and-distribution-models/A17F74A3418DBF9ADA191A04C35187F9","author":[{"family":"Guisan","given":"Antoine"},{"family":"Thuiller","given":"Wilfried"},{"family":"Zimmermann","given":"Niklaus E."}],"accessed":{"date-parts":[["2024",1,30]]},"issued":{"date-parts":[["2017"]]}}}],"schema":"https://github.com/citation-style-language/schema/raw/master/csl-citation.json"} </w:instrText>
      </w:r>
      <w:r w:rsidR="00CD4D2D" w:rsidRPr="00E252FB">
        <w:rPr>
          <w:rFonts w:cs="Times New Roman"/>
          <w:szCs w:val="24"/>
        </w:rPr>
        <w:fldChar w:fldCharType="separate"/>
      </w:r>
      <w:r w:rsidR="00CD4D2D" w:rsidRPr="00E252FB">
        <w:rPr>
          <w:rFonts w:cs="Times New Roman"/>
        </w:rPr>
        <w:t>(Elith &amp; Leathwick, 2009; Guisan et al., 2017)</w:t>
      </w:r>
      <w:r w:rsidR="00CD4D2D" w:rsidRPr="00E252FB">
        <w:rPr>
          <w:rFonts w:cs="Times New Roman"/>
          <w:szCs w:val="24"/>
        </w:rPr>
        <w:fldChar w:fldCharType="end"/>
      </w:r>
      <w:r w:rsidRPr="00E252FB">
        <w:rPr>
          <w:rFonts w:cs="Times New Roman"/>
          <w:szCs w:val="24"/>
        </w:rPr>
        <w:t xml:space="preserve">. However, this type of model requires, on the one hand, data on parameters characterizing communities and, on the other hand, spatial environmental data. Various SDMs exist, each with its advantages and disadvantages </w:t>
      </w:r>
      <w:r w:rsidR="00CD4D2D" w:rsidRPr="00E252FB">
        <w:rPr>
          <w:rFonts w:cs="Times New Roman"/>
          <w:szCs w:val="24"/>
        </w:rPr>
        <w:fldChar w:fldCharType="begin"/>
      </w:r>
      <w:r w:rsidR="009268B1" w:rsidRPr="00E252FB">
        <w:rPr>
          <w:rFonts w:cs="Times New Roman"/>
          <w:szCs w:val="24"/>
        </w:rPr>
        <w:instrText xml:space="preserve"> ADDIN ZOTERO_ITEM CSL_CITATION {"citationID":"zXPORLWf","properties":{"formattedCitation":"(Li &amp; Wang, 2013; Valavi et al., 2021)","plainCitation":"(Li &amp; Wang, 2013; Valavi et al., 2021)","noteIndex":0},"citationItems":[{"id":1032,"uris":["http://zotero.org/users/7119014/items/XECVIZYT"],"itemData":{"id":1032,"type":"article-journal","abstract":"Species distribution models have been used extensively in many fields, including climate change biology, landscape ecology and conservation biology. In the past 3 decades, a number of new models have been proposed, yet researchers still find it difficult to select appropriate models for data and objectives. In this review, we aim to provide insight into the prevailing species distribution models for newcomers in the field of modelling. We compared 11 popular models, including regression models (the generalized linear model, the generalized additive model, the multivariate adaptive regression splines model and hierarchical modelling), classification models (mixture discriminant analysis, the generalized boosting model, and classification and regression tree analysis) and complex models (artificial neural network, random forest, genetic algorithm for rule set production and maximum entropy approaches). Our objectives are: (i) to compare the strengths and weaknesses of the models, their characteristics and identify suitable situations for their use (in terms of data type and species–environment relationships) and (ii) to provide guidelines for model application, including 3 steps: model selection, model formulation and parameter estimation.","container-title":"Integrative Zoology","DOI":"10.1111/1749-4877.12000","ISSN":"1749-4877","issue":"2","language":"en","license":"© 2012 Wiley Publishing Asia Pty Ltd, ISZS and IOZ/CAS","note":"_eprint: https://onlinelibrary.wiley.com/doi/pdf/10.1111/1749-4877.12000","page":"124-135","source":"Wiley Online Library","title":"Applying various algorithms for species distribution modelling","volume":"8","author":[{"family":"Li","given":"Xinhai"},{"family":"Wang","given":"Yuan"}],"issued":{"date-parts":[["2013"]]}}},{"id":1035,"uris":["http://zotero.org/users/7119014/items/KQTP8L6U"],"itemData":{"id":1035,"type":"article-journal","abstract":"The random forest (RF) algorithm is an ensemble of classification or regression trees and is widely used, including for species distribution modelling (SDM). Many researchers use implementations of RF in the R programming language with default parameters to analyse species presence-only data together with ‘background' samples. However, there is good evidence that RF with default parameters does not perform well for such ‘presence-background' modelling. This is often attributed to the disparity between the number of presence and background samples, also known as 'class imbalance', and several solutions have been proposed. Here, we first set the context: the background sample should be large enough to represent all environments in the region. We then aim to understand the drivers of poor performance of RF when models are fitted to presence-only species data alongside background samples. We show that 'class overlap' (where both classes occur in the same environment) is an important driver of poor performance, alongside class imbalance. Class overlap can even degrade performance for presence–absence data. We explain, test and evaluate suggested solutions. Using simulated and real presence-background data, we compare performance of default RF with other weighting and sampling approaches. Our results demonstrate clear evidence of improvement in the performance of RFs when techniques that explicitly manage imbalance are used. We show that these either limit or enforce tree depth. Without compromising the environmental representativeness of the sampled background, we identify approaches to fitting RF that ameliorate the effects of imbalance and overlap and allow excellent predictive performance. Understanding the problems of RF in presence-background modelling allows new insights into how best to fit models, and should guide future efforts to best deal with such data.","container-title":"Ecography","DOI":"10.1111/ecog.05615","ISSN":"1600-0587","issue":"12","language":"en","license":"© 2021 The Authors. Ecography published by John Wiley &amp; Sons Ltd on behalf of Nordic Society Oikos","note":"_eprint: https://onlinelibrary.wiley.com/doi/pdf/10.1111/ecog.05615","page":"1731-1742","source":"Wiley Online Library","title":"Modelling species presence-only data with random forests","volume":"44","author":[{"family":"Valavi","given":"Roozbeh"},{"family":"Elith","given":"Jane"},{"family":"Lahoz-Monfort","given":"José J."},{"family":"Guillera-Arroita","given":"Gurutzeta"}],"issued":{"date-parts":[["2021"]]}}}],"schema":"https://github.com/citation-style-language/schema/raw/master/csl-citation.json"} </w:instrText>
      </w:r>
      <w:r w:rsidR="00CD4D2D" w:rsidRPr="00E252FB">
        <w:rPr>
          <w:rFonts w:cs="Times New Roman"/>
          <w:szCs w:val="24"/>
        </w:rPr>
        <w:fldChar w:fldCharType="separate"/>
      </w:r>
      <w:r w:rsidR="00CD4D2D" w:rsidRPr="00E252FB">
        <w:rPr>
          <w:rFonts w:cs="Times New Roman"/>
        </w:rPr>
        <w:t>(Li &amp; Wang, 2013; Valavi et al., 2021)</w:t>
      </w:r>
      <w:r w:rsidR="00CD4D2D" w:rsidRPr="00E252FB">
        <w:rPr>
          <w:rFonts w:cs="Times New Roman"/>
          <w:szCs w:val="24"/>
        </w:rPr>
        <w:fldChar w:fldCharType="end"/>
      </w:r>
      <w:r w:rsidRPr="00E252FB">
        <w:rPr>
          <w:rFonts w:cs="Times New Roman"/>
          <w:szCs w:val="24"/>
        </w:rPr>
        <w:t xml:space="preserve">. The comparative approach of multiple SDMs to predict the geographical distribution area and biodiversity of earthworms in Germany, as proposed by </w:t>
      </w:r>
      <w:r w:rsidR="00CD4D2D" w:rsidRPr="00E252FB">
        <w:rPr>
          <w:rFonts w:cs="Times New Roman"/>
          <w:szCs w:val="24"/>
        </w:rPr>
        <w:fldChar w:fldCharType="begin"/>
      </w:r>
      <w:r w:rsidR="009268B1" w:rsidRPr="00E252FB">
        <w:rPr>
          <w:rFonts w:cs="Times New Roman"/>
          <w:szCs w:val="24"/>
        </w:rPr>
        <w:instrText xml:space="preserve"> ADDIN ZOTERO_ITEM CSL_CITATION {"citationID":"fiHILha3","properties":{"formattedCitation":"(Salako et al., 2023)","plainCitation":"(Salako et al., 2023)","dontUpdate":true,"noteIndex":0},"citationItems":[{"id":987,"uris":["http://zotero.org/users/7119014/items/C9DXIQDG"],"itemData":{"id":987,"type":"article-journal","abstract":"Identifying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00CD4D2D" w:rsidRPr="00E252FB">
        <w:rPr>
          <w:rFonts w:cs="Times New Roman"/>
          <w:szCs w:val="24"/>
        </w:rPr>
        <w:fldChar w:fldCharType="separate"/>
      </w:r>
      <w:r w:rsidR="00CD4D2D" w:rsidRPr="00E252FB">
        <w:rPr>
          <w:rFonts w:cs="Times New Roman"/>
        </w:rPr>
        <w:t>Salako et al. (2023)</w:t>
      </w:r>
      <w:r w:rsidR="00CD4D2D" w:rsidRPr="00E252FB">
        <w:rPr>
          <w:rFonts w:cs="Times New Roman"/>
          <w:szCs w:val="24"/>
        </w:rPr>
        <w:fldChar w:fldCharType="end"/>
      </w:r>
      <w:r w:rsidRPr="00E252FB">
        <w:rPr>
          <w:rFonts w:cs="Times New Roman"/>
          <w:szCs w:val="24"/>
        </w:rPr>
        <w:t>, seems to be a promising approach. The general objective of our study was to develop models to predict the earthworm community in metropolitan France using a comparative approach of different modeling algorithms. Specifically, we sought to address the following objectives: (</w:t>
      </w:r>
      <w:proofErr w:type="spellStart"/>
      <w:r w:rsidRPr="00E252FB">
        <w:rPr>
          <w:rFonts w:cs="Times New Roman"/>
          <w:szCs w:val="24"/>
        </w:rPr>
        <w:t>i</w:t>
      </w:r>
      <w:proofErr w:type="spellEnd"/>
      <w:r w:rsidRPr="00E252FB">
        <w:rPr>
          <w:rFonts w:cs="Times New Roman"/>
          <w:szCs w:val="24"/>
        </w:rPr>
        <w:t xml:space="preserve">) quantify and rank the influence of environmental factors (land use, soil properties, location, and climate data) based on their contribution to predictive models on abundance (individuals per m²), biomass (g per m²), and total taxonomic richness of earthworms (number of taxa in the plot) in metropolitan France (excluding Corsica), and (ii) predict and map these same earthworm parameters based on environmental factors. To address these objectives, we selected five SDM methods or algorithms and compared their predictive performances. This comparative approach reduces the uncertainty associated with predictions and identifies the best model for each earthworm variable (abundance, biomass, and richness). The selected algorithms </w:t>
      </w:r>
      <w:r w:rsidRPr="00E252FB">
        <w:rPr>
          <w:rFonts w:cs="Times New Roman"/>
          <w:szCs w:val="24"/>
        </w:rPr>
        <w:lastRenderedPageBreak/>
        <w:t xml:space="preserve">were generalized linear models (GLM), generalized additive models (GAM), random forests (RF), generalized boosted regression models (GBM), and artificial neural networks (ANN). These algorithms were chosen based on their classification as regression algorithms (GLM and GAM) and machine learning algorithms (RF, GBM, and ANN), as well as their widespread use in recent studies </w:t>
      </w:r>
      <w:r w:rsidR="009268B1" w:rsidRPr="00E252FB">
        <w:rPr>
          <w:rFonts w:cs="Times New Roman"/>
          <w:szCs w:val="24"/>
        </w:rPr>
        <w:fldChar w:fldCharType="begin"/>
      </w:r>
      <w:r w:rsidR="009268B1" w:rsidRPr="00E252FB">
        <w:rPr>
          <w:rFonts w:cs="Times New Roman"/>
          <w:szCs w:val="24"/>
        </w:rPr>
        <w:instrText xml:space="preserve"> ADDIN ZOTERO_ITEM CSL_CITATION {"citationID":"ATTHk4vq","properties":{"unsorted":true,"formattedCitation":"(Li &amp; Wang, 2013; Rutgers et al., 2016; Valavi et al., 2021; Fourcade &amp; Vercauteren, 2022; Salako et al., 2023)","plainCitation":"(Li &amp; Wang, 2013; Rutgers et al., 2016; Valavi et al., 2021; Fourcade &amp; Vercauteren, 2022; Salako et al., 2023)","noteIndex":0},"citationItems":[{"id":1032,"uris":["http://zotero.org/users/7119014/items/XECVIZYT"],"itemData":{"id":1032,"type":"article-journal","abstract":"Species distribution models have been used extensively in many fields, including climate change biology, landscape ecology and conservation biology. In the past 3 decades, a number of new models have been proposed, yet researchers still find it difficult to select appropriate models for data and objectives. In this review, we aim to provide insight into the prevailing species distribution models for newcomers in the field of modelling. We compared 11 popular models, including regression models (the generalized linear model, the generalized additive model, the multivariate adaptive regression splines model and hierarchical modelling), classification models (mixture discriminant analysis, the generalized boosting model, and classification and regression tree analysis) and complex models (artificial neural network, random forest, genetic algorithm for rule set production and maximum entropy approaches). Our objectives are: (i) to compare the strengths and weaknesses of the models, their characteristics and identify suitable situations for their use (in terms of data type and species–environment relationships) and (ii) to provide guidelines for model application, including 3 steps: model selection, model formulation and parameter estimation.","container-title":"Integrative Zoology","DOI":"10.1111/1749-4877.12000","ISSN":"1749-4877","issue":"2","language":"en","license":"© 2012 Wiley Publishing Asia Pty Ltd, ISZS and IOZ/CAS","note":"_eprint: https://onlinelibrary.wiley.com/doi/pdf/10.1111/1749-4877.12000","page":"124-135","source":"Wiley Online Library","title":"Applying various algorithms for species distribution modelling","volume":"8","author":[{"family":"Li","given":"Xinhai"},{"family":"Wang","given":"Yuan"}],"issued":{"date-parts":[["2013"]]}}},{"id":991,"uris":["http://zotero.org/users/7119014/items/UGD4D5CZ"],"itemData":{"id":991,"type":"article-journal","abstract":"Existing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J."},{"family":"Zwart","given":"Dick","dropping-particle":"de"}],"issued":{"date-parts":[["2016",1,1]]}}},{"id":1035,"uris":["http://zotero.org/users/7119014/items/KQTP8L6U"],"itemData":{"id":1035,"type":"article-journal","abstract":"The random forest (RF) algorithm is an ensemble of classification or regression trees and is widely used, including for species distribution modelling (SDM). Many researchers use implementations of RF in the R programming language with default parameters to analyse species presence-only data together with ‘background' samples. However, there is good evidence that RF with default parameters does not perform well for such ‘presence-background' modelling. This is often attributed to the disparity between the number of presence and background samples, also known as 'class imbalance', and several solutions have been proposed. Here, we first set the context: the background sample should be large enough to represent all environments in the region. We then aim to understand the drivers of poor performance of RF when models are fitted to presence-only species data alongside background samples. We show that 'class overlap' (where both classes occur in the same environment) is an important driver of poor performance, alongside class imbalance. Class overlap can even degrade performance for presence–absence data. We explain, test and evaluate suggested solutions. Using simulated and real presence-background data, we compare performance of default RF with other weighting and sampling approaches. Our results demonstrate clear evidence of improvement in the performance of RFs when techniques that explicitly manage imbalance are used. We show that these either limit or enforce tree depth. Without compromising the environmental representativeness of the sampled background, we identify approaches to fitting RF that ameliorate the effects of imbalance and overlap and allow excellent predictive performance. Understanding the problems of RF in presence-background modelling allows new insights into how best to fit models, and should guide future efforts to best deal with such data.","container-title":"Ecography","DOI":"10.1111/ecog.05615","ISSN":"1600-0587","issue":"12","language":"en","license":"© 2021 The Authors. Ecography published by John Wiley &amp; Sons Ltd on behalf of Nordic Society Oikos","note":"_eprint: https://onlinelibrary.wiley.com/doi/pdf/10.1111/ecog.05615","page":"1731-1742","source":"Wiley Online Library","title":"Modelling species presence-only data with random forests","volume":"44","author":[{"family":"Valavi","given":"Roozbeh"},{"family":"Elith","given":"Jane"},{"family":"Lahoz-Monfort","given":"José J."},{"family":"Guillera-Arroita","given":"Gurutzeta"}],"issued":{"date-parts":[["2021"]]}}},{"id":1011,"uris":["http://zotero.org/users/7119014/items/QD53Q9Y6"],"itemData":{"id":1011,"type":"article-journal","abstract":"Aim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009268B1" w:rsidRPr="00E252FB">
        <w:rPr>
          <w:rFonts w:cs="Times New Roman"/>
          <w:szCs w:val="24"/>
        </w:rPr>
        <w:fldChar w:fldCharType="separate"/>
      </w:r>
      <w:r w:rsidR="009268B1" w:rsidRPr="00E252FB">
        <w:rPr>
          <w:rFonts w:cs="Times New Roman"/>
        </w:rPr>
        <w:t>(Li &amp; Wang, 2013; Rutgers et al., 2016; Valavi et al., 2021; Fourcade &amp; Vercauteren, 2022; Salako et al., 2023)</w:t>
      </w:r>
      <w:r w:rsidR="009268B1" w:rsidRPr="00E252FB">
        <w:rPr>
          <w:rFonts w:cs="Times New Roman"/>
          <w:szCs w:val="24"/>
        </w:rPr>
        <w:fldChar w:fldCharType="end"/>
      </w:r>
      <w:r w:rsidR="00087051" w:rsidRPr="00E252FB">
        <w:rPr>
          <w:rFonts w:cs="Times New Roman"/>
          <w:szCs w:val="24"/>
        </w:rPr>
        <w:t>.</w:t>
      </w:r>
    </w:p>
    <w:p w14:paraId="16684EDE" w14:textId="268A6F2B" w:rsidR="00E011BF" w:rsidRPr="00E252FB" w:rsidRDefault="00BA215E" w:rsidP="00E011BF">
      <w:pPr>
        <w:rPr>
          <w:rStyle w:val="CommentReference"/>
        </w:rPr>
      </w:pPr>
      <w:r w:rsidRPr="00E252FB">
        <w:rPr>
          <w:rFonts w:cs="Times New Roman"/>
          <w:szCs w:val="24"/>
          <w:highlight w:val="yellow"/>
        </w:rPr>
        <w:t xml:space="preserve">Our hypotheses </w:t>
      </w:r>
      <w:proofErr w:type="gramStart"/>
      <w:r w:rsidRPr="00E252FB">
        <w:rPr>
          <w:rFonts w:cs="Times New Roman"/>
          <w:szCs w:val="24"/>
          <w:highlight w:val="yellow"/>
        </w:rPr>
        <w:t>are based on the assumption</w:t>
      </w:r>
      <w:proofErr w:type="gramEnd"/>
      <w:r w:rsidRPr="00E252FB">
        <w:rPr>
          <w:rFonts w:cs="Times New Roman"/>
          <w:szCs w:val="24"/>
          <w:highlight w:val="yellow"/>
        </w:rPr>
        <w:t xml:space="preserve"> that climatic variables (precipitation and temperature) and land use type would be the most influential factors on earthworm abundance and biomass, and that land use type and soil texture would have a greater influence on species richness.</w:t>
      </w:r>
    </w:p>
    <w:p w14:paraId="6AA6303C" w14:textId="0DF84B4D" w:rsidR="00E636DD" w:rsidRPr="00E252FB" w:rsidRDefault="00E47C46" w:rsidP="00E011BF">
      <w:pPr>
        <w:pStyle w:val="Heading1"/>
      </w:pPr>
      <w:r w:rsidRPr="00E252FB">
        <w:t>Materials &amp; methods</w:t>
      </w:r>
    </w:p>
    <w:p w14:paraId="6ED802C2" w14:textId="507B6998" w:rsidR="00AD0FA6" w:rsidRPr="00E252FB" w:rsidRDefault="00107939" w:rsidP="0037320E">
      <w:pPr>
        <w:pStyle w:val="Heading2"/>
        <w:rPr>
          <w:rFonts w:cs="Times New Roman"/>
        </w:rPr>
      </w:pPr>
      <w:r w:rsidRPr="00E252FB">
        <w:t>Study area and earthworm data collection</w:t>
      </w:r>
    </w:p>
    <w:p w14:paraId="7AF8D579" w14:textId="346872E5" w:rsidR="00E47C46" w:rsidRPr="00E252FB" w:rsidRDefault="00E47C46" w:rsidP="00E47C46">
      <w:r w:rsidRPr="00E252FB">
        <w:t>The study area encompasses the entire mainland territory of metropolitan France (excluding Cors</w:t>
      </w:r>
      <w:r w:rsidR="0027670C" w:rsidRPr="00E252FB">
        <w:t>e</w:t>
      </w:r>
      <w:r w:rsidRPr="00E252FB">
        <w:t xml:space="preserve">) (Fig. 1). We utilized 3758 earthworm observations from the </w:t>
      </w:r>
      <w:proofErr w:type="spellStart"/>
      <w:r w:rsidRPr="00E252FB">
        <w:t>LandWorm</w:t>
      </w:r>
      <w:proofErr w:type="spellEnd"/>
      <w:r w:rsidRPr="00E252FB">
        <w:t xml:space="preserve"> database (2023-2026 FRB-MTE-OFB), which includes earthworm communities across metropolitan France under various </w:t>
      </w:r>
      <w:r w:rsidR="00C14B06" w:rsidRPr="00E252FB">
        <w:t>land</w:t>
      </w:r>
      <w:r w:rsidRPr="00E252FB">
        <w:t xml:space="preserve"> use conditions (see Appendix XX). Earthworm sampling was conducted between 1990 and 2023, primarily during spring, corresponding to the period of maximum earthworm activity. Sampling methods for earthworm communities varied depending on the data sources (see Appendix XX). Sampling methods included manual sorting (ISO 23611-1:2018) and/or the application of a chemical expellant (formaldehyde or allyl isothiocyanate; ISO 23611-1:2006). In each site, earthworms were collected, sorted manually, and stored in ethanol. In the laboratory, earthworms were counted, sometimes weighed, and identified at the species/taxon level. However, 48% of the plots lacked total biomass data. From this database, we also retrieved GPS coordinates and Corine Land Cover information provided by project managers (https://land.copernicus.eu/pan-european/corine-land-cover).</w:t>
      </w:r>
    </w:p>
    <w:p w14:paraId="57B5F0C3" w14:textId="6738CB17" w:rsidR="00D123EE" w:rsidRPr="00E252FB" w:rsidRDefault="00552A99" w:rsidP="0042465C">
      <w:pPr>
        <w:pStyle w:val="NormalWeb"/>
        <w:jc w:val="center"/>
      </w:pPr>
      <w:r w:rsidRPr="00E252FB">
        <w:rPr>
          <w:noProof/>
        </w:rPr>
        <w:lastRenderedPageBreak/>
        <w:drawing>
          <wp:inline distT="0" distB="0" distL="0" distR="0" wp14:anchorId="36FF8B7B" wp14:editId="2EB9EC55">
            <wp:extent cx="3657600" cy="3415450"/>
            <wp:effectExtent l="0" t="0" r="0" b="0"/>
            <wp:docPr id="1243297828" name="Image 34"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97828" name="Image 34" descr="Une image contenant texte, diagramme, cart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3415450"/>
                    </a:xfrm>
                    <a:prstGeom prst="rect">
                      <a:avLst/>
                    </a:prstGeom>
                    <a:noFill/>
                    <a:ln>
                      <a:noFill/>
                    </a:ln>
                  </pic:spPr>
                </pic:pic>
              </a:graphicData>
            </a:graphic>
          </wp:inline>
        </w:drawing>
      </w:r>
    </w:p>
    <w:p w14:paraId="058CEDD0" w14:textId="02D9CAA6" w:rsidR="007D67D1" w:rsidRPr="00E252FB" w:rsidRDefault="007667AE" w:rsidP="004E683F">
      <w:pPr>
        <w:pStyle w:val="Heading4"/>
      </w:pPr>
      <w:r w:rsidRPr="00E252FB">
        <w:rPr>
          <w:b/>
          <w:bCs/>
        </w:rPr>
        <w:t xml:space="preserve">Fig. </w:t>
      </w:r>
      <w:proofErr w:type="gramStart"/>
      <w:r w:rsidR="009F4239" w:rsidRPr="00E252FB">
        <w:rPr>
          <w:b/>
          <w:bCs/>
        </w:rPr>
        <w:t>1</w:t>
      </w:r>
      <w:r w:rsidRPr="00E252FB">
        <w:rPr>
          <w:b/>
          <w:bCs/>
        </w:rPr>
        <w:t> :</w:t>
      </w:r>
      <w:proofErr w:type="gramEnd"/>
      <w:r w:rsidRPr="00E252FB">
        <w:t xml:space="preserve"> </w:t>
      </w:r>
      <w:r w:rsidR="00367DCB" w:rsidRPr="00367DCB">
        <w:t>Map of study area ( metropolitan France (excluding Corsica)) showing location of earthworm sampling sites.</w:t>
      </w:r>
    </w:p>
    <w:p w14:paraId="35E218FB" w14:textId="77777777" w:rsidR="004E683F" w:rsidRPr="00E252FB" w:rsidRDefault="004E683F" w:rsidP="004E683F"/>
    <w:p w14:paraId="38463147" w14:textId="1C3F5AA0" w:rsidR="00AD0FA6" w:rsidRPr="00E252FB" w:rsidRDefault="00F6422B" w:rsidP="0037320E">
      <w:pPr>
        <w:pStyle w:val="Heading2"/>
        <w:rPr>
          <w:rFonts w:cs="Times New Roman"/>
        </w:rPr>
      </w:pPr>
      <w:r w:rsidRPr="00E252FB">
        <w:rPr>
          <w:rFonts w:cs="Times New Roman"/>
        </w:rPr>
        <w:t xml:space="preserve">Environmental </w:t>
      </w:r>
      <w:proofErr w:type="spellStart"/>
      <w:r w:rsidRPr="00E252FB">
        <w:rPr>
          <w:rFonts w:cs="Times New Roman"/>
        </w:rPr>
        <w:t>aata</w:t>
      </w:r>
      <w:proofErr w:type="spellEnd"/>
      <w:r w:rsidRPr="00E252FB">
        <w:rPr>
          <w:rFonts w:cs="Times New Roman"/>
        </w:rPr>
        <w:t xml:space="preserve"> collection</w:t>
      </w:r>
    </w:p>
    <w:p w14:paraId="5E28F38A" w14:textId="04D1764B" w:rsidR="00F6422B" w:rsidRPr="00E252FB" w:rsidRDefault="00F6422B" w:rsidP="00F6422B">
      <w:r w:rsidRPr="00E252FB">
        <w:t xml:space="preserve">In addition to land use data and GPS coordinates obtained from the </w:t>
      </w:r>
      <w:proofErr w:type="spellStart"/>
      <w:r w:rsidRPr="00E252FB">
        <w:t>LandWorm</w:t>
      </w:r>
      <w:proofErr w:type="spellEnd"/>
      <w:r w:rsidRPr="00E252FB">
        <w:t xml:space="preserve"> database (2023-2026 FRB-MTE-OFB), we utilized external variables known to affect earthworms </w:t>
      </w:r>
      <w:r w:rsidRPr="00E252FB">
        <w:fldChar w:fldCharType="begin"/>
      </w:r>
      <w:r w:rsidRPr="00E252FB">
        <w:instrText xml:space="preserve"> ADDIN ZOTERO_ITEM CSL_CITATION {"citationID":"9cQV5HBi","properties":{"unsorted":true,"formattedCitation":"(Rutgers et al., 2016; Phillips et al., 2019; Salako et al., 2023)","plainCitation":"(Rutgers et al., 2016; Phillips et al., 2019; Salako et al., 2023)","noteIndex":0},"citationItems":[{"id":991,"uris":["http://zotero.org/users/7119014/items/UGD4D5CZ"],"itemData":{"id":991,"type":"article-journal","abstract":"Existing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Pr="00E252FB">
        <w:fldChar w:fldCharType="separate"/>
      </w:r>
      <w:r w:rsidRPr="00E252FB">
        <w:rPr>
          <w:rFonts w:cs="Times New Roman"/>
        </w:rPr>
        <w:t>(Rutgers et al., 2016; Phillips et al., 2019; Salako et al., 2023)</w:t>
      </w:r>
      <w:r w:rsidRPr="00E252FB">
        <w:fldChar w:fldCharType="end"/>
      </w:r>
      <w:r w:rsidRPr="00E252FB">
        <w:t xml:space="preserve">. For climatic variables, we employed the 19 standard bioclimatic variables from the CHELSA project </w:t>
      </w:r>
      <w:r w:rsidRPr="00E252FB">
        <w:fldChar w:fldCharType="begin"/>
      </w:r>
      <w:r w:rsidRPr="00E252FB">
        <w:instrText xml:space="preserve"> ADDIN ZOTERO_ITEM CSL_CITATION {"citationID":"BwnKkeJ8","properties":{"formattedCitation":"(Karger et al., 2017)","plainCitation":"(Karger et al., 2017)","noteIndex":0},"citationItems":[{"id":1130,"uris":["http://zotero.org/users/7119014/items/GTK4G2ME"],"itemData":{"id":1130,"type":"article-journal","abstract":"High-resolution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better.","container-title":"Scientific Data","DOI":"10.1038/sdata.2017.122","ISSN":"2052-4463","issue":"1","journalAbbreviation":"Sci Data","language":"en","license":"2017 The Author(s)","note":"publisher: Nature Publishing Group","page":"170122","source":"www.nature.com","title":"Climatologies at high resolution for the earth’s land surface areas","volume":"4","author":[{"family":"Karger","given":"Dirk Nikolaus"},{"family":"Conrad","given":"Olaf"},{"family":"Böhner","given":"Jürgen"},{"family":"Kawohl","given":"Tobias"},{"family":"Kreft","given":"Holger"},{"family":"Soria-Auza","given":"Rodrigo Wilber"},{"family":"Zimmermann","given":"Niklaus E."},{"family":"Linder","given":"H. Peter"},{"family":"Kessler","given":"Michael"}],"issued":{"date-parts":[["2017",9,5]]}}}],"schema":"https://github.com/citation-style-language/schema/raw/master/csl-citation.json"} </w:instrText>
      </w:r>
      <w:r w:rsidRPr="00E252FB">
        <w:fldChar w:fldCharType="separate"/>
      </w:r>
      <w:r w:rsidRPr="00E252FB">
        <w:rPr>
          <w:rFonts w:cs="Times New Roman"/>
        </w:rPr>
        <w:t>(Karger et al., 2017)</w:t>
      </w:r>
      <w:r w:rsidRPr="00E252FB">
        <w:fldChar w:fldCharType="end"/>
      </w:r>
      <w:r w:rsidRPr="00E252FB">
        <w:t>. These climatic data represented average values between 1981 and 2010 at a resolution of 30 arc-seconds. This time frame corresponded best to the primary period of biological data.</w:t>
      </w:r>
    </w:p>
    <w:p w14:paraId="681D2AEF" w14:textId="67110554" w:rsidR="00F6422B" w:rsidRPr="00E252FB" w:rsidRDefault="00F6422B" w:rsidP="00F6422B">
      <w:r w:rsidRPr="00E252FB">
        <w:t xml:space="preserve">Regarding soil variables, we initially accessed the Research Data </w:t>
      </w:r>
      <w:proofErr w:type="spellStart"/>
      <w:r w:rsidRPr="00E252FB">
        <w:t>Gouv</w:t>
      </w:r>
      <w:proofErr w:type="spellEnd"/>
      <w:r w:rsidRPr="00E252FB">
        <w:t xml:space="preserve"> repository (https://entrepot.recherche.data.gouv.fr/dataset.xhtml?persistentId=doi:10.57745/N4E4NE; </w:t>
      </w:r>
      <w:r w:rsidRPr="00E252FB">
        <w:fldChar w:fldCharType="begin"/>
      </w:r>
      <w:r w:rsidRPr="00E252FB">
        <w:instrText xml:space="preserve"> ADDIN ZOTERO_ITEM CSL_CITATION {"citationID":"tOj0gBFn","properties":{"formattedCitation":"(Roman Dobarco et al., 2022)","plainCitation":"(Roman Dobarco et al., 2022)","dontUpdate":true,"noteIndex":0},"citationItems":[{"id":1117,"uris":["http://zotero.org/users/7119014/items/MZGBLRQY"],"itemData":{"id":1117,"type":"dataset","abstract":"Contexte Le Réservoir utile des sols (RU) correspond à la quantité maximale qu’un sol peut retenir et restituer aux plantes. Les prédictions spatiales du RU par cartographie numérique à haute résolution sur le territoire métropolitain fournissent des informations pertinentes pour leur utilisation par des modèles écologiques et hydrologiques sur de vastes territoires et pour l'évaluation des services écosystémiques des sols tels que la régulation des flux d’eau, la séquestration du carbone et la fourniture de nourriture et de matières premières. Cependant, les prédictions spatiales du RU sont sujettes aux erreurs et aux incertitudes. De plus, la cartographie numérique des sols nécessite l'utilisation de fonctions de pédotransfert (FPT) en raison du manque de mesures géoréférencées suffisantes des limites supérieures (c'est-à-dire l'humidité du sol à la capacité au champ, θCC) et inférieures (c'est-à-dire l’humidité au point de flétrissement permanent, θPFP) de la teneur en eau du sol définissant le RU. Les objectifs de cette étude sont : 1) de prédire le RU pour la France métropolitaine en suivant les spécifications du projet GlobalSoilMap (GSM), et 2) de quantifier les incertitudes d’estimation du RU correspondant à celles des variables d’entrée et à celles des coefficients des FPT. Méthodes L’approche utilisée de cartographie numérique consiste à prédire la teneur en argile et en sable pour les 6 couches GSM d’intervalles de profondeur 0-5, 5-15, 15-30, 30-60, 60-100 et 100-200 cm en combinant des modèles de régression et des modèles géostatistiques. Tout d’abord, les données granulométriques de calibration sont transformées par la transformation en log ratio additive afin d’obtenir calyalr et siltalr. Puis, des modèles de régression utilisant l’algorithme Cubist et 44 covariables descriptives des facteurs SCORPAN (sol, climat, végétation, relief et matériau parental) ont été ajustés. Les résidus des modèles ont été calculés aux points de calibration et un modèle linéaire de corégionalisation a été ajusté entre ces résidus pour les deux variables et pour chaque couche GSM. Les résidus de argilealr et siltalr ont ensuite été interpolés par co-krigeage ordinaire en utilisant les 10 observations les plus proches. Les prédictions finales ont été calculées par addition des résidus krigés aux prédictions Cubist (i.e. régression-krigeage), puis retransformées dans l’échelle d’origine des données granulométriques. Ainsi, dans un premier temps nous avons obtenu argilealr, siltalr, argile, limon et sable. La variance de krigeage des résidus des variables alr était également un sous-produit de la procédure de krigeage. Les éléments grossiers (volume d'éléments grossiers en %) ont été modélisés avec des forêts de régressions quantiles, prédisant la moyenne, le 5e centile, le 95e centile et l'écart type des éléments grossiers par profondeur GSM. Les propriétés hydriques ont été calculées dans un deuxième temps. La teneur volumétrique en eau du sol (cm3 cm-3) à la capacité au champ ou pF = 2.0 (θCC), et au point de flétrissement permanent ou pF = 4.2 (θPFP) ont été estimées en utilisant les FPT développées par Román Dobarco et al. (2019) avec la base de données française SOLHYDRO (Al Majou et al., 2008). Ces FPT utilise la teneur en argile (%) et en sable (%) comme prédicteurs : ΘCC= 0,278 + 2,45 10-3argile – 1,35 10-3sable ΘPFP= 0,08 + 4,01 10-3 argile – 2,93 10-4sable Pour chaque couche GSM, le RU élémentaire et le RU en mm ont été calculés. Avec l’hypothèse que les éléments grossiers n’apportent pas d’eau au RU, Le RU for un volume de sol unitaire, ou RU élémentaire, est défini comme : RU élémentaire (cm3 cm-3)=(θCC- θPFP )(1-Rv ) Pour une couche de sol ou un profil, le RU total est calculé avec la formule suivante : RU (mm)=(θCC- θPFP )(1-Rv )p Où θCC est la teneur volumétrique en eau à la capacité au champ (cm3 cm-3), θPFP est la teneur volumétrique en eau au point de flétrissement permanent (cm3 cm-3), Rv est la fraction volumique en éléments grossiers, and p est la profondeur du profil ou l’épaisseur de la couche de sol considérée (mm). Finalement, les prédictions spatiales du RU pour chaque couche sont sommées sur la profondeur du sol prédite provenant d’une modélisation réalisée par Lacoste et al. (2016), sur une profondeur maximale de 2 m : RU= ∑h=16)(1-Rh)(θCCh-θPFPh) eh Où h = 1,…,6 représente les 6 couches GSM de sol, Rh est la fraction volumétrique des éléments grossiers de l’horizon h, θCCh est la teneur volumétrique en eau à la capacité au champ (cm3 cm-3) de l’horizon h, θPFPhest la teneur volumétrique en eau au point de flétrissement permanent (cm3 cm-3), et eh est l’épaisseur (i.e. tronquée en utilisant la profondeur du sol estimée) de l’horizon h en mm. Une analyse de Taylor de premier ordre a été appliquée pour calculer la variance des estimations de θCC (i.e., θ2.0), de θPFP (i.e., θ4,2), des RU élémentaires et des RU totaux. Ces variances sont considérées comme une approximation de l’incertitude d’estimation. Résultats Une évaluation indépendante indique que l’argile a le plus faible R2 (R2 argile = 0,.27, R2 limon = 0,43 et R2 sable = 0,46) et la plus faible RMSE (RMSE argile = 128 g kg-1, RMSE limon = 139 g kg-1 and RMSE sable = 172 g kg-1) des trois classes granulométriques. Cependant, le modèle pour les éléments grossiers présente les plus mauvaises performances prédictives (R2 = 0,14 and RMSE = 21%) parmi l’ensemble des variables d’entrée du RU. Les prédictions de θCC et de θPFP ont un R2 de 0,21 et 0,29. Lorsque les FPT ont été appliquées sur les prédictions spatiales d’argile et sable, la RMSE pour θCC et θPFP ont augmentées de 25% et 36% respectivement comparées à celles obtenues lorsqu’elles sont appliquées sur les données mesurées. Sur la grande majorité de la France métropolitaine, les principales sources d’incertitudes des RU élémentaires sont les éléments grossiers et la texture mais la contribution des incertitudes des coefficients des FPT augmentent dans les zones dominées par des textures très sableuses ou argileuses. Les cartes produites de θCC, θPFP et RU ont comme avantage de permettre à l’utilisateur d’incorporer les incertitudes associées dans leurs modèles écologiques ou agronomiques ou leur processus de décision utilisés pour la gestion des sols et des eaux.","DOI":"10.57745/N4E4NE","publisher":"Portail Data INRAE","source":"DOI.org (Datacite)","title":"Propriétés de granulométrie (argile, limons, sables) et d’éléments grossiers pour la France métropolitaine au pas de 90 m","URL":"https://data.inrae.fr/citation?persistentId=doi:10.57745/N4E4NE","author":[{"family":"Roman Dobarco","given":"Mercedes"},{"family":"Bourennane","given":"Hocine"},{"family":"Arrouays","given":"Dominique"},{"family":"Saby","given":"Nicolas"},{"family":"Cousin","given":"Isabelle"},{"family":"Manuel","given":"Martin P."}],"contributor":[{"family":"Martin","given":"Manuel"}],"accessed":{"date-parts":[["2024",2,20]]},"issued":{"date-parts":[["2022"]]}}}],"schema":"https://github.com/citation-style-language/schema/raw/master/csl-citation.json"} </w:instrText>
      </w:r>
      <w:r w:rsidRPr="00E252FB">
        <w:fldChar w:fldCharType="separate"/>
      </w:r>
      <w:r w:rsidRPr="00E252FB">
        <w:rPr>
          <w:rFonts w:cs="Times New Roman"/>
        </w:rPr>
        <w:t xml:space="preserve">Roman </w:t>
      </w:r>
      <w:proofErr w:type="spellStart"/>
      <w:r w:rsidRPr="00E252FB">
        <w:rPr>
          <w:rFonts w:cs="Times New Roman"/>
        </w:rPr>
        <w:t>Dobarco</w:t>
      </w:r>
      <w:proofErr w:type="spellEnd"/>
      <w:r w:rsidRPr="00E252FB">
        <w:rPr>
          <w:rFonts w:cs="Times New Roman"/>
        </w:rPr>
        <w:t xml:space="preserve"> et al., 2022)</w:t>
      </w:r>
      <w:r w:rsidRPr="00E252FB">
        <w:fldChar w:fldCharType="end"/>
      </w:r>
      <w:r w:rsidRPr="00E252FB">
        <w:t xml:space="preserve"> to retrieve soil sand, clay, and silt contents. These three variables, available at a resolution of 90 meters, originated from 2022 data and were provided at different depths. We chose to utilize the first three layers (0 to 5 cm, 5 to 15 cm, and 15 to 30 cm) and then </w:t>
      </w:r>
      <w:r w:rsidRPr="00E252FB">
        <w:lastRenderedPageBreak/>
        <w:t>averaged them to obtain data from 0 to 30 cm. This choice was made to account for earthworm habitat variation.</w:t>
      </w:r>
    </w:p>
    <w:p w14:paraId="4F791FD4" w14:textId="7B15942F" w:rsidR="00F6422B" w:rsidRPr="00E252FB" w:rsidRDefault="00F6422B" w:rsidP="00F6422B">
      <w:r w:rsidRPr="00E252FB">
        <w:t xml:space="preserve">Subsequently, we used the Joint Research Centre (JRC) database </w:t>
      </w:r>
      <w:r w:rsidR="002942D9" w:rsidRPr="00E252FB">
        <w:fldChar w:fldCharType="begin"/>
      </w:r>
      <w:r w:rsidR="002942D9" w:rsidRPr="00E252FB">
        <w:instrText xml:space="preserve"> ADDIN ZOTERO_ITEM CSL_CITATION {"citationID":"e6C4m7df","properties":{"formattedCitation":"(Ballabio et al., 2019)","plainCitation":"(Ballabio et al., 2019)","dontUpdate":true,"noteIndex":0},"citationItems":[{"id":1118,"uris":["http://zotero.org/users/7119014/items/F8CCTCSU"],"itemData":{"id":1118,"type":"article-journal","abstract":"This paper presents the second part of the mapping of topsoil properties based on the Land Use and Cover Area frame Survey (LUCAS). The first part described the physical properties (Ballabio et al., 2016) while this second part includes the following chemical properties: pH, Cation Exchange Capacity (CEC), calcium carbonates (CaCO3), C:N ratio, nitrogen (N), phosphorus (P) and potassium (K). The LUCAS survey collected harmonised data on changes in land cover and the state of land use for the European Union (EU). Among the 270,000 land use and cover observations selected for field visit, approximately 20,000 soil samples were collected in 24 EU Member States in 2009 together with more than 2000 samples from Bulgaria and Romania in 2012. The chemical properties maps for the European Union were produced using Gaussian process regression (GPR) models. GPR was selected for its capacity to assess model uncertainty and the possibility of adding prior knowledge in the form of covariance functions to the model. The derived maps will establish baselines that will help monitor soil quality and provide guidance to agro-environmental research and policy developments in the European Union.","container-title":"Geoderma","DOI":"10.1016/j.geoderma.2019.113912","ISSN":"0016-7061","journalAbbreviation":"Geoderma","page":"113912","source":"ScienceDirect","title":"Mapping LUCAS topsoil chemical properties at European scale using Gaussian process regression","volume":"355","author":[{"family":"Ballabio","given":"Cristiano"},{"family":"Lugato","given":"Emanuele"},{"family":"Fernández-Ugalde","given":"Oihane"},{"family":"Orgiazzi","given":"Alberto"},{"family":"Jones","given":"Arwyn"},{"family":"Borrelli","given":"Pasquale"},{"family":"Montanarella","given":"Luca"},{"family":"Panagos","given":"Panos"}],"issued":{"date-parts":[["2019",12,1]]}}}],"schema":"https://github.com/citation-style-language/schema/raw/master/csl-citation.json"} </w:instrText>
      </w:r>
      <w:r w:rsidR="002942D9" w:rsidRPr="00E252FB">
        <w:fldChar w:fldCharType="separate"/>
      </w:r>
      <w:r w:rsidR="002942D9" w:rsidRPr="00E252FB">
        <w:rPr>
          <w:rFonts w:cs="Times New Roman"/>
        </w:rPr>
        <w:t>(Ballabio et al., 2019)</w:t>
      </w:r>
      <w:r w:rsidR="002942D9" w:rsidRPr="00E252FB">
        <w:fldChar w:fldCharType="end"/>
      </w:r>
      <w:r w:rsidRPr="00E252FB">
        <w:t xml:space="preserve"> to supplement soil texture with the following variables: cation exchange capacity (CEC), calcium carbonate (</w:t>
      </w:r>
      <w:proofErr w:type="spellStart"/>
      <w:r w:rsidRPr="00E252FB">
        <w:t>CaCO</w:t>
      </w:r>
      <w:proofErr w:type="spellEnd"/>
      <w:r w:rsidRPr="00E252FB">
        <w:t>₃), C/N ratio, nitrogen (N), phosphorus (P), potassium (K), and soil pH in H2O. These variables were available at a resolution of 250 meters on a European scale and based on 2009/2012 LUCAS (Land Use and Cover Area frame Survey) data on arable soils. Initially, we referenced all preselected variables to the World Geodetic System (WGS84) coordinate system, cropped and masked them to match the geographical boundaries of mainland France (excluding Corsica). To standardize the variables and match them to the same resolution, we resampled or disaggregated the variables to a resolution of 30 arc-seconds, approximately 800 meters in France. These steps were carried out using Python with the GDAL module (https://pypi.org/project/GDAL/).</w:t>
      </w:r>
    </w:p>
    <w:p w14:paraId="35DF7AF0" w14:textId="7EB12AB5" w:rsidR="009D77A3" w:rsidRPr="00E252FB" w:rsidRDefault="00436A6B" w:rsidP="0037320E">
      <w:pPr>
        <w:pStyle w:val="Heading2"/>
        <w:rPr>
          <w:rFonts w:cs="Times New Roman"/>
        </w:rPr>
      </w:pPr>
      <w:r w:rsidRPr="00E252FB">
        <w:rPr>
          <w:rFonts w:cs="Times New Roman"/>
        </w:rPr>
        <w:t>Modeling strategy</w:t>
      </w:r>
    </w:p>
    <w:p w14:paraId="3C4F16F5" w14:textId="5E09C03A" w:rsidR="00AE66AD" w:rsidRPr="00E252FB" w:rsidRDefault="00AE66AD" w:rsidP="002318CE">
      <w:pPr>
        <w:pStyle w:val="Heading3"/>
        <w:rPr>
          <w:rFonts w:cs="Times New Roman"/>
        </w:rPr>
      </w:pPr>
      <w:r w:rsidRPr="00E252FB">
        <w:rPr>
          <w:rFonts w:cs="Times New Roman"/>
        </w:rPr>
        <w:t>ODMAP</w:t>
      </w:r>
      <w:r w:rsidR="00436A6B" w:rsidRPr="00E252FB">
        <w:rPr>
          <w:rFonts w:cs="Times New Roman"/>
        </w:rPr>
        <w:t xml:space="preserve"> </w:t>
      </w:r>
      <w:r w:rsidR="00436A6B" w:rsidRPr="00E252FB">
        <w:t>protocol</w:t>
      </w:r>
    </w:p>
    <w:p w14:paraId="7A2CFE90" w14:textId="3BCA39BC" w:rsidR="00436A6B" w:rsidRPr="00E252FB" w:rsidRDefault="00436A6B" w:rsidP="00436A6B">
      <w:r w:rsidRPr="00E252FB">
        <w:t xml:space="preserve">Our study's modeling strategy followed the "ODMAP" protocol as recommended by </w:t>
      </w:r>
      <w:r w:rsidR="00BB3CA1" w:rsidRPr="00E252FB">
        <w:fldChar w:fldCharType="begin"/>
      </w:r>
      <w:r w:rsidR="00BB3CA1" w:rsidRPr="00E252FB">
        <w:instrText xml:space="preserve"> ADDIN ZOTERO_ITEM CSL_CITATION {"citationID":"CSifLORt","properties":{"formattedCitation":"(Zurell et al., 2020)","plainCitation":"(Zurell et al., 2020)","dontUpdate":true,"noteIndex":0},"citationItems":[{"id":989,"uris":["http://zotero.org/users/7119014/items/7YZNNXHE"],"itemData":{"id":989,"type":"article-journal","abstract":"Species distribution models (SDMs) constitute the most common class of models across ecology, evolution and conservation. The advent of ready-to-use software packages and increasing availability of digital geoinformation have considerably assisted the application of SDMs in the past decade, greatly enabling their broader use for informing conservation and management, and for quantifying impacts from global change. However, models must be fit for purpose, with all important aspects of their development and applications properly considered. Despite the widespread use of SDMs, standardisation and documentation of modelling protocols remain limited, which makes it hard to assess whether development steps are appropriate for end use. To address these issues, we propose a standard protocol for reporting SDMs, with an emphasis on describing how a study's objective is achieved through a series of modeling decisions. We call this the ODMAP (Overview, Data, Model, Assessment and Prediction) protocol, as its components reflect the main steps involved in building SDMs and other empirically-based biodiversity models. The ODMAP protocol serves two main purposes. First, it provides a checklist for authors, detailing key steps for model building and analyses, and thus represents a quick guide and generic workflow for modern SDMs. Second, it introduces a structured format for documenting and communicating the models, ensuring transparency and reproducibility, facilitating peer review and expert evaluation of model quality, as well as meta-analyses. We detail all elements of ODMAP, and explain how it can be used for different model objectives and applications, and how it complements efforts to store associated metadata and define modelling standards. We illustrate its utility by revisiting nine previously published case studies, and provide an interactive web-based application to facilitate its use. We plan to advance ODMAP by encouraging its further refinement and adoption by the scientific community.","container-title":"Ecography","DOI":"10.1111/ecog.04960","ISSN":"1600-0587","issue":"9","language":"en","license":"© 2020 The Authors. Ecography published by John Wiley &amp; Sons Ltd on behalf of Nordic Society Oikos","note":"_eprint: https://onlinelibrary.wiley.com/doi/pdf/10.1111/ecog.04960","page":"1261-1277","source":"Wiley Online Library","title":"A standard protocol for reporting species distribution models","volume":"43","author":[{"family":"Zurell","given":"Damaris"},{"family":"Franklin","given":"Janet"},{"family":"König","given":"Christian"},{"family":"Bouchet","given":"Phil J."},{"family":"Dormann","given":"Carsten F."},{"family":"Elith","given":"Jane"},{"family":"Fandos","given":"Guillermo"},{"family":"Feng","given":"Xiao"},{"family":"Guillera-Arroita","given":"Gurutzeta"},{"family":"Guisan","given":"Antoine"},{"family":"Lahoz-Monfort","given":"José J."},{"family":"Leitão","given":"Pedro J."},{"family":"Park","given":"Daniel S."},{"family":"Peterson","given":"A. Townsend"},{"family":"Rapacciuolo","given":"Giovanni"},{"family":"Schmatz","given":"Dirk R."},{"family":"Schröder","given":"Boris"},{"family":"Serra-Diaz","given":"Josep M."},{"family":"Thuiller","given":"Wilfried"},{"family":"Yates","given":"Katherine L."},{"family":"Zimmermann","given":"Niklaus E."},{"family":"Merow","given":"Cory"}],"issued":{"date-parts":[["2020"]]}}}],"schema":"https://github.com/citation-style-language/schema/raw/master/csl-citation.json"} </w:instrText>
      </w:r>
      <w:r w:rsidR="00BB3CA1" w:rsidRPr="00E252FB">
        <w:fldChar w:fldCharType="separate"/>
      </w:r>
      <w:r w:rsidR="00BB3CA1" w:rsidRPr="00E252FB">
        <w:rPr>
          <w:rFonts w:cs="Times New Roman"/>
        </w:rPr>
        <w:t>Zurell et al. (2020)</w:t>
      </w:r>
      <w:r w:rsidR="00BB3CA1" w:rsidRPr="00E252FB">
        <w:fldChar w:fldCharType="end"/>
      </w:r>
      <w:r w:rsidRPr="00E252FB">
        <w:t xml:space="preserve">, and all steps are detailed in Appendix XX. The various modeling steps are depicted in Fig. 2. All modeling steps were performed using R software version 4.3.1, 2023 </w:t>
      </w:r>
      <w:r w:rsidR="00BB3CA1" w:rsidRPr="00E252FB">
        <w:fldChar w:fldCharType="begin"/>
      </w:r>
      <w:r w:rsidR="00BB3CA1" w:rsidRPr="00E252FB">
        <w:instrText xml:space="preserve"> ADDIN ZOTERO_ITEM CSL_CITATION {"citationID":"HajMRmUZ","properties":{"formattedCitation":"(R Core Team, 2023)","plainCitation":"(R Core Team, 2023)","noteIndex":0},"citationItems":[{"id":27,"uris":["http://zotero.org/users/7119014/items/TJ946PQQ"],"itemData":{"id":27,"type":"software","event-place":"Vienna,   Austria","publisher":"R Foundation for Statistical Computing","publisher-place":"Vienna,   Austria","title":"A language and environment for statistical computing","URL":"URL https://www.R-project.org/.","version":"R.4.3.0","author":[{"family":"R Core Team","given":""}],"issued":{"date-parts":[["2023"]]}}}],"schema":"https://github.com/citation-style-language/schema/raw/master/csl-citation.json"} </w:instrText>
      </w:r>
      <w:r w:rsidR="00BB3CA1" w:rsidRPr="00E252FB">
        <w:fldChar w:fldCharType="separate"/>
      </w:r>
      <w:r w:rsidR="00BB3CA1" w:rsidRPr="00E252FB">
        <w:rPr>
          <w:rFonts w:cs="Times New Roman"/>
        </w:rPr>
        <w:t>(R Core Team, 2023)</w:t>
      </w:r>
      <w:r w:rsidR="00BB3CA1" w:rsidRPr="00E252FB">
        <w:fldChar w:fldCharType="end"/>
      </w:r>
      <w:r w:rsidRPr="00E252FB">
        <w:t xml:space="preserve">. Initially, all explanatory variables (numeric) were standardized. Additionally, total abundance and biomass were </w:t>
      </w:r>
      <w:proofErr w:type="gramStart"/>
      <w:r w:rsidRPr="00E252FB">
        <w:t>square-</w:t>
      </w:r>
      <w:proofErr w:type="spellStart"/>
      <w:r w:rsidRPr="00E252FB">
        <w:t>root</w:t>
      </w:r>
      <w:proofErr w:type="spellEnd"/>
      <w:proofErr w:type="gramEnd"/>
      <w:r w:rsidRPr="00E252FB">
        <w:t xml:space="preserve"> transformed to approximate a Gaussian distribution.</w:t>
      </w:r>
    </w:p>
    <w:p w14:paraId="1D75B3AD" w14:textId="34CC20CB" w:rsidR="004D7D68" w:rsidRPr="00E252FB" w:rsidRDefault="00B4488E" w:rsidP="0016610B">
      <w:pPr>
        <w:jc w:val="center"/>
      </w:pPr>
      <w:r w:rsidRPr="00E252FB">
        <w:rPr>
          <w:noProof/>
        </w:rPr>
        <w:lastRenderedPageBreak/>
        <w:drawing>
          <wp:inline distT="0" distB="0" distL="0" distR="0" wp14:anchorId="435CD4FD" wp14:editId="1602E75F">
            <wp:extent cx="5963749" cy="5212080"/>
            <wp:effectExtent l="0" t="0" r="0" b="7620"/>
            <wp:docPr id="138870107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3749" cy="5212080"/>
                    </a:xfrm>
                    <a:prstGeom prst="rect">
                      <a:avLst/>
                    </a:prstGeom>
                    <a:noFill/>
                  </pic:spPr>
                </pic:pic>
              </a:graphicData>
            </a:graphic>
          </wp:inline>
        </w:drawing>
      </w:r>
    </w:p>
    <w:p w14:paraId="720FF807" w14:textId="77777777" w:rsidR="00B408E7" w:rsidRPr="00E252FB" w:rsidRDefault="00B408E7" w:rsidP="004D7D68"/>
    <w:p w14:paraId="580C073C" w14:textId="4B79BFEE" w:rsidR="005F72B1" w:rsidRPr="00E252FB" w:rsidRDefault="00650232" w:rsidP="00650232">
      <w:pPr>
        <w:pStyle w:val="Heading4"/>
      </w:pPr>
      <w:r w:rsidRPr="00E252FB">
        <w:rPr>
          <w:b/>
          <w:bCs/>
        </w:rPr>
        <w:t xml:space="preserve">Fig. </w:t>
      </w:r>
      <w:r w:rsidR="004E683F" w:rsidRPr="00E252FB">
        <w:rPr>
          <w:b/>
          <w:bCs/>
        </w:rPr>
        <w:t>2</w:t>
      </w:r>
      <w:r w:rsidR="009A4D8E" w:rsidRPr="00E252FB">
        <w:rPr>
          <w:b/>
          <w:bCs/>
        </w:rPr>
        <w:t>:  </w:t>
      </w:r>
      <w:r w:rsidR="00AA50AB" w:rsidRPr="00E252FB">
        <w:t xml:space="preserve">Modeling strategy according to the ODMAP protocol: (1) biological data collection, (2) </w:t>
      </w:r>
      <w:r w:rsidR="00713A8C" w:rsidRPr="00E252FB">
        <w:t>e</w:t>
      </w:r>
      <w:r w:rsidR="00AA50AB" w:rsidRPr="00E252FB">
        <w:t xml:space="preserve">nvironmental data collection, (3) </w:t>
      </w:r>
      <w:r w:rsidR="00713A8C" w:rsidRPr="00E252FB">
        <w:t>d</w:t>
      </w:r>
      <w:r w:rsidR="00AA50AB" w:rsidRPr="00E252FB">
        <w:t xml:space="preserve">ata cleaning, (4) </w:t>
      </w:r>
      <w:r w:rsidR="00713A8C" w:rsidRPr="00E252FB">
        <w:t>v</w:t>
      </w:r>
      <w:r w:rsidR="00AA50AB" w:rsidRPr="00E252FB">
        <w:t xml:space="preserve">ariable selection, (5) </w:t>
      </w:r>
      <w:r w:rsidR="00713A8C" w:rsidRPr="00E252FB">
        <w:t>d</w:t>
      </w:r>
      <w:r w:rsidR="00AA50AB" w:rsidRPr="00E252FB">
        <w:t xml:space="preserve">ata partitioning, (6) </w:t>
      </w:r>
      <w:r w:rsidR="00713A8C" w:rsidRPr="00E252FB">
        <w:t>m</w:t>
      </w:r>
      <w:r w:rsidR="00AA50AB" w:rsidRPr="00E252FB">
        <w:t xml:space="preserve">odel fitting, (7) </w:t>
      </w:r>
      <w:r w:rsidR="00713A8C" w:rsidRPr="00E252FB">
        <w:t>m</w:t>
      </w:r>
      <w:r w:rsidR="00AA50AB" w:rsidRPr="00E252FB">
        <w:t>odel evaluation, and (8) Prediction</w:t>
      </w:r>
      <w:r w:rsidR="009A4D8E" w:rsidRPr="00E252FB">
        <w:t xml:space="preserve">. </w:t>
      </w:r>
    </w:p>
    <w:p w14:paraId="3E582F2F" w14:textId="77777777" w:rsidR="007D67D1" w:rsidRPr="00E252FB" w:rsidRDefault="007D67D1" w:rsidP="007D67D1"/>
    <w:p w14:paraId="051D1B0A" w14:textId="79B3D05C" w:rsidR="009D77A3" w:rsidRPr="00E252FB" w:rsidRDefault="00B34E9E" w:rsidP="002318CE">
      <w:pPr>
        <w:pStyle w:val="Heading3"/>
        <w:rPr>
          <w:rFonts w:cs="Times New Roman"/>
        </w:rPr>
      </w:pPr>
      <w:r w:rsidRPr="00E252FB">
        <w:t>Variable selection, importance</w:t>
      </w:r>
      <w:r w:rsidR="00367DCB">
        <w:t xml:space="preserve"> </w:t>
      </w:r>
      <w:r w:rsidRPr="00E252FB">
        <w:t>and effects</w:t>
      </w:r>
    </w:p>
    <w:p w14:paraId="422179A3" w14:textId="61B18714" w:rsidR="00AE2A5C" w:rsidRPr="00E252FB" w:rsidRDefault="00AE2A5C" w:rsidP="007C3886">
      <w:r w:rsidRPr="00E252FB">
        <w:t xml:space="preserve">For each of the three response variables of earthworm communities, we fitted random forest models to identify the importance of each explanatory variable </w:t>
      </w:r>
      <w:r w:rsidRPr="00E252FB">
        <w:fldChar w:fldCharType="begin"/>
      </w:r>
      <w:r w:rsidRPr="00E252FB">
        <w:instrText xml:space="preserve"> ADDIN ZOTERO_ITEM CSL_CITATION {"citationID":"YMsZ7UIM","properties":{"formattedCitation":"(Breiman, 2001)","plainCitation":"(Breiman, 2001)","noteIndex":0},"citationItems":[{"id":1134,"uris":["http://zotero.org/users/7119014/items/G8G7SZYM"],"itemData":{"id":1134,"type":"article-journal","abstract":"Random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Pr="00E252FB">
        <w:fldChar w:fldCharType="separate"/>
      </w:r>
      <w:r w:rsidRPr="00E252FB">
        <w:rPr>
          <w:rFonts w:cs="Times New Roman"/>
        </w:rPr>
        <w:t>(Breiman, 2001)</w:t>
      </w:r>
      <w:r w:rsidRPr="00E252FB">
        <w:fldChar w:fldCharType="end"/>
      </w:r>
      <w:r w:rsidRPr="00E252FB">
        <w:t xml:space="preserve">. We chose the random forest model because it can handle non-linear data, accept correlated variables, and incorporate variable interactions that can improve model performance </w:t>
      </w:r>
      <w:r w:rsidRPr="00E252FB">
        <w:fldChar w:fldCharType="begin"/>
      </w:r>
      <w:r w:rsidRPr="00E252FB">
        <w:instrText xml:space="preserve"> ADDIN ZOTERO_ITEM CSL_CITATION {"citationID":"YjZ3Ro56","properties":{"formattedCitation":"(Breiman, 2001)","plainCitation":"(Breiman, 2001)","noteIndex":0},"citationItems":[{"id":1134,"uris":["http://zotero.org/users/7119014/items/G8G7SZYM"],"itemData":{"id":1134,"type":"article-journal","abstract":"Random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Pr="00E252FB">
        <w:fldChar w:fldCharType="separate"/>
      </w:r>
      <w:r w:rsidRPr="00E252FB">
        <w:rPr>
          <w:rFonts w:cs="Times New Roman"/>
        </w:rPr>
        <w:t>(Breiman, 2001)</w:t>
      </w:r>
      <w:r w:rsidRPr="00E252FB">
        <w:fldChar w:fldCharType="end"/>
      </w:r>
      <w:r w:rsidRPr="00E252FB">
        <w:t xml:space="preserve">. To reduce the number </w:t>
      </w:r>
      <w:r w:rsidRPr="00E252FB">
        <w:lastRenderedPageBreak/>
        <w:t xml:space="preserve">of variables and avoid overfitting </w:t>
      </w:r>
      <w:r w:rsidRPr="00E252FB">
        <w:fldChar w:fldCharType="begin"/>
      </w:r>
      <w:r w:rsidRPr="00E252FB">
        <w:instrText xml:space="preserve"> ADDIN ZOTERO_ITEM CSL_CITATION {"citationID":"9ChDjQFU","properties":{"formattedCitation":"(Vaughan &amp; Ormerod, 2005)","plainCitation":"(Vaughan &amp; Ormerod, 2005)","noteIndex":0},"citationItems":[{"id":1172,"uris":["http://zotero.org/users/7119014/items/FYXUZBCM"],"itemData":{"id":1172,"type":"article-journal","abstract":"1 Species distribution models could bring manifold benefits across ecology, but require careful testing to prove their reliability and guide users. Shortcomings in testing are often evident, failing to reflect recent methodological developments and changes in the way models are applied. We considered some of the fundamental issues. 2 Generalizability is a basic requirement for predictive models, describing their capacity to produce accurate predictions with new data, i.e. in real applications beyond model training. Tests of generalizability should be as rigorous as possible: ideally using a large number of independent test sites (≥ 200–300) that represent anticipated applications. Bootstrapping identifies the role of overfitting of the training data in limiting a model's generalizability. 3 Predictions from most distribution models are continuous variables. Their accuracy may be described by discrimination and calibration components. Discriminatory ability describes how well a model separates occupied from unoccupied sites. It is independent of species prevalence and is readily comparable between models. Rank correlation coefficients, such as the concordance index, are effective measures. 4 Calibration describes the numerical accuracy of predictions (e.g. whether 40% of sites with predicted probabilities of 0·40 are occupied) but is frequently overlooked in model testing. Poor calibration could mislead any conservation efforts utilizing models to estimate the ‘value’ of different sites for a given species. Effective assessments can be made using smoothed calibration plots. 5 The effects of species prevalence on nominal presence–absence predictions are well known. The currently preferred accuracy measure, Cohen's κ, has weaknesses. We argue that mutual information measures, based in information theory, may be more appropriate. 6 Synthesis and applications. Model evaluation must be informative and should ideally: (i) define generalizability in detail; (ii) separate the discrimination and calibration components of accuracy and test both; (iii) adopt assessment techniques that permit more valid intermodel comparisons; (iv) avoid nominal presence–absence evaluation where possible and consider information-theoretic measures; and (v) utilize the full range of techniques to help diagnose the causes of prediction problems. Few modellers in applied ecology and conservation biology satisfy these needs, making it difficult for others to evaluate models and identify potential misuses. The problems are real, and if uncorrected will damage conservation efforts through the inaccurate assessment of distribution and habitat preferences of important organisms.","container-title":"Journal of Applied Ecology","DOI":"10.1111/j.1365-2664.2005.01052.x","ISSN":"1365-2664","issue":"4","language":"en","note":"_eprint: https://onlinelibrary.wiley.com/doi/pdf/10.1111/j.1365-2664.2005.01052.x","page":"720-730","source":"Wiley Online Library","title":"The continuing challenges of testing species distribution models","volume":"42","author":[{"family":"Vaughan","given":"I. P."},{"family":"Ormerod","given":"S. J."}],"issued":{"date-parts":[["2005"]]}}}],"schema":"https://github.com/citation-style-language/schema/raw/master/csl-citation.json"} </w:instrText>
      </w:r>
      <w:r w:rsidRPr="00E252FB">
        <w:fldChar w:fldCharType="separate"/>
      </w:r>
      <w:r w:rsidRPr="00E252FB">
        <w:rPr>
          <w:rFonts w:cs="Times New Roman"/>
        </w:rPr>
        <w:t>(Vaughan &amp; Ormerod, 2005)</w:t>
      </w:r>
      <w:r w:rsidRPr="00E252FB">
        <w:fldChar w:fldCharType="end"/>
      </w:r>
      <w:r w:rsidRPr="00E252FB">
        <w:t xml:space="preserve">, we identified the ten most important variables on earthworms using a permutation procedure </w:t>
      </w:r>
      <w:r w:rsidRPr="00E252FB">
        <w:fldChar w:fldCharType="begin"/>
      </w:r>
      <w:r w:rsidRPr="00E252FB">
        <w:instrText xml:space="preserve"> ADDIN ZOTERO_ITEM CSL_CITATION {"citationID":"Tiyd96iB","properties":{"formattedCitation":"(Fourcade &amp; Vercauteren, 2022; Zeiss et al., 2024)","plainCitation":"(Fourcade &amp; Vercauteren, 2022; Zeiss et al., 2024)","noteIndex":0},"citationItems":[{"id":1011,"uris":["http://zotero.org/users/7119014/items/QD53Q9Y6"],"itemData":{"id":1011,"type":"article-journal","abstract":"Aim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id":1155,"uris":["http://zotero.org/users/7119014/items/QY5LCK2X"],"itemData":{"id":1155,"type":"article-journal","abstract":"Belowground biodiversity distribution does not necessarily reflect aboveground biodiversity patterns, but maps of soil biodiversity remain scarce because of limited data availability. Earthworms belong to the most thoroughly studied soil organisms and—in their role as ecosystem engineers—have a significant impact on ecosystem functioning. We used species distribution modeling (SDMs) and available data sets to map the spatial distribution of commonly observed (i.e., frequently recorded) earthworm species (Annelida, Oligochaeta) across Europe under current and future climate conditions. First, we predicted potential species distributions with commonly used models (i.e., MaxEnt and Biomod) and estimated total species richness (i.e., number of species in a 5 × 5 km grid cell). Second, we determined how much the different types of protected areas covered predicted earthworm richness and species ranges (i.e., distributions) by estimating the respective proportion of the range area. Earthworm species richness was high in central western Europe and low in northeastern Europe. This pattern was mainly associated with annual mean temperature and precipitation seasonality, but the importance of predictor variables to species occurrences varied among species. The geographical ranges of the majority of the earthworm species were predicted to shift to eastern Europe and partly decrease under future climate scenarios. Predicted current and future ranges were only poorly covered by protected areas, such as national parks. More than 80% of future earthworm ranges were on average not protected at all (mean [SD] = 82.6% [0.04]). Overall, our results emphasize the urgency of considering especially vulnerable earthworm species, as well as other soil organisms, in the design of nature conservation measures.","container-title":"Conservation Biology","DOI":"10.1111/cobi.14187","ISSN":"1523-1739","issue":"2","language":"en","license":"© 2024 The Authors. Conservation Biology published by Wiley Periodicals LLC on behalf of Society for Conservation Biology.","note":"_eprint: https://onlinelibrary.wiley.com/doi/pdf/10.1111/cobi.14187","page":"e14187","source":"Wiley Online Library","title":"Effects of climate on the distribution and conservation of commonly observed European earthworms","volume":"38","author":[{"family":"Zeiss","given":"Romy"},{"family":"Briones","given":"Maria J. I."},{"family":"Mathieu","given":"Jérome"},{"family":"Lomba","given":"Angela"},{"family":"Dahlke","given":"Jessica"},{"family":"Heptner","given":"Laura-Fiona"},{"family":"Salako","given":"Gabriel"},{"family":"Eisenhauer","given":"Nico"},{"family":"Guerra","given":"Carlos A."}],"issued":{"date-parts":[["2024"]]}}}],"schema":"https://github.com/citation-style-language/schema/raw/master/csl-citation.json"} </w:instrText>
      </w:r>
      <w:r w:rsidRPr="00E252FB">
        <w:fldChar w:fldCharType="separate"/>
      </w:r>
      <w:r w:rsidRPr="00E252FB">
        <w:rPr>
          <w:rFonts w:cs="Times New Roman"/>
        </w:rPr>
        <w:t>(Fourcade &amp; Vercauteren, 2022; Zeiss et al., 2024)</w:t>
      </w:r>
      <w:r w:rsidRPr="00E252FB">
        <w:fldChar w:fldCharType="end"/>
      </w:r>
      <w:r w:rsidRPr="00E252FB">
        <w:t>. Thus, the variables identified (Table 1) for prediction were: land use, longitude, latitude, calcium carbonate (</w:t>
      </w:r>
      <w:proofErr w:type="spellStart"/>
      <w:r w:rsidRPr="00E252FB">
        <w:t>CaCO</w:t>
      </w:r>
      <w:proofErr w:type="spellEnd"/>
      <w:r w:rsidRPr="00E252FB">
        <w:t xml:space="preserve">₃), nitrogen (N), phosphorus (P), clay and silt content, </w:t>
      </w:r>
      <w:proofErr w:type="spellStart"/>
      <w:r w:rsidRPr="00E252FB">
        <w:t>isothermality</w:t>
      </w:r>
      <w:proofErr w:type="spellEnd"/>
      <w:r w:rsidRPr="00E252FB">
        <w:t xml:space="preserve"> (bio3), and average annual precipitation. Subsequently, all fitted models used these ten selected variables. Additionally, we used the </w:t>
      </w:r>
      <w:proofErr w:type="spellStart"/>
      <w:r w:rsidRPr="00E252FB">
        <w:t>iml</w:t>
      </w:r>
      <w:proofErr w:type="spellEnd"/>
      <w:r w:rsidRPr="00E252FB">
        <w:t xml:space="preserve"> package to improve the interpretability of the models, particularly by exploring the importance, effects, and interactions of variables </w:t>
      </w:r>
      <w:r w:rsidRPr="00E252FB">
        <w:fldChar w:fldCharType="begin"/>
      </w:r>
      <w:r w:rsidRPr="00E252FB">
        <w:instrText xml:space="preserve"> ADDIN ZOTERO_ITEM CSL_CITATION {"citationID":"5bqLxVyT","properties":{"formattedCitation":"(Casalicchio et al., 2024)","plainCitation":"(Casalicchio et al., 2024)","noteIndex":0},"citationItems":[{"id":1159,"uris":["http://zotero.org/users/7119014/items/ZEM2TT3C"],"itemData":{"id":1159,"type":"software","abstract":"Interpretability methods to analyze the behavior and predictions of any machine learning model. Implemented methods are: Feature importance described by Fisher et al. (2018) &lt;doi:10.48550/arxiv.1801.01489&gt;, accumulated local effects plots described by Apley (2018) &lt;doi:10.48550/arxiv.1612.08468&gt;, partial dependence plots described by Friedman (2001) &lt;www.jstor.org/stable/2699986&gt;, individual conditional expectation ('ice') plots described by Goldstein et al. (2013) &lt;doi:10.1080/10618600.2014.907095&gt;, local models (variant of 'lime') described by Ribeiro et. al (2016) &lt;doi:10.48550/arXiv.1602.04938&gt;, the Shapley Value described by Strumbelj et. al (2014) &lt;doi:10.1007/s10115-013-0679-x&gt;, feature interactions described by Friedman et. al &lt;doi:10.1214/07-AOAS148&gt; and tree surrogate models.","license":"MIT + file LICENSE","source":"R-Packages","title":"iml: Interpretable Machine Learning","title-short":"iml","URL":"https://cran.r-project.org/web/packages/iml/","version":"0.11.3","author":[{"family":"Casalicchio","given":"Giuseppe"},{"family":"Molnar","given":"Christoph"},{"family":"Schratz","given":"Patrick"}],"accessed":{"date-parts":[["2024",5,16]]},"issued":{"date-parts":[["2024",4,27]]}}}],"schema":"https://github.com/citation-style-language/schema/raw/master/csl-citation.json"} </w:instrText>
      </w:r>
      <w:r w:rsidRPr="00E252FB">
        <w:fldChar w:fldCharType="separate"/>
      </w:r>
      <w:r w:rsidRPr="00E252FB">
        <w:rPr>
          <w:rFonts w:cs="Times New Roman"/>
        </w:rPr>
        <w:t>(Casalicchio et al., 2024)</w:t>
      </w:r>
      <w:r w:rsidRPr="00E252FB">
        <w:fldChar w:fldCharType="end"/>
      </w:r>
      <w:r w:rsidRPr="00E252FB">
        <w:t>.</w:t>
      </w:r>
    </w:p>
    <w:p w14:paraId="2739DAC3" w14:textId="1C78F5FD" w:rsidR="00565E1D" w:rsidRPr="00E252FB" w:rsidRDefault="002318CE" w:rsidP="00A710E4">
      <w:pPr>
        <w:pStyle w:val="Heading4"/>
      </w:pPr>
      <w:r w:rsidRPr="00E252FB">
        <w:rPr>
          <w:b/>
          <w:bCs/>
        </w:rPr>
        <w:t xml:space="preserve">Table </w:t>
      </w:r>
      <w:proofErr w:type="gramStart"/>
      <w:r w:rsidR="00BE22D6" w:rsidRPr="00E252FB">
        <w:rPr>
          <w:b/>
          <w:bCs/>
        </w:rPr>
        <w:t>1</w:t>
      </w:r>
      <w:r w:rsidRPr="00E252FB">
        <w:rPr>
          <w:b/>
          <w:bCs/>
        </w:rPr>
        <w:t> :</w:t>
      </w:r>
      <w:proofErr w:type="gramEnd"/>
      <w:r w:rsidRPr="00E252FB">
        <w:t xml:space="preserve"> </w:t>
      </w:r>
      <w:r w:rsidR="00CA28DE" w:rsidRPr="00E252FB">
        <w:t xml:space="preserve">Abbreviations and </w:t>
      </w:r>
      <w:r w:rsidR="00A710E4" w:rsidRPr="00E252FB">
        <w:t>description</w:t>
      </w:r>
      <w:r w:rsidR="00CA28DE" w:rsidRPr="00E252FB">
        <w:t xml:space="preserve"> of variables used in predicting earthworm communities.</w:t>
      </w:r>
    </w:p>
    <w:tbl>
      <w:tblPr>
        <w:tblW w:w="10224" w:type="dxa"/>
        <w:jc w:val="center"/>
        <w:tblLayout w:type="fixed"/>
        <w:tblLook w:val="04A0" w:firstRow="1" w:lastRow="0" w:firstColumn="1" w:lastColumn="0" w:noHBand="0" w:noVBand="1"/>
      </w:tblPr>
      <w:tblGrid>
        <w:gridCol w:w="1008"/>
        <w:gridCol w:w="720"/>
        <w:gridCol w:w="2304"/>
        <w:gridCol w:w="1296"/>
        <w:gridCol w:w="720"/>
        <w:gridCol w:w="864"/>
        <w:gridCol w:w="720"/>
        <w:gridCol w:w="720"/>
        <w:gridCol w:w="720"/>
        <w:gridCol w:w="1152"/>
      </w:tblGrid>
      <w:tr w:rsidR="000213E5" w:rsidRPr="00260341" w14:paraId="172E91AC" w14:textId="77777777" w:rsidTr="00455CF9">
        <w:trPr>
          <w:trHeight w:val="838"/>
          <w:jc w:val="center"/>
        </w:trPr>
        <w:tc>
          <w:tcPr>
            <w:tcW w:w="1008" w:type="dxa"/>
            <w:tcBorders>
              <w:top w:val="single" w:sz="4" w:space="0" w:color="auto"/>
              <w:left w:val="nil"/>
              <w:bottom w:val="nil"/>
              <w:right w:val="nil"/>
            </w:tcBorders>
            <w:shd w:val="clear" w:color="000000" w:fill="FFFFFF"/>
            <w:vAlign w:val="center"/>
            <w:hideMark/>
          </w:tcPr>
          <w:p w14:paraId="2FF38F1E" w14:textId="77777777" w:rsidR="001E4456" w:rsidRPr="001E4456" w:rsidRDefault="001E4456" w:rsidP="001E4456">
            <w:pPr>
              <w:spacing w:after="0" w:line="240" w:lineRule="auto"/>
              <w:jc w:val="center"/>
              <w:rPr>
                <w:rFonts w:ascii="Calibri" w:eastAsia="Times New Roman" w:hAnsi="Calibri" w:cs="Calibri"/>
                <w:b/>
                <w:bCs/>
                <w:color w:val="000000"/>
                <w:kern w:val="0"/>
                <w:sz w:val="20"/>
                <w:szCs w:val="20"/>
                <w14:ligatures w14:val="none"/>
              </w:rPr>
            </w:pPr>
            <w:r w:rsidRPr="001E4456">
              <w:rPr>
                <w:rFonts w:ascii="Calibri" w:eastAsia="Times New Roman" w:hAnsi="Calibri" w:cs="Calibri"/>
                <w:b/>
                <w:bCs/>
                <w:color w:val="000000"/>
                <w:kern w:val="0"/>
                <w:sz w:val="20"/>
                <w:szCs w:val="20"/>
                <w14:ligatures w14:val="none"/>
              </w:rPr>
              <w:t>Category</w:t>
            </w:r>
          </w:p>
        </w:tc>
        <w:tc>
          <w:tcPr>
            <w:tcW w:w="720" w:type="dxa"/>
            <w:tcBorders>
              <w:top w:val="single" w:sz="4" w:space="0" w:color="auto"/>
              <w:left w:val="nil"/>
              <w:bottom w:val="nil"/>
              <w:right w:val="nil"/>
            </w:tcBorders>
            <w:shd w:val="clear" w:color="000000" w:fill="FFFFFF"/>
            <w:vAlign w:val="center"/>
            <w:hideMark/>
          </w:tcPr>
          <w:p w14:paraId="2DC6357C" w14:textId="77777777" w:rsidR="001E4456" w:rsidRPr="001E4456" w:rsidRDefault="001E4456" w:rsidP="001E4456">
            <w:pPr>
              <w:spacing w:after="0" w:line="240" w:lineRule="auto"/>
              <w:jc w:val="center"/>
              <w:rPr>
                <w:rFonts w:ascii="Calibri" w:eastAsia="Times New Roman" w:hAnsi="Calibri" w:cs="Calibri"/>
                <w:b/>
                <w:bCs/>
                <w:color w:val="000000"/>
                <w:kern w:val="0"/>
                <w:sz w:val="20"/>
                <w:szCs w:val="20"/>
                <w14:ligatures w14:val="none"/>
              </w:rPr>
            </w:pPr>
            <w:proofErr w:type="spellStart"/>
            <w:r w:rsidRPr="001E4456">
              <w:rPr>
                <w:rFonts w:ascii="Calibri" w:eastAsia="Times New Roman" w:hAnsi="Calibri" w:cs="Calibri"/>
                <w:b/>
                <w:bCs/>
                <w:color w:val="000000"/>
                <w:kern w:val="0"/>
                <w:sz w:val="20"/>
                <w:szCs w:val="20"/>
                <w14:ligatures w14:val="none"/>
              </w:rPr>
              <w:t>Abbr</w:t>
            </w:r>
            <w:proofErr w:type="spellEnd"/>
          </w:p>
        </w:tc>
        <w:tc>
          <w:tcPr>
            <w:tcW w:w="2304" w:type="dxa"/>
            <w:tcBorders>
              <w:top w:val="single" w:sz="4" w:space="0" w:color="auto"/>
              <w:left w:val="nil"/>
              <w:bottom w:val="nil"/>
              <w:right w:val="nil"/>
            </w:tcBorders>
            <w:shd w:val="clear" w:color="000000" w:fill="FFFFFF"/>
            <w:vAlign w:val="center"/>
            <w:hideMark/>
          </w:tcPr>
          <w:p w14:paraId="27FEA9BE" w14:textId="77777777" w:rsidR="001E4456" w:rsidRPr="001E4456" w:rsidRDefault="001E4456" w:rsidP="001E4456">
            <w:pPr>
              <w:spacing w:after="0" w:line="240" w:lineRule="auto"/>
              <w:jc w:val="center"/>
              <w:rPr>
                <w:rFonts w:ascii="Calibri" w:eastAsia="Times New Roman" w:hAnsi="Calibri" w:cs="Calibri"/>
                <w:b/>
                <w:bCs/>
                <w:color w:val="000000"/>
                <w:kern w:val="0"/>
                <w:sz w:val="20"/>
                <w:szCs w:val="20"/>
                <w14:ligatures w14:val="none"/>
              </w:rPr>
            </w:pPr>
            <w:r w:rsidRPr="001E4456">
              <w:rPr>
                <w:rFonts w:ascii="Calibri" w:eastAsia="Times New Roman" w:hAnsi="Calibri" w:cs="Calibri"/>
                <w:b/>
                <w:bCs/>
                <w:color w:val="000000"/>
                <w:kern w:val="0"/>
                <w:sz w:val="20"/>
                <w:szCs w:val="20"/>
                <w14:ligatures w14:val="none"/>
              </w:rPr>
              <w:t>Description</w:t>
            </w:r>
          </w:p>
        </w:tc>
        <w:tc>
          <w:tcPr>
            <w:tcW w:w="1296" w:type="dxa"/>
            <w:tcBorders>
              <w:top w:val="single" w:sz="4" w:space="0" w:color="auto"/>
              <w:left w:val="nil"/>
              <w:bottom w:val="nil"/>
              <w:right w:val="nil"/>
            </w:tcBorders>
            <w:shd w:val="clear" w:color="000000" w:fill="FFFFFF"/>
            <w:vAlign w:val="center"/>
            <w:hideMark/>
          </w:tcPr>
          <w:p w14:paraId="6FC2B3BD" w14:textId="77777777" w:rsidR="001E4456" w:rsidRPr="001E4456" w:rsidRDefault="001E4456" w:rsidP="001E4456">
            <w:pPr>
              <w:spacing w:after="0" w:line="240" w:lineRule="auto"/>
              <w:jc w:val="center"/>
              <w:rPr>
                <w:rFonts w:ascii="Calibri" w:eastAsia="Times New Roman" w:hAnsi="Calibri" w:cs="Calibri"/>
                <w:b/>
                <w:bCs/>
                <w:color w:val="000000"/>
                <w:kern w:val="0"/>
                <w:sz w:val="20"/>
                <w:szCs w:val="20"/>
                <w14:ligatures w14:val="none"/>
              </w:rPr>
            </w:pPr>
            <w:r w:rsidRPr="001E4456">
              <w:rPr>
                <w:rFonts w:ascii="Calibri" w:eastAsia="Times New Roman" w:hAnsi="Calibri" w:cs="Calibri"/>
                <w:b/>
                <w:bCs/>
                <w:color w:val="000000"/>
                <w:kern w:val="0"/>
                <w:sz w:val="20"/>
                <w:szCs w:val="20"/>
                <w14:ligatures w14:val="none"/>
              </w:rPr>
              <w:t>Units</w:t>
            </w:r>
          </w:p>
        </w:tc>
        <w:tc>
          <w:tcPr>
            <w:tcW w:w="720" w:type="dxa"/>
            <w:tcBorders>
              <w:top w:val="single" w:sz="4" w:space="0" w:color="auto"/>
              <w:left w:val="nil"/>
              <w:bottom w:val="nil"/>
              <w:right w:val="nil"/>
            </w:tcBorders>
            <w:shd w:val="clear" w:color="000000" w:fill="FFFFFF"/>
            <w:vAlign w:val="center"/>
            <w:hideMark/>
          </w:tcPr>
          <w:p w14:paraId="1B765213" w14:textId="77777777" w:rsidR="001E4456" w:rsidRPr="001E4456" w:rsidRDefault="001E4456" w:rsidP="001E4456">
            <w:pPr>
              <w:spacing w:after="0" w:line="240" w:lineRule="auto"/>
              <w:jc w:val="center"/>
              <w:rPr>
                <w:rFonts w:ascii="Calibri" w:eastAsia="Times New Roman" w:hAnsi="Calibri" w:cs="Calibri"/>
                <w:b/>
                <w:bCs/>
                <w:color w:val="000000"/>
                <w:kern w:val="0"/>
                <w:sz w:val="20"/>
                <w:szCs w:val="20"/>
                <w14:ligatures w14:val="none"/>
              </w:rPr>
            </w:pPr>
            <w:r w:rsidRPr="001E4456">
              <w:rPr>
                <w:rFonts w:ascii="Calibri" w:eastAsia="Times New Roman" w:hAnsi="Calibri" w:cs="Calibri"/>
                <w:b/>
                <w:bCs/>
                <w:color w:val="000000"/>
                <w:kern w:val="0"/>
                <w:sz w:val="20"/>
                <w:szCs w:val="20"/>
                <w14:ligatures w14:val="none"/>
              </w:rPr>
              <w:t>Sum</w:t>
            </w:r>
          </w:p>
        </w:tc>
        <w:tc>
          <w:tcPr>
            <w:tcW w:w="864" w:type="dxa"/>
            <w:tcBorders>
              <w:top w:val="single" w:sz="4" w:space="0" w:color="auto"/>
              <w:left w:val="nil"/>
              <w:bottom w:val="nil"/>
              <w:right w:val="nil"/>
            </w:tcBorders>
            <w:shd w:val="clear" w:color="000000" w:fill="FFFFFF"/>
            <w:vAlign w:val="center"/>
            <w:hideMark/>
          </w:tcPr>
          <w:p w14:paraId="2537527C" w14:textId="77777777" w:rsidR="001E4456" w:rsidRPr="001E4456" w:rsidRDefault="001E4456" w:rsidP="001E4456">
            <w:pPr>
              <w:spacing w:after="0" w:line="240" w:lineRule="auto"/>
              <w:jc w:val="center"/>
              <w:rPr>
                <w:rFonts w:ascii="Calibri" w:eastAsia="Times New Roman" w:hAnsi="Calibri" w:cs="Calibri"/>
                <w:b/>
                <w:bCs/>
                <w:color w:val="000000"/>
                <w:kern w:val="0"/>
                <w:sz w:val="20"/>
                <w:szCs w:val="20"/>
                <w14:ligatures w14:val="none"/>
              </w:rPr>
            </w:pPr>
            <w:r w:rsidRPr="001E4456">
              <w:rPr>
                <w:rFonts w:ascii="Calibri" w:eastAsia="Times New Roman" w:hAnsi="Calibri" w:cs="Calibri"/>
                <w:b/>
                <w:bCs/>
                <w:color w:val="000000"/>
                <w:kern w:val="0"/>
                <w:sz w:val="20"/>
                <w:szCs w:val="20"/>
                <w14:ligatures w14:val="none"/>
              </w:rPr>
              <w:t>Min</w:t>
            </w:r>
          </w:p>
        </w:tc>
        <w:tc>
          <w:tcPr>
            <w:tcW w:w="720" w:type="dxa"/>
            <w:tcBorders>
              <w:top w:val="single" w:sz="4" w:space="0" w:color="auto"/>
              <w:left w:val="nil"/>
              <w:bottom w:val="nil"/>
              <w:right w:val="nil"/>
            </w:tcBorders>
            <w:shd w:val="clear" w:color="000000" w:fill="FFFFFF"/>
            <w:vAlign w:val="center"/>
            <w:hideMark/>
          </w:tcPr>
          <w:p w14:paraId="56641FA2" w14:textId="77777777" w:rsidR="001E4456" w:rsidRPr="001E4456" w:rsidRDefault="001E4456" w:rsidP="001E4456">
            <w:pPr>
              <w:spacing w:after="0" w:line="240" w:lineRule="auto"/>
              <w:jc w:val="center"/>
              <w:rPr>
                <w:rFonts w:ascii="Calibri" w:eastAsia="Times New Roman" w:hAnsi="Calibri" w:cs="Calibri"/>
                <w:b/>
                <w:bCs/>
                <w:color w:val="000000"/>
                <w:kern w:val="0"/>
                <w:sz w:val="20"/>
                <w:szCs w:val="20"/>
                <w14:ligatures w14:val="none"/>
              </w:rPr>
            </w:pPr>
            <w:r w:rsidRPr="001E4456">
              <w:rPr>
                <w:rFonts w:ascii="Calibri" w:eastAsia="Times New Roman" w:hAnsi="Calibri" w:cs="Calibri"/>
                <w:b/>
                <w:bCs/>
                <w:color w:val="000000"/>
                <w:kern w:val="0"/>
                <w:sz w:val="20"/>
                <w:szCs w:val="20"/>
                <w14:ligatures w14:val="none"/>
              </w:rPr>
              <w:t>Mean</w:t>
            </w:r>
          </w:p>
        </w:tc>
        <w:tc>
          <w:tcPr>
            <w:tcW w:w="720" w:type="dxa"/>
            <w:tcBorders>
              <w:top w:val="single" w:sz="4" w:space="0" w:color="auto"/>
              <w:left w:val="nil"/>
              <w:bottom w:val="nil"/>
              <w:right w:val="nil"/>
            </w:tcBorders>
            <w:shd w:val="clear" w:color="000000" w:fill="FFFFFF"/>
            <w:vAlign w:val="center"/>
            <w:hideMark/>
          </w:tcPr>
          <w:p w14:paraId="5A1E79B8" w14:textId="77777777" w:rsidR="001E4456" w:rsidRPr="001E4456" w:rsidRDefault="001E4456" w:rsidP="001E4456">
            <w:pPr>
              <w:spacing w:after="0" w:line="240" w:lineRule="auto"/>
              <w:jc w:val="center"/>
              <w:rPr>
                <w:rFonts w:ascii="Calibri" w:eastAsia="Times New Roman" w:hAnsi="Calibri" w:cs="Calibri"/>
                <w:b/>
                <w:bCs/>
                <w:color w:val="000000"/>
                <w:kern w:val="0"/>
                <w:sz w:val="20"/>
                <w:szCs w:val="20"/>
                <w14:ligatures w14:val="none"/>
              </w:rPr>
            </w:pPr>
            <w:r w:rsidRPr="001E4456">
              <w:rPr>
                <w:rFonts w:ascii="Calibri" w:eastAsia="Times New Roman" w:hAnsi="Calibri" w:cs="Calibri"/>
                <w:b/>
                <w:bCs/>
                <w:color w:val="000000"/>
                <w:kern w:val="0"/>
                <w:sz w:val="20"/>
                <w:szCs w:val="20"/>
                <w14:ligatures w14:val="none"/>
              </w:rPr>
              <w:t>Max</w:t>
            </w:r>
          </w:p>
        </w:tc>
        <w:tc>
          <w:tcPr>
            <w:tcW w:w="720" w:type="dxa"/>
            <w:tcBorders>
              <w:top w:val="single" w:sz="4" w:space="0" w:color="auto"/>
              <w:left w:val="nil"/>
              <w:bottom w:val="nil"/>
              <w:right w:val="nil"/>
            </w:tcBorders>
            <w:shd w:val="clear" w:color="000000" w:fill="FFFFFF"/>
            <w:vAlign w:val="center"/>
            <w:hideMark/>
          </w:tcPr>
          <w:p w14:paraId="5E3068F3" w14:textId="77777777" w:rsidR="001E4456" w:rsidRPr="001E4456" w:rsidRDefault="001E4456" w:rsidP="001E4456">
            <w:pPr>
              <w:spacing w:after="0" w:line="240" w:lineRule="auto"/>
              <w:jc w:val="center"/>
              <w:rPr>
                <w:rFonts w:ascii="Calibri" w:eastAsia="Times New Roman" w:hAnsi="Calibri" w:cs="Calibri"/>
                <w:b/>
                <w:bCs/>
                <w:color w:val="000000"/>
                <w:kern w:val="0"/>
                <w:sz w:val="20"/>
                <w:szCs w:val="20"/>
                <w14:ligatures w14:val="none"/>
              </w:rPr>
            </w:pPr>
            <w:r w:rsidRPr="001E4456">
              <w:rPr>
                <w:rFonts w:ascii="Calibri" w:eastAsia="Times New Roman" w:hAnsi="Calibri" w:cs="Calibri"/>
                <w:b/>
                <w:bCs/>
                <w:color w:val="000000"/>
                <w:kern w:val="0"/>
                <w:sz w:val="20"/>
                <w:szCs w:val="20"/>
                <w14:ligatures w14:val="none"/>
              </w:rPr>
              <w:t>Time scale</w:t>
            </w:r>
          </w:p>
        </w:tc>
        <w:tc>
          <w:tcPr>
            <w:tcW w:w="1152" w:type="dxa"/>
            <w:tcBorders>
              <w:top w:val="single" w:sz="4" w:space="0" w:color="auto"/>
              <w:left w:val="nil"/>
              <w:bottom w:val="nil"/>
              <w:right w:val="nil"/>
            </w:tcBorders>
            <w:shd w:val="clear" w:color="000000" w:fill="FFFFFF"/>
            <w:vAlign w:val="center"/>
            <w:hideMark/>
          </w:tcPr>
          <w:p w14:paraId="02371BB5" w14:textId="77777777" w:rsidR="001E4456" w:rsidRPr="001E4456" w:rsidRDefault="001E4456" w:rsidP="001E4456">
            <w:pPr>
              <w:spacing w:after="0" w:line="240" w:lineRule="auto"/>
              <w:jc w:val="center"/>
              <w:rPr>
                <w:rFonts w:ascii="Calibri" w:eastAsia="Times New Roman" w:hAnsi="Calibri" w:cs="Calibri"/>
                <w:b/>
                <w:bCs/>
                <w:color w:val="000000"/>
                <w:kern w:val="0"/>
                <w:sz w:val="20"/>
                <w:szCs w:val="20"/>
                <w14:ligatures w14:val="none"/>
              </w:rPr>
            </w:pPr>
            <w:r w:rsidRPr="001E4456">
              <w:rPr>
                <w:rFonts w:ascii="Calibri" w:eastAsia="Times New Roman" w:hAnsi="Calibri" w:cs="Calibri"/>
                <w:b/>
                <w:bCs/>
                <w:color w:val="000000"/>
                <w:kern w:val="0"/>
                <w:sz w:val="20"/>
                <w:szCs w:val="20"/>
                <w14:ligatures w14:val="none"/>
              </w:rPr>
              <w:t>Reference</w:t>
            </w:r>
          </w:p>
        </w:tc>
      </w:tr>
      <w:tr w:rsidR="000213E5" w:rsidRPr="00260341" w14:paraId="6CE14C6E" w14:textId="77777777" w:rsidTr="00455CF9">
        <w:trPr>
          <w:trHeight w:val="323"/>
          <w:jc w:val="center"/>
        </w:trPr>
        <w:tc>
          <w:tcPr>
            <w:tcW w:w="1008" w:type="dxa"/>
            <w:vMerge w:val="restart"/>
            <w:tcBorders>
              <w:top w:val="nil"/>
              <w:left w:val="nil"/>
              <w:bottom w:val="nil"/>
              <w:right w:val="nil"/>
            </w:tcBorders>
            <w:shd w:val="clear" w:color="000000" w:fill="FFFFFF"/>
            <w:vAlign w:val="center"/>
            <w:hideMark/>
          </w:tcPr>
          <w:p w14:paraId="70973FB0" w14:textId="667FC35A" w:rsidR="001E4456" w:rsidRPr="001E4456" w:rsidRDefault="001E4456" w:rsidP="001E4456">
            <w:pPr>
              <w:spacing w:after="0" w:line="240" w:lineRule="auto"/>
              <w:jc w:val="center"/>
              <w:rPr>
                <w:rFonts w:ascii="Calibri" w:eastAsia="Times New Roman" w:hAnsi="Calibri" w:cs="Calibri"/>
                <w:b/>
                <w:bCs/>
                <w:color w:val="000000"/>
                <w:kern w:val="0"/>
                <w:sz w:val="20"/>
                <w:szCs w:val="20"/>
                <w14:ligatures w14:val="none"/>
              </w:rPr>
            </w:pPr>
            <w:r w:rsidRPr="001E4456">
              <w:rPr>
                <w:rFonts w:ascii="Calibri" w:eastAsia="Times New Roman" w:hAnsi="Calibri" w:cs="Calibri"/>
                <w:b/>
                <w:bCs/>
                <w:color w:val="000000"/>
                <w:kern w:val="0"/>
                <w:sz w:val="20"/>
                <w:szCs w:val="20"/>
                <w14:ligatures w14:val="none"/>
              </w:rPr>
              <w:t>Land</w:t>
            </w:r>
            <w:r w:rsidR="000213E5">
              <w:rPr>
                <w:rFonts w:ascii="Calibri" w:eastAsia="Times New Roman" w:hAnsi="Calibri" w:cs="Calibri"/>
                <w:b/>
                <w:bCs/>
                <w:color w:val="000000"/>
                <w:kern w:val="0"/>
                <w:sz w:val="20"/>
                <w:szCs w:val="20"/>
                <w14:ligatures w14:val="none"/>
              </w:rPr>
              <w:t xml:space="preserve"> use</w:t>
            </w:r>
          </w:p>
        </w:tc>
        <w:tc>
          <w:tcPr>
            <w:tcW w:w="720" w:type="dxa"/>
            <w:tcBorders>
              <w:top w:val="nil"/>
              <w:left w:val="nil"/>
              <w:bottom w:val="nil"/>
              <w:right w:val="nil"/>
            </w:tcBorders>
            <w:shd w:val="clear" w:color="000000" w:fill="FFFFFF"/>
            <w:vAlign w:val="center"/>
            <w:hideMark/>
          </w:tcPr>
          <w:p w14:paraId="7573295D"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For</w:t>
            </w:r>
          </w:p>
        </w:tc>
        <w:tc>
          <w:tcPr>
            <w:tcW w:w="2304" w:type="dxa"/>
            <w:tcBorders>
              <w:top w:val="nil"/>
              <w:left w:val="nil"/>
              <w:bottom w:val="nil"/>
              <w:right w:val="nil"/>
            </w:tcBorders>
            <w:shd w:val="clear" w:color="000000" w:fill="FFFFFF"/>
            <w:vAlign w:val="center"/>
            <w:hideMark/>
          </w:tcPr>
          <w:p w14:paraId="5E06BA50"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Forest</w:t>
            </w:r>
          </w:p>
        </w:tc>
        <w:tc>
          <w:tcPr>
            <w:tcW w:w="1296" w:type="dxa"/>
            <w:tcBorders>
              <w:top w:val="nil"/>
              <w:left w:val="nil"/>
              <w:bottom w:val="nil"/>
              <w:right w:val="nil"/>
            </w:tcBorders>
            <w:shd w:val="clear" w:color="000000" w:fill="FFFFFF"/>
            <w:vAlign w:val="center"/>
            <w:hideMark/>
          </w:tcPr>
          <w:p w14:paraId="43266DB2"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Boolean</w:t>
            </w:r>
          </w:p>
        </w:tc>
        <w:tc>
          <w:tcPr>
            <w:tcW w:w="720" w:type="dxa"/>
            <w:tcBorders>
              <w:top w:val="nil"/>
              <w:left w:val="nil"/>
              <w:bottom w:val="nil"/>
              <w:right w:val="nil"/>
            </w:tcBorders>
            <w:shd w:val="clear" w:color="000000" w:fill="FFFFFF"/>
            <w:vAlign w:val="center"/>
            <w:hideMark/>
          </w:tcPr>
          <w:p w14:paraId="344B2F50"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116</w:t>
            </w:r>
          </w:p>
        </w:tc>
        <w:tc>
          <w:tcPr>
            <w:tcW w:w="864" w:type="dxa"/>
            <w:tcBorders>
              <w:top w:val="nil"/>
              <w:left w:val="nil"/>
              <w:bottom w:val="nil"/>
              <w:right w:val="nil"/>
            </w:tcBorders>
            <w:shd w:val="clear" w:color="000000" w:fill="FFFFFF"/>
            <w:vAlign w:val="center"/>
            <w:hideMark/>
          </w:tcPr>
          <w:p w14:paraId="4362EE3F"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455ACD17"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477ABBE7"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vMerge w:val="restart"/>
            <w:tcBorders>
              <w:top w:val="nil"/>
              <w:left w:val="nil"/>
              <w:bottom w:val="nil"/>
              <w:right w:val="nil"/>
            </w:tcBorders>
            <w:shd w:val="clear" w:color="000000" w:fill="FFFFFF"/>
            <w:vAlign w:val="center"/>
            <w:hideMark/>
          </w:tcPr>
          <w:p w14:paraId="4A8770DF"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1990 - 2023</w:t>
            </w:r>
          </w:p>
        </w:tc>
        <w:tc>
          <w:tcPr>
            <w:tcW w:w="1152" w:type="dxa"/>
            <w:vMerge w:val="restart"/>
            <w:tcBorders>
              <w:top w:val="nil"/>
              <w:left w:val="nil"/>
              <w:bottom w:val="nil"/>
              <w:right w:val="nil"/>
            </w:tcBorders>
            <w:shd w:val="clear" w:color="000000" w:fill="FFFFFF"/>
            <w:vAlign w:val="center"/>
            <w:hideMark/>
          </w:tcPr>
          <w:p w14:paraId="490200B0"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proofErr w:type="spellStart"/>
            <w:r w:rsidRPr="001E4456">
              <w:rPr>
                <w:rFonts w:ascii="Calibri" w:eastAsia="Times New Roman" w:hAnsi="Calibri" w:cs="Calibri"/>
                <w:color w:val="000000"/>
                <w:kern w:val="0"/>
                <w:sz w:val="20"/>
                <w:szCs w:val="20"/>
                <w14:ligatures w14:val="none"/>
              </w:rPr>
              <w:t>LandWorm</w:t>
            </w:r>
            <w:proofErr w:type="spellEnd"/>
            <w:r w:rsidRPr="001E4456">
              <w:rPr>
                <w:rFonts w:ascii="Calibri" w:eastAsia="Times New Roman" w:hAnsi="Calibri" w:cs="Calibri"/>
                <w:color w:val="000000"/>
                <w:kern w:val="0"/>
                <w:sz w:val="20"/>
                <w:szCs w:val="20"/>
                <w14:ligatures w14:val="none"/>
              </w:rPr>
              <w:t xml:space="preserve"> database</w:t>
            </w:r>
          </w:p>
        </w:tc>
      </w:tr>
      <w:tr w:rsidR="000213E5" w:rsidRPr="00260341" w14:paraId="4D71A696" w14:textId="77777777" w:rsidTr="00455CF9">
        <w:trPr>
          <w:trHeight w:val="311"/>
          <w:jc w:val="center"/>
        </w:trPr>
        <w:tc>
          <w:tcPr>
            <w:tcW w:w="1008" w:type="dxa"/>
            <w:vMerge/>
            <w:tcBorders>
              <w:top w:val="nil"/>
              <w:left w:val="nil"/>
              <w:bottom w:val="nil"/>
              <w:right w:val="nil"/>
            </w:tcBorders>
            <w:vAlign w:val="center"/>
            <w:hideMark/>
          </w:tcPr>
          <w:p w14:paraId="1A3E18C4" w14:textId="77777777" w:rsidR="001E4456" w:rsidRPr="001E4456" w:rsidRDefault="001E4456" w:rsidP="001E4456">
            <w:pPr>
              <w:spacing w:after="0" w:line="240" w:lineRule="auto"/>
              <w:jc w:val="left"/>
              <w:rPr>
                <w:rFonts w:ascii="Calibri" w:eastAsia="Times New Roman" w:hAnsi="Calibri" w:cs="Calibri"/>
                <w:b/>
                <w:bCs/>
                <w:color w:val="000000"/>
                <w:kern w:val="0"/>
                <w:sz w:val="20"/>
                <w:szCs w:val="20"/>
                <w14:ligatures w14:val="none"/>
              </w:rPr>
            </w:pPr>
          </w:p>
        </w:tc>
        <w:tc>
          <w:tcPr>
            <w:tcW w:w="720" w:type="dxa"/>
            <w:tcBorders>
              <w:top w:val="nil"/>
              <w:left w:val="nil"/>
              <w:bottom w:val="nil"/>
              <w:right w:val="nil"/>
            </w:tcBorders>
            <w:shd w:val="clear" w:color="000000" w:fill="FFFFFF"/>
            <w:vAlign w:val="center"/>
            <w:hideMark/>
          </w:tcPr>
          <w:p w14:paraId="5B48D3F8"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Gua</w:t>
            </w:r>
          </w:p>
        </w:tc>
        <w:tc>
          <w:tcPr>
            <w:tcW w:w="2304" w:type="dxa"/>
            <w:tcBorders>
              <w:top w:val="nil"/>
              <w:left w:val="nil"/>
              <w:bottom w:val="nil"/>
              <w:right w:val="nil"/>
            </w:tcBorders>
            <w:shd w:val="clear" w:color="000000" w:fill="FFFFFF"/>
            <w:vAlign w:val="center"/>
            <w:hideMark/>
          </w:tcPr>
          <w:p w14:paraId="13F8B6D9"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Green urban areas</w:t>
            </w:r>
          </w:p>
        </w:tc>
        <w:tc>
          <w:tcPr>
            <w:tcW w:w="1296" w:type="dxa"/>
            <w:tcBorders>
              <w:top w:val="nil"/>
              <w:left w:val="nil"/>
              <w:bottom w:val="nil"/>
              <w:right w:val="nil"/>
            </w:tcBorders>
            <w:shd w:val="clear" w:color="000000" w:fill="FFFFFF"/>
            <w:vAlign w:val="center"/>
            <w:hideMark/>
          </w:tcPr>
          <w:p w14:paraId="478B6FEF"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Boolean</w:t>
            </w:r>
          </w:p>
        </w:tc>
        <w:tc>
          <w:tcPr>
            <w:tcW w:w="720" w:type="dxa"/>
            <w:tcBorders>
              <w:top w:val="nil"/>
              <w:left w:val="nil"/>
              <w:bottom w:val="nil"/>
              <w:right w:val="nil"/>
            </w:tcBorders>
            <w:shd w:val="clear" w:color="000000" w:fill="FFFFFF"/>
            <w:vAlign w:val="center"/>
            <w:hideMark/>
          </w:tcPr>
          <w:p w14:paraId="4B51FA24"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535</w:t>
            </w:r>
          </w:p>
        </w:tc>
        <w:tc>
          <w:tcPr>
            <w:tcW w:w="864" w:type="dxa"/>
            <w:tcBorders>
              <w:top w:val="nil"/>
              <w:left w:val="nil"/>
              <w:bottom w:val="nil"/>
              <w:right w:val="nil"/>
            </w:tcBorders>
            <w:shd w:val="clear" w:color="000000" w:fill="FFFFFF"/>
            <w:vAlign w:val="center"/>
            <w:hideMark/>
          </w:tcPr>
          <w:p w14:paraId="22F61A83"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5663C87D"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4D0F4664"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vMerge/>
            <w:tcBorders>
              <w:top w:val="nil"/>
              <w:left w:val="nil"/>
              <w:bottom w:val="nil"/>
              <w:right w:val="nil"/>
            </w:tcBorders>
            <w:vAlign w:val="center"/>
            <w:hideMark/>
          </w:tcPr>
          <w:p w14:paraId="5E0C4224"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c>
          <w:tcPr>
            <w:tcW w:w="1152" w:type="dxa"/>
            <w:vMerge/>
            <w:tcBorders>
              <w:top w:val="nil"/>
              <w:left w:val="nil"/>
              <w:bottom w:val="nil"/>
              <w:right w:val="nil"/>
            </w:tcBorders>
            <w:vAlign w:val="center"/>
            <w:hideMark/>
          </w:tcPr>
          <w:p w14:paraId="17525ACA"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r>
      <w:tr w:rsidR="000213E5" w:rsidRPr="00260341" w14:paraId="4D8BBE10" w14:textId="77777777" w:rsidTr="00455CF9">
        <w:trPr>
          <w:trHeight w:val="311"/>
          <w:jc w:val="center"/>
        </w:trPr>
        <w:tc>
          <w:tcPr>
            <w:tcW w:w="1008" w:type="dxa"/>
            <w:vMerge/>
            <w:tcBorders>
              <w:top w:val="nil"/>
              <w:left w:val="nil"/>
              <w:bottom w:val="nil"/>
              <w:right w:val="nil"/>
            </w:tcBorders>
            <w:vAlign w:val="center"/>
            <w:hideMark/>
          </w:tcPr>
          <w:p w14:paraId="1C10B2F8" w14:textId="77777777" w:rsidR="001E4456" w:rsidRPr="001E4456" w:rsidRDefault="001E4456" w:rsidP="001E4456">
            <w:pPr>
              <w:spacing w:after="0" w:line="240" w:lineRule="auto"/>
              <w:jc w:val="left"/>
              <w:rPr>
                <w:rFonts w:ascii="Calibri" w:eastAsia="Times New Roman" w:hAnsi="Calibri" w:cs="Calibri"/>
                <w:b/>
                <w:bCs/>
                <w:color w:val="000000"/>
                <w:kern w:val="0"/>
                <w:sz w:val="20"/>
                <w:szCs w:val="20"/>
                <w14:ligatures w14:val="none"/>
              </w:rPr>
            </w:pPr>
          </w:p>
        </w:tc>
        <w:tc>
          <w:tcPr>
            <w:tcW w:w="720" w:type="dxa"/>
            <w:tcBorders>
              <w:top w:val="nil"/>
              <w:left w:val="nil"/>
              <w:bottom w:val="nil"/>
              <w:right w:val="nil"/>
            </w:tcBorders>
            <w:shd w:val="clear" w:color="000000" w:fill="FFFFFF"/>
            <w:vAlign w:val="center"/>
            <w:hideMark/>
          </w:tcPr>
          <w:p w14:paraId="47AE8BD7"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Nag</w:t>
            </w:r>
          </w:p>
        </w:tc>
        <w:tc>
          <w:tcPr>
            <w:tcW w:w="2304" w:type="dxa"/>
            <w:tcBorders>
              <w:top w:val="nil"/>
              <w:left w:val="nil"/>
              <w:bottom w:val="nil"/>
              <w:right w:val="nil"/>
            </w:tcBorders>
            <w:shd w:val="clear" w:color="000000" w:fill="FFFFFF"/>
            <w:vAlign w:val="center"/>
            <w:hideMark/>
          </w:tcPr>
          <w:p w14:paraId="0E379658"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Natural grasslands</w:t>
            </w:r>
          </w:p>
        </w:tc>
        <w:tc>
          <w:tcPr>
            <w:tcW w:w="1296" w:type="dxa"/>
            <w:tcBorders>
              <w:top w:val="nil"/>
              <w:left w:val="nil"/>
              <w:bottom w:val="nil"/>
              <w:right w:val="nil"/>
            </w:tcBorders>
            <w:shd w:val="clear" w:color="000000" w:fill="FFFFFF"/>
            <w:vAlign w:val="center"/>
            <w:hideMark/>
          </w:tcPr>
          <w:p w14:paraId="058F5C47"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Boolean</w:t>
            </w:r>
          </w:p>
        </w:tc>
        <w:tc>
          <w:tcPr>
            <w:tcW w:w="720" w:type="dxa"/>
            <w:tcBorders>
              <w:top w:val="nil"/>
              <w:left w:val="nil"/>
              <w:bottom w:val="nil"/>
              <w:right w:val="nil"/>
            </w:tcBorders>
            <w:shd w:val="clear" w:color="000000" w:fill="FFFFFF"/>
            <w:vAlign w:val="center"/>
            <w:hideMark/>
          </w:tcPr>
          <w:p w14:paraId="67D3CD02"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111</w:t>
            </w:r>
          </w:p>
        </w:tc>
        <w:tc>
          <w:tcPr>
            <w:tcW w:w="864" w:type="dxa"/>
            <w:tcBorders>
              <w:top w:val="nil"/>
              <w:left w:val="nil"/>
              <w:bottom w:val="nil"/>
              <w:right w:val="nil"/>
            </w:tcBorders>
            <w:shd w:val="clear" w:color="000000" w:fill="FFFFFF"/>
            <w:vAlign w:val="center"/>
            <w:hideMark/>
          </w:tcPr>
          <w:p w14:paraId="436CAEED"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3B7F94D6"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287DAE4F"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vMerge/>
            <w:tcBorders>
              <w:top w:val="nil"/>
              <w:left w:val="nil"/>
              <w:bottom w:val="nil"/>
              <w:right w:val="nil"/>
            </w:tcBorders>
            <w:vAlign w:val="center"/>
            <w:hideMark/>
          </w:tcPr>
          <w:p w14:paraId="7894DAFF"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c>
          <w:tcPr>
            <w:tcW w:w="1152" w:type="dxa"/>
            <w:vMerge/>
            <w:tcBorders>
              <w:top w:val="nil"/>
              <w:left w:val="nil"/>
              <w:bottom w:val="nil"/>
              <w:right w:val="nil"/>
            </w:tcBorders>
            <w:vAlign w:val="center"/>
            <w:hideMark/>
          </w:tcPr>
          <w:p w14:paraId="01A261BA"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r>
      <w:tr w:rsidR="000213E5" w:rsidRPr="00260341" w14:paraId="271D01D5" w14:textId="77777777" w:rsidTr="00455CF9">
        <w:trPr>
          <w:trHeight w:val="311"/>
          <w:jc w:val="center"/>
        </w:trPr>
        <w:tc>
          <w:tcPr>
            <w:tcW w:w="1008" w:type="dxa"/>
            <w:vMerge/>
            <w:tcBorders>
              <w:top w:val="nil"/>
              <w:left w:val="nil"/>
              <w:bottom w:val="nil"/>
              <w:right w:val="nil"/>
            </w:tcBorders>
            <w:vAlign w:val="center"/>
            <w:hideMark/>
          </w:tcPr>
          <w:p w14:paraId="05074D13" w14:textId="77777777" w:rsidR="001E4456" w:rsidRPr="001E4456" w:rsidRDefault="001E4456" w:rsidP="001E4456">
            <w:pPr>
              <w:spacing w:after="0" w:line="240" w:lineRule="auto"/>
              <w:jc w:val="left"/>
              <w:rPr>
                <w:rFonts w:ascii="Calibri" w:eastAsia="Times New Roman" w:hAnsi="Calibri" w:cs="Calibri"/>
                <w:b/>
                <w:bCs/>
                <w:color w:val="000000"/>
                <w:kern w:val="0"/>
                <w:sz w:val="20"/>
                <w:szCs w:val="20"/>
                <w14:ligatures w14:val="none"/>
              </w:rPr>
            </w:pPr>
          </w:p>
        </w:tc>
        <w:tc>
          <w:tcPr>
            <w:tcW w:w="720" w:type="dxa"/>
            <w:tcBorders>
              <w:top w:val="nil"/>
              <w:left w:val="nil"/>
              <w:bottom w:val="nil"/>
              <w:right w:val="nil"/>
            </w:tcBorders>
            <w:shd w:val="clear" w:color="000000" w:fill="FFFFFF"/>
            <w:vAlign w:val="center"/>
            <w:hideMark/>
          </w:tcPr>
          <w:p w14:paraId="04248801"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Nial</w:t>
            </w:r>
          </w:p>
        </w:tc>
        <w:tc>
          <w:tcPr>
            <w:tcW w:w="2304" w:type="dxa"/>
            <w:tcBorders>
              <w:top w:val="nil"/>
              <w:left w:val="nil"/>
              <w:bottom w:val="nil"/>
              <w:right w:val="nil"/>
            </w:tcBorders>
            <w:shd w:val="clear" w:color="000000" w:fill="FFFFFF"/>
            <w:vAlign w:val="center"/>
            <w:hideMark/>
          </w:tcPr>
          <w:p w14:paraId="08824763"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Non-irrigated arable land</w:t>
            </w:r>
          </w:p>
        </w:tc>
        <w:tc>
          <w:tcPr>
            <w:tcW w:w="1296" w:type="dxa"/>
            <w:tcBorders>
              <w:top w:val="nil"/>
              <w:left w:val="nil"/>
              <w:bottom w:val="nil"/>
              <w:right w:val="nil"/>
            </w:tcBorders>
            <w:shd w:val="clear" w:color="000000" w:fill="FFFFFF"/>
            <w:vAlign w:val="center"/>
            <w:hideMark/>
          </w:tcPr>
          <w:p w14:paraId="08F95D36"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Boolean</w:t>
            </w:r>
          </w:p>
        </w:tc>
        <w:tc>
          <w:tcPr>
            <w:tcW w:w="720" w:type="dxa"/>
            <w:tcBorders>
              <w:top w:val="nil"/>
              <w:left w:val="nil"/>
              <w:bottom w:val="nil"/>
              <w:right w:val="nil"/>
            </w:tcBorders>
            <w:shd w:val="clear" w:color="000000" w:fill="FFFFFF"/>
            <w:vAlign w:val="center"/>
            <w:hideMark/>
          </w:tcPr>
          <w:p w14:paraId="61799597"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1683</w:t>
            </w:r>
          </w:p>
        </w:tc>
        <w:tc>
          <w:tcPr>
            <w:tcW w:w="864" w:type="dxa"/>
            <w:tcBorders>
              <w:top w:val="nil"/>
              <w:left w:val="nil"/>
              <w:bottom w:val="nil"/>
              <w:right w:val="nil"/>
            </w:tcBorders>
            <w:shd w:val="clear" w:color="000000" w:fill="FFFFFF"/>
            <w:vAlign w:val="center"/>
            <w:hideMark/>
          </w:tcPr>
          <w:p w14:paraId="106CABCF"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3407D188"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2AFE2420"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vMerge/>
            <w:tcBorders>
              <w:top w:val="nil"/>
              <w:left w:val="nil"/>
              <w:bottom w:val="nil"/>
              <w:right w:val="nil"/>
            </w:tcBorders>
            <w:vAlign w:val="center"/>
            <w:hideMark/>
          </w:tcPr>
          <w:p w14:paraId="72BCB1AB"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c>
          <w:tcPr>
            <w:tcW w:w="1152" w:type="dxa"/>
            <w:vMerge/>
            <w:tcBorders>
              <w:top w:val="nil"/>
              <w:left w:val="nil"/>
              <w:bottom w:val="nil"/>
              <w:right w:val="nil"/>
            </w:tcBorders>
            <w:vAlign w:val="center"/>
            <w:hideMark/>
          </w:tcPr>
          <w:p w14:paraId="4BF8E95A"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r>
      <w:tr w:rsidR="000213E5" w:rsidRPr="00260341" w14:paraId="025FFD9E" w14:textId="77777777" w:rsidTr="00455CF9">
        <w:trPr>
          <w:trHeight w:val="1018"/>
          <w:jc w:val="center"/>
        </w:trPr>
        <w:tc>
          <w:tcPr>
            <w:tcW w:w="1008" w:type="dxa"/>
            <w:vMerge/>
            <w:tcBorders>
              <w:top w:val="nil"/>
              <w:left w:val="nil"/>
              <w:bottom w:val="nil"/>
              <w:right w:val="nil"/>
            </w:tcBorders>
            <w:vAlign w:val="center"/>
            <w:hideMark/>
          </w:tcPr>
          <w:p w14:paraId="1EDBFD95" w14:textId="77777777" w:rsidR="001E4456" w:rsidRPr="001E4456" w:rsidRDefault="001E4456" w:rsidP="001E4456">
            <w:pPr>
              <w:spacing w:after="0" w:line="240" w:lineRule="auto"/>
              <w:jc w:val="left"/>
              <w:rPr>
                <w:rFonts w:ascii="Calibri" w:eastAsia="Times New Roman" w:hAnsi="Calibri" w:cs="Calibri"/>
                <w:b/>
                <w:bCs/>
                <w:color w:val="000000"/>
                <w:kern w:val="0"/>
                <w:sz w:val="20"/>
                <w:szCs w:val="20"/>
                <w14:ligatures w14:val="none"/>
              </w:rPr>
            </w:pPr>
          </w:p>
        </w:tc>
        <w:tc>
          <w:tcPr>
            <w:tcW w:w="720" w:type="dxa"/>
            <w:tcBorders>
              <w:top w:val="nil"/>
              <w:left w:val="nil"/>
              <w:bottom w:val="nil"/>
              <w:right w:val="nil"/>
            </w:tcBorders>
            <w:shd w:val="clear" w:color="000000" w:fill="FFFFFF"/>
            <w:vAlign w:val="center"/>
            <w:hideMark/>
          </w:tcPr>
          <w:p w14:paraId="789BEF41"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proofErr w:type="spellStart"/>
            <w:r w:rsidRPr="001E4456">
              <w:rPr>
                <w:rFonts w:ascii="Calibri" w:eastAsia="Times New Roman" w:hAnsi="Calibri" w:cs="Calibri"/>
                <w:color w:val="000000"/>
                <w:kern w:val="0"/>
                <w:sz w:val="20"/>
                <w:szCs w:val="20"/>
                <w14:ligatures w14:val="none"/>
              </w:rPr>
              <w:t>Pmo</w:t>
            </w:r>
            <w:proofErr w:type="spellEnd"/>
          </w:p>
        </w:tc>
        <w:tc>
          <w:tcPr>
            <w:tcW w:w="2304" w:type="dxa"/>
            <w:tcBorders>
              <w:top w:val="nil"/>
              <w:left w:val="nil"/>
              <w:bottom w:val="nil"/>
              <w:right w:val="nil"/>
            </w:tcBorders>
            <w:shd w:val="clear" w:color="000000" w:fill="FFFFFF"/>
            <w:vAlign w:val="center"/>
            <w:hideMark/>
          </w:tcPr>
          <w:p w14:paraId="11367E50"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Pastures, meadows and other permanent grasslands under agricultural use</w:t>
            </w:r>
          </w:p>
        </w:tc>
        <w:tc>
          <w:tcPr>
            <w:tcW w:w="1296" w:type="dxa"/>
            <w:tcBorders>
              <w:top w:val="nil"/>
              <w:left w:val="nil"/>
              <w:bottom w:val="nil"/>
              <w:right w:val="nil"/>
            </w:tcBorders>
            <w:shd w:val="clear" w:color="000000" w:fill="FFFFFF"/>
            <w:vAlign w:val="center"/>
            <w:hideMark/>
          </w:tcPr>
          <w:p w14:paraId="7298738A"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Boolean</w:t>
            </w:r>
          </w:p>
        </w:tc>
        <w:tc>
          <w:tcPr>
            <w:tcW w:w="720" w:type="dxa"/>
            <w:tcBorders>
              <w:top w:val="nil"/>
              <w:left w:val="nil"/>
              <w:bottom w:val="nil"/>
              <w:right w:val="nil"/>
            </w:tcBorders>
            <w:shd w:val="clear" w:color="000000" w:fill="FFFFFF"/>
            <w:vAlign w:val="center"/>
            <w:hideMark/>
          </w:tcPr>
          <w:p w14:paraId="5D9562FA"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413</w:t>
            </w:r>
          </w:p>
        </w:tc>
        <w:tc>
          <w:tcPr>
            <w:tcW w:w="864" w:type="dxa"/>
            <w:tcBorders>
              <w:top w:val="nil"/>
              <w:left w:val="nil"/>
              <w:bottom w:val="nil"/>
              <w:right w:val="nil"/>
            </w:tcBorders>
            <w:shd w:val="clear" w:color="000000" w:fill="FFFFFF"/>
            <w:vAlign w:val="center"/>
            <w:hideMark/>
          </w:tcPr>
          <w:p w14:paraId="4702F5C0"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579A93ED"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6029C862"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vMerge/>
            <w:tcBorders>
              <w:top w:val="nil"/>
              <w:left w:val="nil"/>
              <w:bottom w:val="nil"/>
              <w:right w:val="nil"/>
            </w:tcBorders>
            <w:vAlign w:val="center"/>
            <w:hideMark/>
          </w:tcPr>
          <w:p w14:paraId="3DF936E9"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c>
          <w:tcPr>
            <w:tcW w:w="1152" w:type="dxa"/>
            <w:vMerge/>
            <w:tcBorders>
              <w:top w:val="nil"/>
              <w:left w:val="nil"/>
              <w:bottom w:val="nil"/>
              <w:right w:val="nil"/>
            </w:tcBorders>
            <w:vAlign w:val="center"/>
            <w:hideMark/>
          </w:tcPr>
          <w:p w14:paraId="1CBC6449"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r>
      <w:tr w:rsidR="000213E5" w:rsidRPr="00260341" w14:paraId="61C2B91A" w14:textId="77777777" w:rsidTr="00455CF9">
        <w:trPr>
          <w:trHeight w:val="395"/>
          <w:jc w:val="center"/>
        </w:trPr>
        <w:tc>
          <w:tcPr>
            <w:tcW w:w="1008" w:type="dxa"/>
            <w:vMerge/>
            <w:tcBorders>
              <w:top w:val="nil"/>
              <w:left w:val="nil"/>
              <w:bottom w:val="nil"/>
              <w:right w:val="nil"/>
            </w:tcBorders>
            <w:vAlign w:val="center"/>
            <w:hideMark/>
          </w:tcPr>
          <w:p w14:paraId="3791599C" w14:textId="77777777" w:rsidR="001E4456" w:rsidRPr="001E4456" w:rsidRDefault="001E4456" w:rsidP="001E4456">
            <w:pPr>
              <w:spacing w:after="0" w:line="240" w:lineRule="auto"/>
              <w:jc w:val="left"/>
              <w:rPr>
                <w:rFonts w:ascii="Calibri" w:eastAsia="Times New Roman" w:hAnsi="Calibri" w:cs="Calibri"/>
                <w:b/>
                <w:bCs/>
                <w:color w:val="000000"/>
                <w:kern w:val="0"/>
                <w:sz w:val="20"/>
                <w:szCs w:val="20"/>
                <w14:ligatures w14:val="none"/>
              </w:rPr>
            </w:pPr>
          </w:p>
        </w:tc>
        <w:tc>
          <w:tcPr>
            <w:tcW w:w="720" w:type="dxa"/>
            <w:tcBorders>
              <w:top w:val="nil"/>
              <w:left w:val="nil"/>
              <w:bottom w:val="nil"/>
              <w:right w:val="nil"/>
            </w:tcBorders>
            <w:shd w:val="clear" w:color="000000" w:fill="FFFFFF"/>
            <w:vAlign w:val="center"/>
            <w:hideMark/>
          </w:tcPr>
          <w:p w14:paraId="5E278CE4"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Viny</w:t>
            </w:r>
          </w:p>
        </w:tc>
        <w:tc>
          <w:tcPr>
            <w:tcW w:w="2304" w:type="dxa"/>
            <w:tcBorders>
              <w:top w:val="nil"/>
              <w:left w:val="nil"/>
              <w:bottom w:val="nil"/>
              <w:right w:val="nil"/>
            </w:tcBorders>
            <w:shd w:val="clear" w:color="000000" w:fill="FFFFFF"/>
            <w:vAlign w:val="center"/>
            <w:hideMark/>
          </w:tcPr>
          <w:p w14:paraId="2E54E1CB"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Vineyards</w:t>
            </w:r>
          </w:p>
        </w:tc>
        <w:tc>
          <w:tcPr>
            <w:tcW w:w="1296" w:type="dxa"/>
            <w:tcBorders>
              <w:top w:val="nil"/>
              <w:left w:val="nil"/>
              <w:bottom w:val="nil"/>
              <w:right w:val="nil"/>
            </w:tcBorders>
            <w:shd w:val="clear" w:color="000000" w:fill="FFFFFF"/>
            <w:vAlign w:val="center"/>
            <w:hideMark/>
          </w:tcPr>
          <w:p w14:paraId="0966EFDB"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Boolean</w:t>
            </w:r>
          </w:p>
        </w:tc>
        <w:tc>
          <w:tcPr>
            <w:tcW w:w="720" w:type="dxa"/>
            <w:tcBorders>
              <w:top w:val="nil"/>
              <w:left w:val="nil"/>
              <w:bottom w:val="nil"/>
              <w:right w:val="nil"/>
            </w:tcBorders>
            <w:shd w:val="clear" w:color="000000" w:fill="FFFFFF"/>
            <w:vAlign w:val="center"/>
            <w:hideMark/>
          </w:tcPr>
          <w:p w14:paraId="4D0C667F"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718</w:t>
            </w:r>
          </w:p>
        </w:tc>
        <w:tc>
          <w:tcPr>
            <w:tcW w:w="864" w:type="dxa"/>
            <w:tcBorders>
              <w:top w:val="nil"/>
              <w:left w:val="nil"/>
              <w:bottom w:val="nil"/>
              <w:right w:val="nil"/>
            </w:tcBorders>
            <w:shd w:val="clear" w:color="000000" w:fill="FFFFFF"/>
            <w:vAlign w:val="center"/>
            <w:hideMark/>
          </w:tcPr>
          <w:p w14:paraId="6FC4E9FB"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705125D6"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7425730F"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vMerge/>
            <w:tcBorders>
              <w:top w:val="nil"/>
              <w:left w:val="nil"/>
              <w:bottom w:val="nil"/>
              <w:right w:val="nil"/>
            </w:tcBorders>
            <w:vAlign w:val="center"/>
            <w:hideMark/>
          </w:tcPr>
          <w:p w14:paraId="5BBBEB14"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c>
          <w:tcPr>
            <w:tcW w:w="1152" w:type="dxa"/>
            <w:vMerge/>
            <w:tcBorders>
              <w:top w:val="nil"/>
              <w:left w:val="nil"/>
              <w:bottom w:val="nil"/>
              <w:right w:val="nil"/>
            </w:tcBorders>
            <w:vAlign w:val="center"/>
            <w:hideMark/>
          </w:tcPr>
          <w:p w14:paraId="53363601"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r>
      <w:tr w:rsidR="000213E5" w:rsidRPr="00260341" w14:paraId="64D5BF1F" w14:textId="77777777" w:rsidTr="00455CF9">
        <w:trPr>
          <w:trHeight w:val="371"/>
          <w:jc w:val="center"/>
        </w:trPr>
        <w:tc>
          <w:tcPr>
            <w:tcW w:w="1008" w:type="dxa"/>
            <w:tcBorders>
              <w:top w:val="nil"/>
              <w:left w:val="nil"/>
              <w:bottom w:val="nil"/>
              <w:right w:val="nil"/>
            </w:tcBorders>
            <w:shd w:val="clear" w:color="000000" w:fill="FFFFFF"/>
            <w:vAlign w:val="center"/>
            <w:hideMark/>
          </w:tcPr>
          <w:p w14:paraId="0643F423" w14:textId="77777777" w:rsidR="001E4456" w:rsidRPr="001E4456" w:rsidRDefault="001E4456" w:rsidP="001E4456">
            <w:pPr>
              <w:spacing w:after="0" w:line="240" w:lineRule="auto"/>
              <w:jc w:val="center"/>
              <w:rPr>
                <w:rFonts w:ascii="Calibri" w:eastAsia="Times New Roman" w:hAnsi="Calibri" w:cs="Calibri"/>
                <w:b/>
                <w:bCs/>
                <w:color w:val="000000"/>
                <w:kern w:val="0"/>
                <w:sz w:val="20"/>
                <w:szCs w:val="20"/>
                <w14:ligatures w14:val="none"/>
              </w:rPr>
            </w:pPr>
            <w:r w:rsidRPr="001E4456">
              <w:rPr>
                <w:rFonts w:ascii="Calibri" w:eastAsia="Times New Roman" w:hAnsi="Calibri" w:cs="Calibri"/>
                <w:b/>
                <w:bCs/>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77F9A672"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2304" w:type="dxa"/>
            <w:tcBorders>
              <w:top w:val="nil"/>
              <w:left w:val="nil"/>
              <w:bottom w:val="nil"/>
              <w:right w:val="nil"/>
            </w:tcBorders>
            <w:shd w:val="clear" w:color="000000" w:fill="FFFFFF"/>
            <w:vAlign w:val="center"/>
            <w:hideMark/>
          </w:tcPr>
          <w:p w14:paraId="3F736B69"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1296" w:type="dxa"/>
            <w:tcBorders>
              <w:top w:val="nil"/>
              <w:left w:val="nil"/>
              <w:bottom w:val="nil"/>
              <w:right w:val="nil"/>
            </w:tcBorders>
            <w:shd w:val="clear" w:color="000000" w:fill="FFFFFF"/>
            <w:vAlign w:val="center"/>
            <w:hideMark/>
          </w:tcPr>
          <w:p w14:paraId="49EC68B2"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0D794E6E"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864" w:type="dxa"/>
            <w:tcBorders>
              <w:top w:val="nil"/>
              <w:left w:val="nil"/>
              <w:bottom w:val="nil"/>
              <w:right w:val="nil"/>
            </w:tcBorders>
            <w:shd w:val="clear" w:color="000000" w:fill="FFFFFF"/>
            <w:vAlign w:val="center"/>
            <w:hideMark/>
          </w:tcPr>
          <w:p w14:paraId="01C29CAB"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22010345"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1BE73BEC"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10F28CA7"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1152" w:type="dxa"/>
            <w:vMerge/>
            <w:tcBorders>
              <w:top w:val="nil"/>
              <w:left w:val="nil"/>
              <w:bottom w:val="nil"/>
              <w:right w:val="nil"/>
            </w:tcBorders>
            <w:vAlign w:val="center"/>
            <w:hideMark/>
          </w:tcPr>
          <w:p w14:paraId="440A93D2"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r>
      <w:tr w:rsidR="000213E5" w:rsidRPr="00260341" w14:paraId="1D5AD5EA" w14:textId="77777777" w:rsidTr="00455CF9">
        <w:trPr>
          <w:trHeight w:val="599"/>
          <w:jc w:val="center"/>
        </w:trPr>
        <w:tc>
          <w:tcPr>
            <w:tcW w:w="1008" w:type="dxa"/>
            <w:vMerge w:val="restart"/>
            <w:tcBorders>
              <w:top w:val="nil"/>
              <w:left w:val="nil"/>
              <w:bottom w:val="nil"/>
              <w:right w:val="nil"/>
            </w:tcBorders>
            <w:shd w:val="clear" w:color="000000" w:fill="FFFFFF"/>
            <w:vAlign w:val="center"/>
            <w:hideMark/>
          </w:tcPr>
          <w:p w14:paraId="7711EE50" w14:textId="77777777" w:rsidR="001E4456" w:rsidRPr="001E4456" w:rsidRDefault="001E4456" w:rsidP="001E4456">
            <w:pPr>
              <w:spacing w:after="0" w:line="240" w:lineRule="auto"/>
              <w:jc w:val="center"/>
              <w:rPr>
                <w:rFonts w:ascii="Calibri" w:eastAsia="Times New Roman" w:hAnsi="Calibri" w:cs="Calibri"/>
                <w:b/>
                <w:bCs/>
                <w:color w:val="000000"/>
                <w:kern w:val="0"/>
                <w:sz w:val="20"/>
                <w:szCs w:val="20"/>
                <w14:ligatures w14:val="none"/>
              </w:rPr>
            </w:pPr>
            <w:r w:rsidRPr="001E4456">
              <w:rPr>
                <w:rFonts w:ascii="Calibri" w:eastAsia="Times New Roman" w:hAnsi="Calibri" w:cs="Calibri"/>
                <w:b/>
                <w:bCs/>
                <w:color w:val="000000"/>
                <w:kern w:val="0"/>
                <w:sz w:val="20"/>
                <w:szCs w:val="20"/>
                <w14:ligatures w14:val="none"/>
              </w:rPr>
              <w:t>Location</w:t>
            </w:r>
          </w:p>
        </w:tc>
        <w:tc>
          <w:tcPr>
            <w:tcW w:w="720" w:type="dxa"/>
            <w:tcBorders>
              <w:top w:val="nil"/>
              <w:left w:val="nil"/>
              <w:bottom w:val="nil"/>
              <w:right w:val="nil"/>
            </w:tcBorders>
            <w:shd w:val="clear" w:color="000000" w:fill="FFFFFF"/>
            <w:vAlign w:val="center"/>
            <w:hideMark/>
          </w:tcPr>
          <w:p w14:paraId="05F05C0A"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Long</w:t>
            </w:r>
          </w:p>
        </w:tc>
        <w:tc>
          <w:tcPr>
            <w:tcW w:w="2304" w:type="dxa"/>
            <w:tcBorders>
              <w:top w:val="nil"/>
              <w:left w:val="nil"/>
              <w:bottom w:val="nil"/>
              <w:right w:val="nil"/>
            </w:tcBorders>
            <w:shd w:val="clear" w:color="000000" w:fill="FFFFFF"/>
            <w:vAlign w:val="center"/>
            <w:hideMark/>
          </w:tcPr>
          <w:p w14:paraId="7107B18A"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Longitude</w:t>
            </w:r>
          </w:p>
        </w:tc>
        <w:tc>
          <w:tcPr>
            <w:tcW w:w="1296" w:type="dxa"/>
            <w:tcBorders>
              <w:top w:val="nil"/>
              <w:left w:val="nil"/>
              <w:bottom w:val="nil"/>
              <w:right w:val="nil"/>
            </w:tcBorders>
            <w:shd w:val="clear" w:color="000000" w:fill="FFFFFF"/>
            <w:vAlign w:val="center"/>
            <w:hideMark/>
          </w:tcPr>
          <w:p w14:paraId="4F32E707"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WGS84 decimal system</w:t>
            </w:r>
          </w:p>
        </w:tc>
        <w:tc>
          <w:tcPr>
            <w:tcW w:w="720" w:type="dxa"/>
            <w:tcBorders>
              <w:top w:val="nil"/>
              <w:left w:val="nil"/>
              <w:bottom w:val="nil"/>
              <w:right w:val="nil"/>
            </w:tcBorders>
            <w:shd w:val="clear" w:color="000000" w:fill="FFFFFF"/>
            <w:vAlign w:val="center"/>
            <w:hideMark/>
          </w:tcPr>
          <w:p w14:paraId="6ED5E6F5"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864" w:type="dxa"/>
            <w:tcBorders>
              <w:top w:val="nil"/>
              <w:left w:val="nil"/>
              <w:bottom w:val="nil"/>
              <w:right w:val="nil"/>
            </w:tcBorders>
            <w:shd w:val="clear" w:color="000000" w:fill="FFFFFF"/>
            <w:vAlign w:val="center"/>
            <w:hideMark/>
          </w:tcPr>
          <w:p w14:paraId="1F0A4908"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-4.612</w:t>
            </w:r>
          </w:p>
        </w:tc>
        <w:tc>
          <w:tcPr>
            <w:tcW w:w="720" w:type="dxa"/>
            <w:tcBorders>
              <w:top w:val="nil"/>
              <w:left w:val="nil"/>
              <w:bottom w:val="nil"/>
              <w:right w:val="nil"/>
            </w:tcBorders>
            <w:shd w:val="clear" w:color="000000" w:fill="FFFFFF"/>
            <w:vAlign w:val="center"/>
            <w:hideMark/>
          </w:tcPr>
          <w:p w14:paraId="68A06D7A"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1.772</w:t>
            </w:r>
          </w:p>
        </w:tc>
        <w:tc>
          <w:tcPr>
            <w:tcW w:w="720" w:type="dxa"/>
            <w:tcBorders>
              <w:top w:val="nil"/>
              <w:left w:val="nil"/>
              <w:bottom w:val="nil"/>
              <w:right w:val="nil"/>
            </w:tcBorders>
            <w:shd w:val="clear" w:color="000000" w:fill="FFFFFF"/>
            <w:vAlign w:val="center"/>
            <w:hideMark/>
          </w:tcPr>
          <w:p w14:paraId="6D94DCA6"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8.056</w:t>
            </w:r>
          </w:p>
        </w:tc>
        <w:tc>
          <w:tcPr>
            <w:tcW w:w="720" w:type="dxa"/>
            <w:vMerge w:val="restart"/>
            <w:tcBorders>
              <w:top w:val="nil"/>
              <w:left w:val="nil"/>
              <w:bottom w:val="nil"/>
              <w:right w:val="nil"/>
            </w:tcBorders>
            <w:shd w:val="clear" w:color="000000" w:fill="FFFFFF"/>
            <w:vAlign w:val="center"/>
            <w:hideMark/>
          </w:tcPr>
          <w:p w14:paraId="02E1CBC3"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1152" w:type="dxa"/>
            <w:vMerge/>
            <w:tcBorders>
              <w:top w:val="nil"/>
              <w:left w:val="nil"/>
              <w:bottom w:val="nil"/>
              <w:right w:val="nil"/>
            </w:tcBorders>
            <w:vAlign w:val="center"/>
            <w:hideMark/>
          </w:tcPr>
          <w:p w14:paraId="2B52AA45"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r>
      <w:tr w:rsidR="000213E5" w:rsidRPr="00260341" w14:paraId="4369B5FC" w14:textId="77777777" w:rsidTr="00455CF9">
        <w:trPr>
          <w:trHeight w:val="599"/>
          <w:jc w:val="center"/>
        </w:trPr>
        <w:tc>
          <w:tcPr>
            <w:tcW w:w="1008" w:type="dxa"/>
            <w:vMerge/>
            <w:tcBorders>
              <w:top w:val="nil"/>
              <w:left w:val="nil"/>
              <w:bottom w:val="nil"/>
              <w:right w:val="nil"/>
            </w:tcBorders>
            <w:vAlign w:val="center"/>
            <w:hideMark/>
          </w:tcPr>
          <w:p w14:paraId="40CD2901" w14:textId="77777777" w:rsidR="001E4456" w:rsidRPr="001E4456" w:rsidRDefault="001E4456" w:rsidP="001E4456">
            <w:pPr>
              <w:spacing w:after="0" w:line="240" w:lineRule="auto"/>
              <w:jc w:val="left"/>
              <w:rPr>
                <w:rFonts w:ascii="Calibri" w:eastAsia="Times New Roman" w:hAnsi="Calibri" w:cs="Calibri"/>
                <w:b/>
                <w:bCs/>
                <w:color w:val="000000"/>
                <w:kern w:val="0"/>
                <w:sz w:val="20"/>
                <w:szCs w:val="20"/>
                <w14:ligatures w14:val="none"/>
              </w:rPr>
            </w:pPr>
          </w:p>
        </w:tc>
        <w:tc>
          <w:tcPr>
            <w:tcW w:w="720" w:type="dxa"/>
            <w:tcBorders>
              <w:top w:val="nil"/>
              <w:left w:val="nil"/>
              <w:bottom w:val="nil"/>
              <w:right w:val="nil"/>
            </w:tcBorders>
            <w:shd w:val="clear" w:color="000000" w:fill="FFFFFF"/>
            <w:vAlign w:val="center"/>
            <w:hideMark/>
          </w:tcPr>
          <w:p w14:paraId="19AAF1A5"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Lat</w:t>
            </w:r>
          </w:p>
        </w:tc>
        <w:tc>
          <w:tcPr>
            <w:tcW w:w="2304" w:type="dxa"/>
            <w:tcBorders>
              <w:top w:val="nil"/>
              <w:left w:val="nil"/>
              <w:bottom w:val="nil"/>
              <w:right w:val="nil"/>
            </w:tcBorders>
            <w:shd w:val="clear" w:color="000000" w:fill="FFFFFF"/>
            <w:vAlign w:val="center"/>
            <w:hideMark/>
          </w:tcPr>
          <w:p w14:paraId="4E04F818"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Latitude</w:t>
            </w:r>
          </w:p>
        </w:tc>
        <w:tc>
          <w:tcPr>
            <w:tcW w:w="1296" w:type="dxa"/>
            <w:tcBorders>
              <w:top w:val="nil"/>
              <w:left w:val="nil"/>
              <w:bottom w:val="nil"/>
              <w:right w:val="nil"/>
            </w:tcBorders>
            <w:shd w:val="clear" w:color="000000" w:fill="FFFFFF"/>
            <w:vAlign w:val="center"/>
            <w:hideMark/>
          </w:tcPr>
          <w:p w14:paraId="2FAE908E"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WGS84 decimal system</w:t>
            </w:r>
          </w:p>
        </w:tc>
        <w:tc>
          <w:tcPr>
            <w:tcW w:w="720" w:type="dxa"/>
            <w:tcBorders>
              <w:top w:val="nil"/>
              <w:left w:val="nil"/>
              <w:bottom w:val="nil"/>
              <w:right w:val="nil"/>
            </w:tcBorders>
            <w:shd w:val="clear" w:color="000000" w:fill="FFFFFF"/>
            <w:vAlign w:val="center"/>
            <w:hideMark/>
          </w:tcPr>
          <w:p w14:paraId="56EC5746"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864" w:type="dxa"/>
            <w:tcBorders>
              <w:top w:val="nil"/>
              <w:left w:val="nil"/>
              <w:bottom w:val="nil"/>
              <w:right w:val="nil"/>
            </w:tcBorders>
            <w:shd w:val="clear" w:color="000000" w:fill="FFFFFF"/>
            <w:vAlign w:val="center"/>
            <w:hideMark/>
          </w:tcPr>
          <w:p w14:paraId="43DD0168"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43.014</w:t>
            </w:r>
          </w:p>
        </w:tc>
        <w:tc>
          <w:tcPr>
            <w:tcW w:w="720" w:type="dxa"/>
            <w:tcBorders>
              <w:top w:val="nil"/>
              <w:left w:val="nil"/>
              <w:bottom w:val="nil"/>
              <w:right w:val="nil"/>
            </w:tcBorders>
            <w:shd w:val="clear" w:color="000000" w:fill="FFFFFF"/>
            <w:vAlign w:val="center"/>
            <w:hideMark/>
          </w:tcPr>
          <w:p w14:paraId="108BB89E"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47.504</w:t>
            </w:r>
          </w:p>
        </w:tc>
        <w:tc>
          <w:tcPr>
            <w:tcW w:w="720" w:type="dxa"/>
            <w:tcBorders>
              <w:top w:val="nil"/>
              <w:left w:val="nil"/>
              <w:bottom w:val="nil"/>
              <w:right w:val="nil"/>
            </w:tcBorders>
            <w:shd w:val="clear" w:color="000000" w:fill="FFFFFF"/>
            <w:vAlign w:val="center"/>
            <w:hideMark/>
          </w:tcPr>
          <w:p w14:paraId="5B3643F6"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50.982</w:t>
            </w:r>
          </w:p>
        </w:tc>
        <w:tc>
          <w:tcPr>
            <w:tcW w:w="720" w:type="dxa"/>
            <w:vMerge/>
            <w:tcBorders>
              <w:top w:val="nil"/>
              <w:left w:val="nil"/>
              <w:bottom w:val="nil"/>
              <w:right w:val="nil"/>
            </w:tcBorders>
            <w:vAlign w:val="center"/>
            <w:hideMark/>
          </w:tcPr>
          <w:p w14:paraId="4BDA27E8"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c>
          <w:tcPr>
            <w:tcW w:w="1152" w:type="dxa"/>
            <w:vMerge/>
            <w:tcBorders>
              <w:top w:val="nil"/>
              <w:left w:val="nil"/>
              <w:bottom w:val="nil"/>
              <w:right w:val="nil"/>
            </w:tcBorders>
            <w:vAlign w:val="center"/>
            <w:hideMark/>
          </w:tcPr>
          <w:p w14:paraId="0B39CC92"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r>
      <w:tr w:rsidR="000213E5" w:rsidRPr="00260341" w14:paraId="49C952BD" w14:textId="77777777" w:rsidTr="00455CF9">
        <w:trPr>
          <w:trHeight w:val="311"/>
          <w:jc w:val="center"/>
        </w:trPr>
        <w:tc>
          <w:tcPr>
            <w:tcW w:w="1008" w:type="dxa"/>
            <w:tcBorders>
              <w:top w:val="nil"/>
              <w:left w:val="nil"/>
              <w:bottom w:val="nil"/>
              <w:right w:val="nil"/>
            </w:tcBorders>
            <w:shd w:val="clear" w:color="000000" w:fill="FFFFFF"/>
            <w:vAlign w:val="center"/>
            <w:hideMark/>
          </w:tcPr>
          <w:p w14:paraId="4977602F" w14:textId="77777777" w:rsidR="001E4456" w:rsidRPr="001E4456" w:rsidRDefault="001E4456" w:rsidP="001E4456">
            <w:pPr>
              <w:spacing w:after="0" w:line="240" w:lineRule="auto"/>
              <w:jc w:val="center"/>
              <w:rPr>
                <w:rFonts w:ascii="Calibri" w:eastAsia="Times New Roman" w:hAnsi="Calibri" w:cs="Calibri"/>
                <w:b/>
                <w:bCs/>
                <w:color w:val="000000"/>
                <w:kern w:val="0"/>
                <w:sz w:val="20"/>
                <w:szCs w:val="20"/>
                <w14:ligatures w14:val="none"/>
              </w:rPr>
            </w:pPr>
            <w:r w:rsidRPr="001E4456">
              <w:rPr>
                <w:rFonts w:ascii="Calibri" w:eastAsia="Times New Roman" w:hAnsi="Calibri" w:cs="Calibri"/>
                <w:b/>
                <w:bCs/>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03B1CA89"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2304" w:type="dxa"/>
            <w:tcBorders>
              <w:top w:val="nil"/>
              <w:left w:val="nil"/>
              <w:bottom w:val="nil"/>
              <w:right w:val="nil"/>
            </w:tcBorders>
            <w:shd w:val="clear" w:color="000000" w:fill="FFFFFF"/>
            <w:vAlign w:val="center"/>
            <w:hideMark/>
          </w:tcPr>
          <w:p w14:paraId="56B3ACFB"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1296" w:type="dxa"/>
            <w:tcBorders>
              <w:top w:val="nil"/>
              <w:left w:val="nil"/>
              <w:bottom w:val="nil"/>
              <w:right w:val="nil"/>
            </w:tcBorders>
            <w:shd w:val="clear" w:color="000000" w:fill="FFFFFF"/>
            <w:vAlign w:val="center"/>
            <w:hideMark/>
          </w:tcPr>
          <w:p w14:paraId="45FFF066"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06B66362"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864" w:type="dxa"/>
            <w:tcBorders>
              <w:top w:val="nil"/>
              <w:left w:val="nil"/>
              <w:bottom w:val="nil"/>
              <w:right w:val="nil"/>
            </w:tcBorders>
            <w:shd w:val="clear" w:color="000000" w:fill="FFFFFF"/>
            <w:vAlign w:val="center"/>
            <w:hideMark/>
          </w:tcPr>
          <w:p w14:paraId="1E0F506A"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4C8CB39F"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4CD3AEAE"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6FE133D5"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1152" w:type="dxa"/>
            <w:tcBorders>
              <w:top w:val="nil"/>
              <w:left w:val="nil"/>
              <w:bottom w:val="nil"/>
              <w:right w:val="nil"/>
            </w:tcBorders>
            <w:shd w:val="clear" w:color="000000" w:fill="FFFFFF"/>
            <w:vAlign w:val="center"/>
            <w:hideMark/>
          </w:tcPr>
          <w:p w14:paraId="2D8E5E6D"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r>
      <w:tr w:rsidR="000213E5" w:rsidRPr="00260341" w14:paraId="7E4C0D1D" w14:textId="77777777" w:rsidTr="00455CF9">
        <w:trPr>
          <w:trHeight w:val="443"/>
          <w:jc w:val="center"/>
        </w:trPr>
        <w:tc>
          <w:tcPr>
            <w:tcW w:w="1008" w:type="dxa"/>
            <w:vMerge w:val="restart"/>
            <w:tcBorders>
              <w:top w:val="nil"/>
              <w:left w:val="nil"/>
              <w:bottom w:val="nil"/>
              <w:right w:val="nil"/>
            </w:tcBorders>
            <w:shd w:val="clear" w:color="000000" w:fill="FFFFFF"/>
            <w:vAlign w:val="center"/>
            <w:hideMark/>
          </w:tcPr>
          <w:p w14:paraId="4B780004" w14:textId="77777777" w:rsidR="001E4456" w:rsidRPr="001E4456" w:rsidRDefault="001E4456" w:rsidP="001E4456">
            <w:pPr>
              <w:spacing w:after="0" w:line="240" w:lineRule="auto"/>
              <w:jc w:val="center"/>
              <w:rPr>
                <w:rFonts w:ascii="Calibri" w:eastAsia="Times New Roman" w:hAnsi="Calibri" w:cs="Calibri"/>
                <w:b/>
                <w:bCs/>
                <w:color w:val="000000"/>
                <w:kern w:val="0"/>
                <w:sz w:val="20"/>
                <w:szCs w:val="20"/>
                <w14:ligatures w14:val="none"/>
              </w:rPr>
            </w:pPr>
            <w:r w:rsidRPr="001E4456">
              <w:rPr>
                <w:rFonts w:ascii="Calibri" w:eastAsia="Times New Roman" w:hAnsi="Calibri" w:cs="Calibri"/>
                <w:b/>
                <w:bCs/>
                <w:color w:val="000000"/>
                <w:kern w:val="0"/>
                <w:sz w:val="20"/>
                <w:szCs w:val="20"/>
                <w14:ligatures w14:val="none"/>
              </w:rPr>
              <w:t>Climate</w:t>
            </w:r>
          </w:p>
        </w:tc>
        <w:tc>
          <w:tcPr>
            <w:tcW w:w="720" w:type="dxa"/>
            <w:tcBorders>
              <w:top w:val="nil"/>
              <w:left w:val="nil"/>
              <w:bottom w:val="nil"/>
              <w:right w:val="nil"/>
            </w:tcBorders>
            <w:shd w:val="clear" w:color="000000" w:fill="FFFFFF"/>
            <w:vAlign w:val="center"/>
            <w:hideMark/>
          </w:tcPr>
          <w:p w14:paraId="55A56DBF"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bio12</w:t>
            </w:r>
          </w:p>
        </w:tc>
        <w:tc>
          <w:tcPr>
            <w:tcW w:w="2304" w:type="dxa"/>
            <w:tcBorders>
              <w:top w:val="nil"/>
              <w:left w:val="nil"/>
              <w:bottom w:val="nil"/>
              <w:right w:val="nil"/>
            </w:tcBorders>
            <w:shd w:val="clear" w:color="000000" w:fill="FFFFFF"/>
            <w:vAlign w:val="center"/>
            <w:hideMark/>
          </w:tcPr>
          <w:p w14:paraId="46701F7D"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Annual precipitation amount</w:t>
            </w:r>
          </w:p>
        </w:tc>
        <w:tc>
          <w:tcPr>
            <w:tcW w:w="1296" w:type="dxa"/>
            <w:tcBorders>
              <w:top w:val="nil"/>
              <w:left w:val="nil"/>
              <w:bottom w:val="nil"/>
              <w:right w:val="nil"/>
            </w:tcBorders>
            <w:shd w:val="clear" w:color="000000" w:fill="FFFFFF"/>
            <w:vAlign w:val="center"/>
            <w:hideMark/>
          </w:tcPr>
          <w:p w14:paraId="5674D5DA"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kg m</w:t>
            </w:r>
            <w:r w:rsidRPr="001E4456">
              <w:rPr>
                <w:rFonts w:ascii="Calibri" w:eastAsia="Times New Roman" w:hAnsi="Calibri" w:cs="Calibri"/>
                <w:color w:val="000000"/>
                <w:kern w:val="0"/>
                <w:sz w:val="20"/>
                <w:szCs w:val="20"/>
                <w:vertAlign w:val="superscript"/>
                <w14:ligatures w14:val="none"/>
              </w:rPr>
              <w:t>-2</w:t>
            </w:r>
            <w:r w:rsidRPr="001E4456">
              <w:rPr>
                <w:rFonts w:ascii="Calibri" w:eastAsia="Times New Roman" w:hAnsi="Calibri" w:cs="Calibri"/>
                <w:color w:val="000000"/>
                <w:kern w:val="0"/>
                <w:sz w:val="20"/>
                <w:szCs w:val="20"/>
                <w14:ligatures w14:val="none"/>
              </w:rPr>
              <w:t xml:space="preserve"> year</w:t>
            </w:r>
            <w:r w:rsidRPr="001E4456">
              <w:rPr>
                <w:rFonts w:ascii="Calibri" w:eastAsia="Times New Roman" w:hAnsi="Calibri" w:cs="Calibri"/>
                <w:color w:val="000000"/>
                <w:kern w:val="0"/>
                <w:sz w:val="20"/>
                <w:szCs w:val="20"/>
                <w:vertAlign w:val="superscript"/>
                <w14:ligatures w14:val="none"/>
              </w:rPr>
              <w:t>-1</w:t>
            </w:r>
          </w:p>
        </w:tc>
        <w:tc>
          <w:tcPr>
            <w:tcW w:w="720" w:type="dxa"/>
            <w:tcBorders>
              <w:top w:val="nil"/>
              <w:left w:val="nil"/>
              <w:bottom w:val="nil"/>
              <w:right w:val="nil"/>
            </w:tcBorders>
            <w:shd w:val="clear" w:color="000000" w:fill="FFFFFF"/>
            <w:vAlign w:val="center"/>
            <w:hideMark/>
          </w:tcPr>
          <w:p w14:paraId="5B3CE50F"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864" w:type="dxa"/>
            <w:tcBorders>
              <w:top w:val="nil"/>
              <w:left w:val="nil"/>
              <w:bottom w:val="nil"/>
              <w:right w:val="nil"/>
            </w:tcBorders>
            <w:shd w:val="clear" w:color="000000" w:fill="FFFFFF"/>
            <w:vAlign w:val="center"/>
            <w:hideMark/>
          </w:tcPr>
          <w:p w14:paraId="4A2C5A9F"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599</w:t>
            </w:r>
          </w:p>
        </w:tc>
        <w:tc>
          <w:tcPr>
            <w:tcW w:w="720" w:type="dxa"/>
            <w:tcBorders>
              <w:top w:val="nil"/>
              <w:left w:val="nil"/>
              <w:bottom w:val="nil"/>
              <w:right w:val="nil"/>
            </w:tcBorders>
            <w:shd w:val="clear" w:color="000000" w:fill="FFFFFF"/>
            <w:vAlign w:val="center"/>
            <w:hideMark/>
          </w:tcPr>
          <w:p w14:paraId="229D6E5D"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820</w:t>
            </w:r>
          </w:p>
        </w:tc>
        <w:tc>
          <w:tcPr>
            <w:tcW w:w="720" w:type="dxa"/>
            <w:tcBorders>
              <w:top w:val="nil"/>
              <w:left w:val="nil"/>
              <w:bottom w:val="nil"/>
              <w:right w:val="nil"/>
            </w:tcBorders>
            <w:shd w:val="clear" w:color="000000" w:fill="FFFFFF"/>
            <w:vAlign w:val="center"/>
            <w:hideMark/>
          </w:tcPr>
          <w:p w14:paraId="0C9FAF25"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1283</w:t>
            </w:r>
          </w:p>
        </w:tc>
        <w:tc>
          <w:tcPr>
            <w:tcW w:w="720" w:type="dxa"/>
            <w:vMerge w:val="restart"/>
            <w:tcBorders>
              <w:top w:val="nil"/>
              <w:left w:val="nil"/>
              <w:bottom w:val="nil"/>
              <w:right w:val="nil"/>
            </w:tcBorders>
            <w:shd w:val="clear" w:color="000000" w:fill="FFFFFF"/>
            <w:vAlign w:val="center"/>
            <w:hideMark/>
          </w:tcPr>
          <w:p w14:paraId="650ECB3F"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1981 - 2010</w:t>
            </w:r>
          </w:p>
        </w:tc>
        <w:tc>
          <w:tcPr>
            <w:tcW w:w="1152" w:type="dxa"/>
            <w:vMerge w:val="restart"/>
            <w:tcBorders>
              <w:top w:val="nil"/>
              <w:left w:val="nil"/>
              <w:bottom w:val="nil"/>
              <w:right w:val="nil"/>
            </w:tcBorders>
            <w:shd w:val="clear" w:color="000000" w:fill="FFFFFF"/>
            <w:vAlign w:val="center"/>
            <w:hideMark/>
          </w:tcPr>
          <w:p w14:paraId="0398218F"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Karger et al. (2017)</w:t>
            </w:r>
          </w:p>
        </w:tc>
      </w:tr>
      <w:tr w:rsidR="000213E5" w:rsidRPr="00260341" w14:paraId="10EF3CA7" w14:textId="77777777" w:rsidTr="00455CF9">
        <w:trPr>
          <w:trHeight w:val="311"/>
          <w:jc w:val="center"/>
        </w:trPr>
        <w:tc>
          <w:tcPr>
            <w:tcW w:w="1008" w:type="dxa"/>
            <w:vMerge/>
            <w:tcBorders>
              <w:top w:val="nil"/>
              <w:left w:val="nil"/>
              <w:bottom w:val="nil"/>
              <w:right w:val="nil"/>
            </w:tcBorders>
            <w:vAlign w:val="center"/>
            <w:hideMark/>
          </w:tcPr>
          <w:p w14:paraId="46A00B25" w14:textId="77777777" w:rsidR="001E4456" w:rsidRPr="001E4456" w:rsidRDefault="001E4456" w:rsidP="001E4456">
            <w:pPr>
              <w:spacing w:after="0" w:line="240" w:lineRule="auto"/>
              <w:jc w:val="left"/>
              <w:rPr>
                <w:rFonts w:ascii="Calibri" w:eastAsia="Times New Roman" w:hAnsi="Calibri" w:cs="Calibri"/>
                <w:b/>
                <w:bCs/>
                <w:color w:val="000000"/>
                <w:kern w:val="0"/>
                <w:sz w:val="20"/>
                <w:szCs w:val="20"/>
                <w14:ligatures w14:val="none"/>
              </w:rPr>
            </w:pPr>
          </w:p>
        </w:tc>
        <w:tc>
          <w:tcPr>
            <w:tcW w:w="720" w:type="dxa"/>
            <w:tcBorders>
              <w:top w:val="nil"/>
              <w:left w:val="nil"/>
              <w:bottom w:val="nil"/>
              <w:right w:val="nil"/>
            </w:tcBorders>
            <w:shd w:val="clear" w:color="000000" w:fill="FFFFFF"/>
            <w:vAlign w:val="center"/>
            <w:hideMark/>
          </w:tcPr>
          <w:p w14:paraId="04D85CCB"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bio3</w:t>
            </w:r>
          </w:p>
        </w:tc>
        <w:tc>
          <w:tcPr>
            <w:tcW w:w="2304" w:type="dxa"/>
            <w:tcBorders>
              <w:top w:val="nil"/>
              <w:left w:val="nil"/>
              <w:bottom w:val="nil"/>
              <w:right w:val="nil"/>
            </w:tcBorders>
            <w:shd w:val="clear" w:color="000000" w:fill="FFFFFF"/>
            <w:vAlign w:val="center"/>
            <w:hideMark/>
          </w:tcPr>
          <w:p w14:paraId="7B6C7CC2"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proofErr w:type="spellStart"/>
            <w:r w:rsidRPr="001E4456">
              <w:rPr>
                <w:rFonts w:ascii="Calibri" w:eastAsia="Times New Roman" w:hAnsi="Calibri" w:cs="Calibri"/>
                <w:color w:val="000000"/>
                <w:kern w:val="0"/>
                <w:sz w:val="20"/>
                <w:szCs w:val="20"/>
                <w14:ligatures w14:val="none"/>
              </w:rPr>
              <w:t>Isothermality</w:t>
            </w:r>
            <w:proofErr w:type="spellEnd"/>
          </w:p>
        </w:tc>
        <w:tc>
          <w:tcPr>
            <w:tcW w:w="1296" w:type="dxa"/>
            <w:tcBorders>
              <w:top w:val="nil"/>
              <w:left w:val="nil"/>
              <w:bottom w:val="nil"/>
              <w:right w:val="nil"/>
            </w:tcBorders>
            <w:shd w:val="clear" w:color="000000" w:fill="FFFFFF"/>
            <w:vAlign w:val="center"/>
            <w:hideMark/>
          </w:tcPr>
          <w:p w14:paraId="0BFB1458"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°C</w:t>
            </w:r>
          </w:p>
        </w:tc>
        <w:tc>
          <w:tcPr>
            <w:tcW w:w="720" w:type="dxa"/>
            <w:tcBorders>
              <w:top w:val="nil"/>
              <w:left w:val="nil"/>
              <w:bottom w:val="nil"/>
              <w:right w:val="nil"/>
            </w:tcBorders>
            <w:shd w:val="clear" w:color="000000" w:fill="FFFFFF"/>
            <w:vAlign w:val="center"/>
            <w:hideMark/>
          </w:tcPr>
          <w:p w14:paraId="3A481CCE"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864" w:type="dxa"/>
            <w:tcBorders>
              <w:top w:val="nil"/>
              <w:left w:val="nil"/>
              <w:bottom w:val="nil"/>
              <w:right w:val="nil"/>
            </w:tcBorders>
            <w:shd w:val="clear" w:color="000000" w:fill="FFFFFF"/>
            <w:vAlign w:val="center"/>
            <w:hideMark/>
          </w:tcPr>
          <w:p w14:paraId="7B85E472"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0.247</w:t>
            </w:r>
          </w:p>
        </w:tc>
        <w:tc>
          <w:tcPr>
            <w:tcW w:w="720" w:type="dxa"/>
            <w:tcBorders>
              <w:top w:val="nil"/>
              <w:left w:val="nil"/>
              <w:bottom w:val="nil"/>
              <w:right w:val="nil"/>
            </w:tcBorders>
            <w:shd w:val="clear" w:color="000000" w:fill="FFFFFF"/>
            <w:vAlign w:val="center"/>
            <w:hideMark/>
          </w:tcPr>
          <w:p w14:paraId="5A99F2E8"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0.338</w:t>
            </w:r>
          </w:p>
        </w:tc>
        <w:tc>
          <w:tcPr>
            <w:tcW w:w="720" w:type="dxa"/>
            <w:tcBorders>
              <w:top w:val="nil"/>
              <w:left w:val="nil"/>
              <w:bottom w:val="nil"/>
              <w:right w:val="nil"/>
            </w:tcBorders>
            <w:shd w:val="clear" w:color="000000" w:fill="FFFFFF"/>
            <w:vAlign w:val="center"/>
            <w:hideMark/>
          </w:tcPr>
          <w:p w14:paraId="5F08941B"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0.394</w:t>
            </w:r>
          </w:p>
        </w:tc>
        <w:tc>
          <w:tcPr>
            <w:tcW w:w="720" w:type="dxa"/>
            <w:vMerge/>
            <w:tcBorders>
              <w:top w:val="nil"/>
              <w:left w:val="nil"/>
              <w:bottom w:val="nil"/>
              <w:right w:val="nil"/>
            </w:tcBorders>
            <w:vAlign w:val="center"/>
            <w:hideMark/>
          </w:tcPr>
          <w:p w14:paraId="6726CA3D"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c>
          <w:tcPr>
            <w:tcW w:w="1152" w:type="dxa"/>
            <w:vMerge/>
            <w:tcBorders>
              <w:top w:val="nil"/>
              <w:left w:val="nil"/>
              <w:bottom w:val="nil"/>
              <w:right w:val="nil"/>
            </w:tcBorders>
            <w:vAlign w:val="center"/>
            <w:hideMark/>
          </w:tcPr>
          <w:p w14:paraId="56297EB8"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r>
      <w:tr w:rsidR="000213E5" w:rsidRPr="00260341" w14:paraId="766FB2D6" w14:textId="77777777" w:rsidTr="00455CF9">
        <w:trPr>
          <w:trHeight w:val="311"/>
          <w:jc w:val="center"/>
        </w:trPr>
        <w:tc>
          <w:tcPr>
            <w:tcW w:w="1008" w:type="dxa"/>
            <w:tcBorders>
              <w:top w:val="nil"/>
              <w:left w:val="nil"/>
              <w:bottom w:val="nil"/>
              <w:right w:val="nil"/>
            </w:tcBorders>
            <w:shd w:val="clear" w:color="000000" w:fill="FFFFFF"/>
            <w:vAlign w:val="center"/>
            <w:hideMark/>
          </w:tcPr>
          <w:p w14:paraId="44F6840C" w14:textId="77777777" w:rsidR="001E4456" w:rsidRPr="001E4456" w:rsidRDefault="001E4456" w:rsidP="001E4456">
            <w:pPr>
              <w:spacing w:after="0" w:line="240" w:lineRule="auto"/>
              <w:jc w:val="center"/>
              <w:rPr>
                <w:rFonts w:ascii="Calibri" w:eastAsia="Times New Roman" w:hAnsi="Calibri" w:cs="Calibri"/>
                <w:b/>
                <w:bCs/>
                <w:color w:val="000000"/>
                <w:kern w:val="0"/>
                <w:sz w:val="20"/>
                <w:szCs w:val="20"/>
                <w14:ligatures w14:val="none"/>
              </w:rPr>
            </w:pPr>
            <w:r w:rsidRPr="001E4456">
              <w:rPr>
                <w:rFonts w:ascii="Calibri" w:eastAsia="Times New Roman" w:hAnsi="Calibri" w:cs="Calibri"/>
                <w:b/>
                <w:bCs/>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40348EBC"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2304" w:type="dxa"/>
            <w:tcBorders>
              <w:top w:val="nil"/>
              <w:left w:val="nil"/>
              <w:bottom w:val="nil"/>
              <w:right w:val="nil"/>
            </w:tcBorders>
            <w:shd w:val="clear" w:color="000000" w:fill="FFFFFF"/>
            <w:vAlign w:val="center"/>
            <w:hideMark/>
          </w:tcPr>
          <w:p w14:paraId="3B549BFD"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1296" w:type="dxa"/>
            <w:tcBorders>
              <w:top w:val="nil"/>
              <w:left w:val="nil"/>
              <w:bottom w:val="nil"/>
              <w:right w:val="nil"/>
            </w:tcBorders>
            <w:shd w:val="clear" w:color="000000" w:fill="FFFFFF"/>
            <w:vAlign w:val="center"/>
            <w:hideMark/>
          </w:tcPr>
          <w:p w14:paraId="37F0FCA5"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33192793"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864" w:type="dxa"/>
            <w:tcBorders>
              <w:top w:val="nil"/>
              <w:left w:val="nil"/>
              <w:bottom w:val="nil"/>
              <w:right w:val="nil"/>
            </w:tcBorders>
            <w:shd w:val="clear" w:color="000000" w:fill="FFFFFF"/>
            <w:vAlign w:val="center"/>
            <w:hideMark/>
          </w:tcPr>
          <w:p w14:paraId="670FFFE0"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6BD82D88"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5F57AF98"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720" w:type="dxa"/>
            <w:tcBorders>
              <w:top w:val="nil"/>
              <w:left w:val="nil"/>
              <w:bottom w:val="nil"/>
              <w:right w:val="nil"/>
            </w:tcBorders>
            <w:shd w:val="clear" w:color="000000" w:fill="FFFFFF"/>
            <w:vAlign w:val="center"/>
            <w:hideMark/>
          </w:tcPr>
          <w:p w14:paraId="41F8375B"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1152" w:type="dxa"/>
            <w:tcBorders>
              <w:top w:val="nil"/>
              <w:left w:val="nil"/>
              <w:bottom w:val="nil"/>
              <w:right w:val="nil"/>
            </w:tcBorders>
            <w:shd w:val="clear" w:color="000000" w:fill="FFFFFF"/>
            <w:vAlign w:val="center"/>
            <w:hideMark/>
          </w:tcPr>
          <w:p w14:paraId="6A706F6E"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r>
      <w:tr w:rsidR="000213E5" w:rsidRPr="00260341" w14:paraId="3C089027" w14:textId="77777777" w:rsidTr="00455CF9">
        <w:trPr>
          <w:trHeight w:val="491"/>
          <w:jc w:val="center"/>
        </w:trPr>
        <w:tc>
          <w:tcPr>
            <w:tcW w:w="1008" w:type="dxa"/>
            <w:vMerge w:val="restart"/>
            <w:tcBorders>
              <w:top w:val="nil"/>
              <w:left w:val="nil"/>
              <w:bottom w:val="single" w:sz="4" w:space="0" w:color="000000"/>
              <w:right w:val="nil"/>
            </w:tcBorders>
            <w:shd w:val="clear" w:color="000000" w:fill="FFFFFF"/>
            <w:vAlign w:val="center"/>
            <w:hideMark/>
          </w:tcPr>
          <w:p w14:paraId="362CC0D1" w14:textId="77777777" w:rsidR="001E4456" w:rsidRPr="001E4456" w:rsidRDefault="001E4456" w:rsidP="001E4456">
            <w:pPr>
              <w:spacing w:after="0" w:line="240" w:lineRule="auto"/>
              <w:jc w:val="center"/>
              <w:rPr>
                <w:rFonts w:ascii="Calibri" w:eastAsia="Times New Roman" w:hAnsi="Calibri" w:cs="Calibri"/>
                <w:b/>
                <w:bCs/>
                <w:color w:val="000000"/>
                <w:kern w:val="0"/>
                <w:sz w:val="20"/>
                <w:szCs w:val="20"/>
                <w14:ligatures w14:val="none"/>
              </w:rPr>
            </w:pPr>
            <w:r w:rsidRPr="001E4456">
              <w:rPr>
                <w:rFonts w:ascii="Calibri" w:eastAsia="Times New Roman" w:hAnsi="Calibri" w:cs="Calibri"/>
                <w:b/>
                <w:bCs/>
                <w:color w:val="000000"/>
                <w:kern w:val="0"/>
                <w:sz w:val="20"/>
                <w:szCs w:val="20"/>
                <w14:ligatures w14:val="none"/>
              </w:rPr>
              <w:t>Soil</w:t>
            </w:r>
          </w:p>
        </w:tc>
        <w:tc>
          <w:tcPr>
            <w:tcW w:w="720" w:type="dxa"/>
            <w:tcBorders>
              <w:top w:val="nil"/>
              <w:left w:val="nil"/>
              <w:bottom w:val="nil"/>
              <w:right w:val="nil"/>
            </w:tcBorders>
            <w:shd w:val="clear" w:color="000000" w:fill="FFFFFF"/>
            <w:vAlign w:val="center"/>
            <w:hideMark/>
          </w:tcPr>
          <w:p w14:paraId="6DEDDC2D"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Clay</w:t>
            </w:r>
          </w:p>
        </w:tc>
        <w:tc>
          <w:tcPr>
            <w:tcW w:w="2304" w:type="dxa"/>
            <w:tcBorders>
              <w:top w:val="nil"/>
              <w:left w:val="nil"/>
              <w:bottom w:val="nil"/>
              <w:right w:val="nil"/>
            </w:tcBorders>
            <w:shd w:val="clear" w:color="000000" w:fill="FFFFFF"/>
            <w:vAlign w:val="center"/>
            <w:hideMark/>
          </w:tcPr>
          <w:p w14:paraId="5924AAC6"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Clay particles</w:t>
            </w:r>
          </w:p>
        </w:tc>
        <w:tc>
          <w:tcPr>
            <w:tcW w:w="1296" w:type="dxa"/>
            <w:tcBorders>
              <w:top w:val="nil"/>
              <w:left w:val="nil"/>
              <w:bottom w:val="nil"/>
              <w:right w:val="nil"/>
            </w:tcBorders>
            <w:shd w:val="clear" w:color="000000" w:fill="FFFFFF"/>
            <w:vAlign w:val="center"/>
            <w:hideMark/>
          </w:tcPr>
          <w:p w14:paraId="6EB854A7"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proofErr w:type="spellStart"/>
            <w:r w:rsidRPr="001E4456">
              <w:rPr>
                <w:rFonts w:ascii="Calibri" w:eastAsia="Times New Roman" w:hAnsi="Calibri" w:cs="Calibri"/>
                <w:color w:val="000000"/>
                <w:kern w:val="0"/>
                <w:sz w:val="20"/>
                <w:szCs w:val="20"/>
                <w14:ligatures w14:val="none"/>
              </w:rPr>
              <w:t>g·</w:t>
            </w:r>
            <w:proofErr w:type="gramStart"/>
            <w:r w:rsidRPr="001E4456">
              <w:rPr>
                <w:rFonts w:ascii="Calibri" w:eastAsia="Times New Roman" w:hAnsi="Calibri" w:cs="Calibri"/>
                <w:color w:val="000000"/>
                <w:kern w:val="0"/>
                <w:sz w:val="20"/>
                <w:szCs w:val="20"/>
                <w14:ligatures w14:val="none"/>
              </w:rPr>
              <w:t>kg</w:t>
            </w:r>
            <w:proofErr w:type="spellEnd"/>
            <w:r w:rsidRPr="001E4456">
              <w:rPr>
                <w:rFonts w:ascii="Calibri" w:eastAsia="Times New Roman" w:hAnsi="Calibri" w:cs="Calibri"/>
                <w:color w:val="000000"/>
                <w:kern w:val="0"/>
                <w:sz w:val="20"/>
                <w:szCs w:val="20"/>
                <w14:ligatures w14:val="none"/>
              </w:rPr>
              <w:t xml:space="preserve"> </w:t>
            </w:r>
            <w:r w:rsidRPr="001E4456">
              <w:rPr>
                <w:rFonts w:ascii="Calibri" w:eastAsia="Times New Roman" w:hAnsi="Calibri" w:cs="Calibri"/>
                <w:color w:val="000000"/>
                <w:kern w:val="0"/>
                <w:sz w:val="20"/>
                <w:szCs w:val="20"/>
                <w:vertAlign w:val="superscript"/>
                <w14:ligatures w14:val="none"/>
              </w:rPr>
              <w:t>-1</w:t>
            </w:r>
            <w:proofErr w:type="gramEnd"/>
          </w:p>
        </w:tc>
        <w:tc>
          <w:tcPr>
            <w:tcW w:w="720" w:type="dxa"/>
            <w:tcBorders>
              <w:top w:val="nil"/>
              <w:left w:val="nil"/>
              <w:bottom w:val="nil"/>
              <w:right w:val="nil"/>
            </w:tcBorders>
            <w:shd w:val="clear" w:color="000000" w:fill="FFFFFF"/>
            <w:vAlign w:val="center"/>
            <w:hideMark/>
          </w:tcPr>
          <w:p w14:paraId="30948BFF"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864" w:type="dxa"/>
            <w:tcBorders>
              <w:top w:val="nil"/>
              <w:left w:val="nil"/>
              <w:bottom w:val="nil"/>
              <w:right w:val="nil"/>
            </w:tcBorders>
            <w:shd w:val="clear" w:color="000000" w:fill="FFFFFF"/>
            <w:vAlign w:val="center"/>
            <w:hideMark/>
          </w:tcPr>
          <w:p w14:paraId="4DCB7CE5"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0.4</w:t>
            </w:r>
          </w:p>
        </w:tc>
        <w:tc>
          <w:tcPr>
            <w:tcW w:w="720" w:type="dxa"/>
            <w:tcBorders>
              <w:top w:val="nil"/>
              <w:left w:val="nil"/>
              <w:bottom w:val="nil"/>
              <w:right w:val="nil"/>
            </w:tcBorders>
            <w:shd w:val="clear" w:color="000000" w:fill="FFFFFF"/>
            <w:vAlign w:val="center"/>
            <w:hideMark/>
          </w:tcPr>
          <w:p w14:paraId="12832D11"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24.4</w:t>
            </w:r>
          </w:p>
        </w:tc>
        <w:tc>
          <w:tcPr>
            <w:tcW w:w="720" w:type="dxa"/>
            <w:tcBorders>
              <w:top w:val="nil"/>
              <w:left w:val="nil"/>
              <w:bottom w:val="nil"/>
              <w:right w:val="nil"/>
            </w:tcBorders>
            <w:shd w:val="clear" w:color="000000" w:fill="FFFFFF"/>
            <w:vAlign w:val="center"/>
            <w:hideMark/>
          </w:tcPr>
          <w:p w14:paraId="4D64B0C7"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53.0</w:t>
            </w:r>
          </w:p>
        </w:tc>
        <w:tc>
          <w:tcPr>
            <w:tcW w:w="720" w:type="dxa"/>
            <w:vMerge w:val="restart"/>
            <w:tcBorders>
              <w:top w:val="nil"/>
              <w:left w:val="nil"/>
              <w:bottom w:val="nil"/>
              <w:right w:val="nil"/>
            </w:tcBorders>
            <w:shd w:val="clear" w:color="000000" w:fill="FFFFFF"/>
            <w:vAlign w:val="center"/>
            <w:hideMark/>
          </w:tcPr>
          <w:p w14:paraId="2ADEA6B3"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2022</w:t>
            </w:r>
          </w:p>
        </w:tc>
        <w:tc>
          <w:tcPr>
            <w:tcW w:w="1152" w:type="dxa"/>
            <w:vMerge w:val="restart"/>
            <w:tcBorders>
              <w:top w:val="nil"/>
              <w:left w:val="nil"/>
              <w:bottom w:val="nil"/>
              <w:right w:val="nil"/>
            </w:tcBorders>
            <w:shd w:val="clear" w:color="000000" w:fill="FFFFFF"/>
            <w:vAlign w:val="center"/>
            <w:hideMark/>
          </w:tcPr>
          <w:p w14:paraId="3AADE3CA"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xml:space="preserve">Roman </w:t>
            </w:r>
            <w:proofErr w:type="spellStart"/>
            <w:r w:rsidRPr="001E4456">
              <w:rPr>
                <w:rFonts w:ascii="Calibri" w:eastAsia="Times New Roman" w:hAnsi="Calibri" w:cs="Calibri"/>
                <w:color w:val="000000"/>
                <w:kern w:val="0"/>
                <w:sz w:val="20"/>
                <w:szCs w:val="20"/>
                <w14:ligatures w14:val="none"/>
              </w:rPr>
              <w:t>Dobarco</w:t>
            </w:r>
            <w:proofErr w:type="spellEnd"/>
            <w:r w:rsidRPr="001E4456">
              <w:rPr>
                <w:rFonts w:ascii="Calibri" w:eastAsia="Times New Roman" w:hAnsi="Calibri" w:cs="Calibri"/>
                <w:color w:val="000000"/>
                <w:kern w:val="0"/>
                <w:sz w:val="20"/>
                <w:szCs w:val="20"/>
                <w14:ligatures w14:val="none"/>
              </w:rPr>
              <w:t xml:space="preserve"> et al. (2022)</w:t>
            </w:r>
          </w:p>
        </w:tc>
      </w:tr>
      <w:tr w:rsidR="000213E5" w:rsidRPr="00260341" w14:paraId="0E0239E5" w14:textId="77777777" w:rsidTr="00455CF9">
        <w:trPr>
          <w:trHeight w:val="347"/>
          <w:jc w:val="center"/>
        </w:trPr>
        <w:tc>
          <w:tcPr>
            <w:tcW w:w="1008" w:type="dxa"/>
            <w:vMerge/>
            <w:tcBorders>
              <w:top w:val="nil"/>
              <w:left w:val="nil"/>
              <w:bottom w:val="single" w:sz="4" w:space="0" w:color="000000"/>
              <w:right w:val="nil"/>
            </w:tcBorders>
            <w:vAlign w:val="center"/>
            <w:hideMark/>
          </w:tcPr>
          <w:p w14:paraId="2F8F04DB" w14:textId="77777777" w:rsidR="001E4456" w:rsidRPr="001E4456" w:rsidRDefault="001E4456" w:rsidP="001E4456">
            <w:pPr>
              <w:spacing w:after="0" w:line="240" w:lineRule="auto"/>
              <w:jc w:val="left"/>
              <w:rPr>
                <w:rFonts w:ascii="Calibri" w:eastAsia="Times New Roman" w:hAnsi="Calibri" w:cs="Calibri"/>
                <w:b/>
                <w:bCs/>
                <w:color w:val="000000"/>
                <w:kern w:val="0"/>
                <w:sz w:val="20"/>
                <w:szCs w:val="20"/>
                <w14:ligatures w14:val="none"/>
              </w:rPr>
            </w:pPr>
          </w:p>
        </w:tc>
        <w:tc>
          <w:tcPr>
            <w:tcW w:w="720" w:type="dxa"/>
            <w:tcBorders>
              <w:top w:val="nil"/>
              <w:left w:val="nil"/>
              <w:bottom w:val="nil"/>
              <w:right w:val="nil"/>
            </w:tcBorders>
            <w:shd w:val="clear" w:color="000000" w:fill="FFFFFF"/>
            <w:vAlign w:val="center"/>
            <w:hideMark/>
          </w:tcPr>
          <w:p w14:paraId="1CBA137D"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Silt</w:t>
            </w:r>
          </w:p>
        </w:tc>
        <w:tc>
          <w:tcPr>
            <w:tcW w:w="2304" w:type="dxa"/>
            <w:tcBorders>
              <w:top w:val="nil"/>
              <w:left w:val="nil"/>
              <w:bottom w:val="nil"/>
              <w:right w:val="nil"/>
            </w:tcBorders>
            <w:shd w:val="clear" w:color="000000" w:fill="FFFFFF"/>
            <w:vAlign w:val="center"/>
            <w:hideMark/>
          </w:tcPr>
          <w:p w14:paraId="298A524B"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Silt particles</w:t>
            </w:r>
          </w:p>
        </w:tc>
        <w:tc>
          <w:tcPr>
            <w:tcW w:w="1296" w:type="dxa"/>
            <w:tcBorders>
              <w:top w:val="nil"/>
              <w:left w:val="nil"/>
              <w:bottom w:val="nil"/>
              <w:right w:val="nil"/>
            </w:tcBorders>
            <w:shd w:val="clear" w:color="000000" w:fill="FFFFFF"/>
            <w:vAlign w:val="center"/>
            <w:hideMark/>
          </w:tcPr>
          <w:p w14:paraId="3A83BD58"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proofErr w:type="spellStart"/>
            <w:r w:rsidRPr="001E4456">
              <w:rPr>
                <w:rFonts w:ascii="Calibri" w:eastAsia="Times New Roman" w:hAnsi="Calibri" w:cs="Calibri"/>
                <w:color w:val="000000"/>
                <w:kern w:val="0"/>
                <w:sz w:val="20"/>
                <w:szCs w:val="20"/>
                <w14:ligatures w14:val="none"/>
              </w:rPr>
              <w:t>g·</w:t>
            </w:r>
            <w:proofErr w:type="gramStart"/>
            <w:r w:rsidRPr="001E4456">
              <w:rPr>
                <w:rFonts w:ascii="Calibri" w:eastAsia="Times New Roman" w:hAnsi="Calibri" w:cs="Calibri"/>
                <w:color w:val="000000"/>
                <w:kern w:val="0"/>
                <w:sz w:val="20"/>
                <w:szCs w:val="20"/>
                <w14:ligatures w14:val="none"/>
              </w:rPr>
              <w:t>kg</w:t>
            </w:r>
            <w:proofErr w:type="spellEnd"/>
            <w:r w:rsidRPr="001E4456">
              <w:rPr>
                <w:rFonts w:ascii="Calibri" w:eastAsia="Times New Roman" w:hAnsi="Calibri" w:cs="Calibri"/>
                <w:color w:val="000000"/>
                <w:kern w:val="0"/>
                <w:sz w:val="20"/>
                <w:szCs w:val="20"/>
                <w:vertAlign w:val="superscript"/>
                <w14:ligatures w14:val="none"/>
              </w:rPr>
              <w:t xml:space="preserve"> -1</w:t>
            </w:r>
            <w:proofErr w:type="gramEnd"/>
          </w:p>
        </w:tc>
        <w:tc>
          <w:tcPr>
            <w:tcW w:w="720" w:type="dxa"/>
            <w:tcBorders>
              <w:top w:val="nil"/>
              <w:left w:val="nil"/>
              <w:bottom w:val="nil"/>
              <w:right w:val="nil"/>
            </w:tcBorders>
            <w:shd w:val="clear" w:color="000000" w:fill="FFFFFF"/>
            <w:vAlign w:val="center"/>
            <w:hideMark/>
          </w:tcPr>
          <w:p w14:paraId="6B03B85A"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864" w:type="dxa"/>
            <w:tcBorders>
              <w:top w:val="nil"/>
              <w:left w:val="nil"/>
              <w:bottom w:val="nil"/>
              <w:right w:val="nil"/>
            </w:tcBorders>
            <w:shd w:val="clear" w:color="000000" w:fill="FFFFFF"/>
            <w:vAlign w:val="center"/>
            <w:hideMark/>
          </w:tcPr>
          <w:p w14:paraId="08C4374E"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2.3</w:t>
            </w:r>
          </w:p>
        </w:tc>
        <w:tc>
          <w:tcPr>
            <w:tcW w:w="720" w:type="dxa"/>
            <w:tcBorders>
              <w:top w:val="nil"/>
              <w:left w:val="nil"/>
              <w:bottom w:val="nil"/>
              <w:right w:val="nil"/>
            </w:tcBorders>
            <w:shd w:val="clear" w:color="000000" w:fill="FFFFFF"/>
            <w:vAlign w:val="center"/>
            <w:hideMark/>
          </w:tcPr>
          <w:p w14:paraId="6A8A604F"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47.0</w:t>
            </w:r>
          </w:p>
        </w:tc>
        <w:tc>
          <w:tcPr>
            <w:tcW w:w="720" w:type="dxa"/>
            <w:tcBorders>
              <w:top w:val="nil"/>
              <w:left w:val="nil"/>
              <w:bottom w:val="nil"/>
              <w:right w:val="nil"/>
            </w:tcBorders>
            <w:shd w:val="clear" w:color="000000" w:fill="FFFFFF"/>
            <w:vAlign w:val="center"/>
            <w:hideMark/>
          </w:tcPr>
          <w:p w14:paraId="599DA0A6"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81.6</w:t>
            </w:r>
          </w:p>
        </w:tc>
        <w:tc>
          <w:tcPr>
            <w:tcW w:w="720" w:type="dxa"/>
            <w:vMerge/>
            <w:tcBorders>
              <w:top w:val="nil"/>
              <w:left w:val="nil"/>
              <w:bottom w:val="nil"/>
              <w:right w:val="nil"/>
            </w:tcBorders>
            <w:vAlign w:val="center"/>
            <w:hideMark/>
          </w:tcPr>
          <w:p w14:paraId="0F28D401"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c>
          <w:tcPr>
            <w:tcW w:w="1152" w:type="dxa"/>
            <w:vMerge/>
            <w:tcBorders>
              <w:top w:val="nil"/>
              <w:left w:val="nil"/>
              <w:bottom w:val="nil"/>
              <w:right w:val="nil"/>
            </w:tcBorders>
            <w:vAlign w:val="center"/>
            <w:hideMark/>
          </w:tcPr>
          <w:p w14:paraId="2C59D9B8"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r>
      <w:tr w:rsidR="000213E5" w:rsidRPr="00260341" w14:paraId="383E55A6" w14:textId="77777777" w:rsidTr="00455CF9">
        <w:trPr>
          <w:trHeight w:val="347"/>
          <w:jc w:val="center"/>
        </w:trPr>
        <w:tc>
          <w:tcPr>
            <w:tcW w:w="1008" w:type="dxa"/>
            <w:vMerge/>
            <w:tcBorders>
              <w:top w:val="nil"/>
              <w:left w:val="nil"/>
              <w:bottom w:val="single" w:sz="4" w:space="0" w:color="000000"/>
              <w:right w:val="nil"/>
            </w:tcBorders>
            <w:vAlign w:val="center"/>
            <w:hideMark/>
          </w:tcPr>
          <w:p w14:paraId="0673B5B3" w14:textId="77777777" w:rsidR="001E4456" w:rsidRPr="001E4456" w:rsidRDefault="001E4456" w:rsidP="001E4456">
            <w:pPr>
              <w:spacing w:after="0" w:line="240" w:lineRule="auto"/>
              <w:jc w:val="left"/>
              <w:rPr>
                <w:rFonts w:ascii="Calibri" w:eastAsia="Times New Roman" w:hAnsi="Calibri" w:cs="Calibri"/>
                <w:b/>
                <w:bCs/>
                <w:color w:val="000000"/>
                <w:kern w:val="0"/>
                <w:sz w:val="20"/>
                <w:szCs w:val="20"/>
                <w14:ligatures w14:val="none"/>
              </w:rPr>
            </w:pPr>
          </w:p>
        </w:tc>
        <w:tc>
          <w:tcPr>
            <w:tcW w:w="720" w:type="dxa"/>
            <w:tcBorders>
              <w:top w:val="nil"/>
              <w:left w:val="nil"/>
              <w:bottom w:val="nil"/>
              <w:right w:val="nil"/>
            </w:tcBorders>
            <w:shd w:val="clear" w:color="000000" w:fill="FFFFFF"/>
            <w:vAlign w:val="center"/>
            <w:hideMark/>
          </w:tcPr>
          <w:p w14:paraId="200E4DA6"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CaCO3</w:t>
            </w:r>
          </w:p>
        </w:tc>
        <w:tc>
          <w:tcPr>
            <w:tcW w:w="2304" w:type="dxa"/>
            <w:tcBorders>
              <w:top w:val="nil"/>
              <w:left w:val="nil"/>
              <w:bottom w:val="nil"/>
              <w:right w:val="nil"/>
            </w:tcBorders>
            <w:shd w:val="clear" w:color="000000" w:fill="FFFFFF"/>
            <w:vAlign w:val="center"/>
            <w:hideMark/>
          </w:tcPr>
          <w:p w14:paraId="5FC5A6EE"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Calcium carbonates</w:t>
            </w:r>
          </w:p>
        </w:tc>
        <w:tc>
          <w:tcPr>
            <w:tcW w:w="1296" w:type="dxa"/>
            <w:tcBorders>
              <w:top w:val="nil"/>
              <w:left w:val="nil"/>
              <w:bottom w:val="nil"/>
              <w:right w:val="nil"/>
            </w:tcBorders>
            <w:shd w:val="clear" w:color="000000" w:fill="FFFFFF"/>
            <w:vAlign w:val="center"/>
            <w:hideMark/>
          </w:tcPr>
          <w:p w14:paraId="3CA1D932"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g·</w:t>
            </w:r>
            <w:proofErr w:type="gramStart"/>
            <w:r w:rsidRPr="001E4456">
              <w:rPr>
                <w:rFonts w:ascii="Calibri" w:eastAsia="Times New Roman" w:hAnsi="Calibri" w:cs="Calibri"/>
                <w:color w:val="000000"/>
                <w:kern w:val="0"/>
                <w:sz w:val="20"/>
                <w:szCs w:val="20"/>
                <w14:ligatures w14:val="none"/>
              </w:rPr>
              <w:t>kg</w:t>
            </w:r>
            <w:r w:rsidRPr="001E4456">
              <w:rPr>
                <w:rFonts w:ascii="Calibri" w:eastAsia="Times New Roman" w:hAnsi="Calibri" w:cs="Calibri"/>
                <w:color w:val="000000"/>
                <w:kern w:val="0"/>
                <w:sz w:val="20"/>
                <w:szCs w:val="20"/>
                <w:vertAlign w:val="superscript"/>
                <w14:ligatures w14:val="none"/>
              </w:rPr>
              <w:t>−1</w:t>
            </w:r>
            <w:proofErr w:type="gramEnd"/>
          </w:p>
        </w:tc>
        <w:tc>
          <w:tcPr>
            <w:tcW w:w="720" w:type="dxa"/>
            <w:tcBorders>
              <w:top w:val="nil"/>
              <w:left w:val="nil"/>
              <w:bottom w:val="nil"/>
              <w:right w:val="nil"/>
            </w:tcBorders>
            <w:shd w:val="clear" w:color="000000" w:fill="FFFFFF"/>
            <w:vAlign w:val="center"/>
            <w:hideMark/>
          </w:tcPr>
          <w:p w14:paraId="281619C0"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864" w:type="dxa"/>
            <w:tcBorders>
              <w:top w:val="nil"/>
              <w:left w:val="nil"/>
              <w:bottom w:val="nil"/>
              <w:right w:val="nil"/>
            </w:tcBorders>
            <w:shd w:val="clear" w:color="000000" w:fill="FFFFFF"/>
            <w:vAlign w:val="center"/>
            <w:hideMark/>
          </w:tcPr>
          <w:p w14:paraId="72E69245"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0</w:t>
            </w:r>
          </w:p>
        </w:tc>
        <w:tc>
          <w:tcPr>
            <w:tcW w:w="720" w:type="dxa"/>
            <w:tcBorders>
              <w:top w:val="nil"/>
              <w:left w:val="nil"/>
              <w:bottom w:val="nil"/>
              <w:right w:val="nil"/>
            </w:tcBorders>
            <w:shd w:val="clear" w:color="000000" w:fill="FFFFFF"/>
            <w:vAlign w:val="center"/>
            <w:hideMark/>
          </w:tcPr>
          <w:p w14:paraId="128651C3"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75</w:t>
            </w:r>
          </w:p>
        </w:tc>
        <w:tc>
          <w:tcPr>
            <w:tcW w:w="720" w:type="dxa"/>
            <w:tcBorders>
              <w:top w:val="nil"/>
              <w:left w:val="nil"/>
              <w:bottom w:val="nil"/>
              <w:right w:val="nil"/>
            </w:tcBorders>
            <w:shd w:val="clear" w:color="000000" w:fill="FFFFFF"/>
            <w:vAlign w:val="center"/>
            <w:hideMark/>
          </w:tcPr>
          <w:p w14:paraId="45FB6082"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332</w:t>
            </w:r>
          </w:p>
        </w:tc>
        <w:tc>
          <w:tcPr>
            <w:tcW w:w="720" w:type="dxa"/>
            <w:vMerge w:val="restart"/>
            <w:tcBorders>
              <w:top w:val="nil"/>
              <w:left w:val="nil"/>
              <w:bottom w:val="single" w:sz="4" w:space="0" w:color="000000"/>
              <w:right w:val="nil"/>
            </w:tcBorders>
            <w:shd w:val="clear" w:color="000000" w:fill="FFFFFF"/>
            <w:vAlign w:val="center"/>
            <w:hideMark/>
          </w:tcPr>
          <w:p w14:paraId="57B23DAE"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2009 - 2012</w:t>
            </w:r>
          </w:p>
        </w:tc>
        <w:tc>
          <w:tcPr>
            <w:tcW w:w="1152" w:type="dxa"/>
            <w:vMerge w:val="restart"/>
            <w:tcBorders>
              <w:top w:val="nil"/>
              <w:left w:val="nil"/>
              <w:bottom w:val="single" w:sz="4" w:space="0" w:color="000000"/>
              <w:right w:val="nil"/>
            </w:tcBorders>
            <w:shd w:val="clear" w:color="000000" w:fill="FFFFFF"/>
            <w:vAlign w:val="center"/>
            <w:hideMark/>
          </w:tcPr>
          <w:p w14:paraId="6BF52FF9"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Ballabio et al. (2019)</w:t>
            </w:r>
          </w:p>
        </w:tc>
      </w:tr>
      <w:tr w:rsidR="000213E5" w:rsidRPr="00260341" w14:paraId="6FB9525A" w14:textId="77777777" w:rsidTr="00455CF9">
        <w:trPr>
          <w:trHeight w:val="323"/>
          <w:jc w:val="center"/>
        </w:trPr>
        <w:tc>
          <w:tcPr>
            <w:tcW w:w="1008" w:type="dxa"/>
            <w:vMerge/>
            <w:tcBorders>
              <w:top w:val="nil"/>
              <w:left w:val="nil"/>
              <w:bottom w:val="single" w:sz="4" w:space="0" w:color="000000"/>
              <w:right w:val="nil"/>
            </w:tcBorders>
            <w:vAlign w:val="center"/>
            <w:hideMark/>
          </w:tcPr>
          <w:p w14:paraId="4A689440" w14:textId="77777777" w:rsidR="001E4456" w:rsidRPr="001E4456" w:rsidRDefault="001E4456" w:rsidP="001E4456">
            <w:pPr>
              <w:spacing w:after="0" w:line="240" w:lineRule="auto"/>
              <w:jc w:val="left"/>
              <w:rPr>
                <w:rFonts w:ascii="Calibri" w:eastAsia="Times New Roman" w:hAnsi="Calibri" w:cs="Calibri"/>
                <w:b/>
                <w:bCs/>
                <w:color w:val="000000"/>
                <w:kern w:val="0"/>
                <w:sz w:val="20"/>
                <w:szCs w:val="20"/>
                <w14:ligatures w14:val="none"/>
              </w:rPr>
            </w:pPr>
          </w:p>
        </w:tc>
        <w:tc>
          <w:tcPr>
            <w:tcW w:w="720" w:type="dxa"/>
            <w:tcBorders>
              <w:top w:val="nil"/>
              <w:left w:val="nil"/>
              <w:bottom w:val="nil"/>
              <w:right w:val="nil"/>
            </w:tcBorders>
            <w:shd w:val="clear" w:color="000000" w:fill="FFFFFF"/>
            <w:vAlign w:val="center"/>
            <w:hideMark/>
          </w:tcPr>
          <w:p w14:paraId="290C3803"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P</w:t>
            </w:r>
          </w:p>
        </w:tc>
        <w:tc>
          <w:tcPr>
            <w:tcW w:w="2304" w:type="dxa"/>
            <w:tcBorders>
              <w:top w:val="nil"/>
              <w:left w:val="nil"/>
              <w:bottom w:val="nil"/>
              <w:right w:val="nil"/>
            </w:tcBorders>
            <w:shd w:val="clear" w:color="000000" w:fill="FFFFFF"/>
            <w:vAlign w:val="center"/>
            <w:hideMark/>
          </w:tcPr>
          <w:p w14:paraId="54CD9FFC"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Phosphorus</w:t>
            </w:r>
          </w:p>
        </w:tc>
        <w:tc>
          <w:tcPr>
            <w:tcW w:w="1296" w:type="dxa"/>
            <w:tcBorders>
              <w:top w:val="nil"/>
              <w:left w:val="nil"/>
              <w:bottom w:val="nil"/>
              <w:right w:val="nil"/>
            </w:tcBorders>
            <w:shd w:val="clear" w:color="000000" w:fill="FFFFFF"/>
            <w:vAlign w:val="center"/>
            <w:hideMark/>
          </w:tcPr>
          <w:p w14:paraId="6F7F58AA"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mg·</w:t>
            </w:r>
            <w:proofErr w:type="gramStart"/>
            <w:r w:rsidRPr="001E4456">
              <w:rPr>
                <w:rFonts w:ascii="Calibri" w:eastAsia="Times New Roman" w:hAnsi="Calibri" w:cs="Calibri"/>
                <w:color w:val="000000"/>
                <w:kern w:val="0"/>
                <w:sz w:val="20"/>
                <w:szCs w:val="20"/>
                <w14:ligatures w14:val="none"/>
              </w:rPr>
              <w:t>kg</w:t>
            </w:r>
            <w:r w:rsidRPr="001E4456">
              <w:rPr>
                <w:rFonts w:ascii="Calibri" w:eastAsia="Times New Roman" w:hAnsi="Calibri" w:cs="Calibri"/>
                <w:color w:val="000000"/>
                <w:kern w:val="0"/>
                <w:sz w:val="20"/>
                <w:szCs w:val="20"/>
                <w:vertAlign w:val="superscript"/>
                <w14:ligatures w14:val="none"/>
              </w:rPr>
              <w:t>−1</w:t>
            </w:r>
            <w:proofErr w:type="gramEnd"/>
          </w:p>
        </w:tc>
        <w:tc>
          <w:tcPr>
            <w:tcW w:w="720" w:type="dxa"/>
            <w:tcBorders>
              <w:top w:val="nil"/>
              <w:left w:val="nil"/>
              <w:bottom w:val="nil"/>
              <w:right w:val="nil"/>
            </w:tcBorders>
            <w:shd w:val="clear" w:color="000000" w:fill="FFFFFF"/>
            <w:vAlign w:val="center"/>
            <w:hideMark/>
          </w:tcPr>
          <w:p w14:paraId="037974F6"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864" w:type="dxa"/>
            <w:tcBorders>
              <w:top w:val="nil"/>
              <w:left w:val="nil"/>
              <w:bottom w:val="nil"/>
              <w:right w:val="nil"/>
            </w:tcBorders>
            <w:shd w:val="clear" w:color="000000" w:fill="FFFFFF"/>
            <w:vAlign w:val="center"/>
            <w:hideMark/>
          </w:tcPr>
          <w:p w14:paraId="6588B6F0"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7.18</w:t>
            </w:r>
          </w:p>
        </w:tc>
        <w:tc>
          <w:tcPr>
            <w:tcW w:w="720" w:type="dxa"/>
            <w:tcBorders>
              <w:top w:val="nil"/>
              <w:left w:val="nil"/>
              <w:bottom w:val="nil"/>
              <w:right w:val="nil"/>
            </w:tcBorders>
            <w:shd w:val="clear" w:color="000000" w:fill="FFFFFF"/>
            <w:vAlign w:val="center"/>
            <w:hideMark/>
          </w:tcPr>
          <w:p w14:paraId="48DF1085"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40.85</w:t>
            </w:r>
          </w:p>
        </w:tc>
        <w:tc>
          <w:tcPr>
            <w:tcW w:w="720" w:type="dxa"/>
            <w:tcBorders>
              <w:top w:val="nil"/>
              <w:left w:val="nil"/>
              <w:bottom w:val="nil"/>
              <w:right w:val="nil"/>
            </w:tcBorders>
            <w:shd w:val="clear" w:color="000000" w:fill="FFFFFF"/>
            <w:vAlign w:val="center"/>
            <w:hideMark/>
          </w:tcPr>
          <w:p w14:paraId="30899768"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68.39</w:t>
            </w:r>
          </w:p>
        </w:tc>
        <w:tc>
          <w:tcPr>
            <w:tcW w:w="720" w:type="dxa"/>
            <w:vMerge/>
            <w:tcBorders>
              <w:top w:val="nil"/>
              <w:left w:val="nil"/>
              <w:bottom w:val="single" w:sz="4" w:space="0" w:color="000000"/>
              <w:right w:val="nil"/>
            </w:tcBorders>
            <w:vAlign w:val="center"/>
            <w:hideMark/>
          </w:tcPr>
          <w:p w14:paraId="2982497F"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c>
          <w:tcPr>
            <w:tcW w:w="1152" w:type="dxa"/>
            <w:vMerge/>
            <w:tcBorders>
              <w:top w:val="nil"/>
              <w:left w:val="nil"/>
              <w:bottom w:val="single" w:sz="4" w:space="0" w:color="000000"/>
              <w:right w:val="nil"/>
            </w:tcBorders>
            <w:vAlign w:val="center"/>
            <w:hideMark/>
          </w:tcPr>
          <w:p w14:paraId="064A6961"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r>
      <w:tr w:rsidR="000213E5" w:rsidRPr="00260341" w14:paraId="7317863C" w14:textId="77777777" w:rsidTr="00455CF9">
        <w:trPr>
          <w:trHeight w:val="347"/>
          <w:jc w:val="center"/>
        </w:trPr>
        <w:tc>
          <w:tcPr>
            <w:tcW w:w="1008" w:type="dxa"/>
            <w:vMerge/>
            <w:tcBorders>
              <w:top w:val="nil"/>
              <w:left w:val="nil"/>
              <w:bottom w:val="single" w:sz="4" w:space="0" w:color="000000"/>
              <w:right w:val="nil"/>
            </w:tcBorders>
            <w:vAlign w:val="center"/>
            <w:hideMark/>
          </w:tcPr>
          <w:p w14:paraId="339935AA" w14:textId="77777777" w:rsidR="001E4456" w:rsidRPr="001E4456" w:rsidRDefault="001E4456" w:rsidP="001E4456">
            <w:pPr>
              <w:spacing w:after="0" w:line="240" w:lineRule="auto"/>
              <w:jc w:val="left"/>
              <w:rPr>
                <w:rFonts w:ascii="Calibri" w:eastAsia="Times New Roman" w:hAnsi="Calibri" w:cs="Calibri"/>
                <w:b/>
                <w:bCs/>
                <w:color w:val="000000"/>
                <w:kern w:val="0"/>
                <w:sz w:val="20"/>
                <w:szCs w:val="20"/>
                <w14:ligatures w14:val="none"/>
              </w:rPr>
            </w:pPr>
          </w:p>
        </w:tc>
        <w:tc>
          <w:tcPr>
            <w:tcW w:w="720" w:type="dxa"/>
            <w:tcBorders>
              <w:top w:val="nil"/>
              <w:left w:val="nil"/>
              <w:bottom w:val="single" w:sz="4" w:space="0" w:color="auto"/>
              <w:right w:val="nil"/>
            </w:tcBorders>
            <w:shd w:val="clear" w:color="000000" w:fill="FFFFFF"/>
            <w:vAlign w:val="center"/>
            <w:hideMark/>
          </w:tcPr>
          <w:p w14:paraId="17AC950D"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N</w:t>
            </w:r>
          </w:p>
        </w:tc>
        <w:tc>
          <w:tcPr>
            <w:tcW w:w="2304" w:type="dxa"/>
            <w:tcBorders>
              <w:top w:val="nil"/>
              <w:left w:val="nil"/>
              <w:bottom w:val="single" w:sz="4" w:space="0" w:color="auto"/>
              <w:right w:val="nil"/>
            </w:tcBorders>
            <w:shd w:val="clear" w:color="000000" w:fill="FFFFFF"/>
            <w:vAlign w:val="center"/>
            <w:hideMark/>
          </w:tcPr>
          <w:p w14:paraId="52DEC27A"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Nitrogen</w:t>
            </w:r>
          </w:p>
        </w:tc>
        <w:tc>
          <w:tcPr>
            <w:tcW w:w="1296" w:type="dxa"/>
            <w:tcBorders>
              <w:top w:val="nil"/>
              <w:left w:val="nil"/>
              <w:bottom w:val="single" w:sz="4" w:space="0" w:color="auto"/>
              <w:right w:val="nil"/>
            </w:tcBorders>
            <w:shd w:val="clear" w:color="000000" w:fill="FFFFFF"/>
            <w:vAlign w:val="center"/>
            <w:hideMark/>
          </w:tcPr>
          <w:p w14:paraId="46D7A959"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g·</w:t>
            </w:r>
            <w:proofErr w:type="gramStart"/>
            <w:r w:rsidRPr="001E4456">
              <w:rPr>
                <w:rFonts w:ascii="Calibri" w:eastAsia="Times New Roman" w:hAnsi="Calibri" w:cs="Calibri"/>
                <w:color w:val="000000"/>
                <w:kern w:val="0"/>
                <w:sz w:val="20"/>
                <w:szCs w:val="20"/>
                <w14:ligatures w14:val="none"/>
              </w:rPr>
              <w:t>kg</w:t>
            </w:r>
            <w:r w:rsidRPr="001E4456">
              <w:rPr>
                <w:rFonts w:ascii="Calibri" w:eastAsia="Times New Roman" w:hAnsi="Calibri" w:cs="Calibri"/>
                <w:color w:val="000000"/>
                <w:kern w:val="0"/>
                <w:sz w:val="20"/>
                <w:szCs w:val="20"/>
                <w:vertAlign w:val="superscript"/>
                <w14:ligatures w14:val="none"/>
              </w:rPr>
              <w:t>−1</w:t>
            </w:r>
            <w:proofErr w:type="gramEnd"/>
          </w:p>
        </w:tc>
        <w:tc>
          <w:tcPr>
            <w:tcW w:w="720" w:type="dxa"/>
            <w:tcBorders>
              <w:top w:val="nil"/>
              <w:left w:val="nil"/>
              <w:bottom w:val="single" w:sz="4" w:space="0" w:color="auto"/>
              <w:right w:val="nil"/>
            </w:tcBorders>
            <w:shd w:val="clear" w:color="000000" w:fill="FFFFFF"/>
            <w:vAlign w:val="center"/>
            <w:hideMark/>
          </w:tcPr>
          <w:p w14:paraId="5A888BCE"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 </w:t>
            </w:r>
          </w:p>
        </w:tc>
        <w:tc>
          <w:tcPr>
            <w:tcW w:w="864" w:type="dxa"/>
            <w:tcBorders>
              <w:top w:val="nil"/>
              <w:left w:val="nil"/>
              <w:bottom w:val="single" w:sz="4" w:space="0" w:color="auto"/>
              <w:right w:val="nil"/>
            </w:tcBorders>
            <w:shd w:val="clear" w:color="000000" w:fill="FFFFFF"/>
            <w:vAlign w:val="center"/>
            <w:hideMark/>
          </w:tcPr>
          <w:p w14:paraId="43683AD2"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0.87</w:t>
            </w:r>
          </w:p>
        </w:tc>
        <w:tc>
          <w:tcPr>
            <w:tcW w:w="720" w:type="dxa"/>
            <w:tcBorders>
              <w:top w:val="nil"/>
              <w:left w:val="nil"/>
              <w:bottom w:val="single" w:sz="4" w:space="0" w:color="auto"/>
              <w:right w:val="nil"/>
            </w:tcBorders>
            <w:shd w:val="clear" w:color="000000" w:fill="FFFFFF"/>
            <w:vAlign w:val="center"/>
            <w:hideMark/>
          </w:tcPr>
          <w:p w14:paraId="10A57417"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1.99</w:t>
            </w:r>
          </w:p>
        </w:tc>
        <w:tc>
          <w:tcPr>
            <w:tcW w:w="720" w:type="dxa"/>
            <w:tcBorders>
              <w:top w:val="nil"/>
              <w:left w:val="nil"/>
              <w:bottom w:val="single" w:sz="4" w:space="0" w:color="auto"/>
              <w:right w:val="nil"/>
            </w:tcBorders>
            <w:shd w:val="clear" w:color="000000" w:fill="FFFFFF"/>
            <w:vAlign w:val="center"/>
            <w:hideMark/>
          </w:tcPr>
          <w:p w14:paraId="36635C1D" w14:textId="77777777" w:rsidR="001E4456" w:rsidRPr="001E4456" w:rsidRDefault="001E4456" w:rsidP="001E4456">
            <w:pPr>
              <w:spacing w:after="0" w:line="240" w:lineRule="auto"/>
              <w:jc w:val="center"/>
              <w:rPr>
                <w:rFonts w:ascii="Calibri" w:eastAsia="Times New Roman" w:hAnsi="Calibri" w:cs="Calibri"/>
                <w:color w:val="000000"/>
                <w:kern w:val="0"/>
                <w:sz w:val="20"/>
                <w:szCs w:val="20"/>
                <w14:ligatures w14:val="none"/>
              </w:rPr>
            </w:pPr>
            <w:r w:rsidRPr="001E4456">
              <w:rPr>
                <w:rFonts w:ascii="Calibri" w:eastAsia="Times New Roman" w:hAnsi="Calibri" w:cs="Calibri"/>
                <w:color w:val="000000"/>
                <w:kern w:val="0"/>
                <w:sz w:val="20"/>
                <w:szCs w:val="20"/>
                <w14:ligatures w14:val="none"/>
              </w:rPr>
              <w:t>3.84</w:t>
            </w:r>
          </w:p>
        </w:tc>
        <w:tc>
          <w:tcPr>
            <w:tcW w:w="720" w:type="dxa"/>
            <w:vMerge/>
            <w:tcBorders>
              <w:top w:val="nil"/>
              <w:left w:val="nil"/>
              <w:bottom w:val="single" w:sz="4" w:space="0" w:color="000000"/>
              <w:right w:val="nil"/>
            </w:tcBorders>
            <w:vAlign w:val="center"/>
            <w:hideMark/>
          </w:tcPr>
          <w:p w14:paraId="1CD1A27F"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c>
          <w:tcPr>
            <w:tcW w:w="1152" w:type="dxa"/>
            <w:vMerge/>
            <w:tcBorders>
              <w:top w:val="nil"/>
              <w:left w:val="nil"/>
              <w:bottom w:val="single" w:sz="4" w:space="0" w:color="000000"/>
              <w:right w:val="nil"/>
            </w:tcBorders>
            <w:vAlign w:val="center"/>
            <w:hideMark/>
          </w:tcPr>
          <w:p w14:paraId="3153B36F" w14:textId="77777777" w:rsidR="001E4456" w:rsidRPr="001E4456" w:rsidRDefault="001E4456" w:rsidP="001E4456">
            <w:pPr>
              <w:spacing w:after="0" w:line="240" w:lineRule="auto"/>
              <w:jc w:val="left"/>
              <w:rPr>
                <w:rFonts w:ascii="Calibri" w:eastAsia="Times New Roman" w:hAnsi="Calibri" w:cs="Calibri"/>
                <w:color w:val="000000"/>
                <w:kern w:val="0"/>
                <w:sz w:val="20"/>
                <w:szCs w:val="20"/>
                <w14:ligatures w14:val="none"/>
              </w:rPr>
            </w:pPr>
          </w:p>
        </w:tc>
      </w:tr>
    </w:tbl>
    <w:p w14:paraId="59D6BE29" w14:textId="77777777" w:rsidR="00CE688E" w:rsidRPr="00E252FB" w:rsidRDefault="00CE688E" w:rsidP="007C3886"/>
    <w:p w14:paraId="041018EF" w14:textId="7C8BA742" w:rsidR="00233D90" w:rsidRPr="00E252FB" w:rsidRDefault="005B600A" w:rsidP="002318CE">
      <w:pPr>
        <w:pStyle w:val="Heading3"/>
        <w:rPr>
          <w:rFonts w:cs="Times New Roman"/>
        </w:rPr>
      </w:pPr>
      <w:r w:rsidRPr="005B600A">
        <w:rPr>
          <w:rFonts w:cs="Times New Roman"/>
        </w:rPr>
        <w:t>Model calibration</w:t>
      </w:r>
    </w:p>
    <w:p w14:paraId="3B94234A" w14:textId="77777777" w:rsidR="009D528D" w:rsidRPr="00E252FB" w:rsidRDefault="009D528D" w:rsidP="0069562D">
      <w:r w:rsidRPr="00E252FB">
        <w:t>We compared five SDM algorithms to predict earthworm parameters (total abundance, total biomass, and total taxonomic richness) using 10 explanatory variables. The five algorithms were: Generalized Linear Models (GLM), Generalized Additive Models (GAM), Random Forest models (RF), Generalized Boosted Models (GBM), and Artificial Neural Networks (ANN).</w:t>
      </w:r>
    </w:p>
    <w:p w14:paraId="3881ACDE" w14:textId="75BF06EE" w:rsidR="00DB1348" w:rsidRPr="00E252FB" w:rsidRDefault="00DB1348" w:rsidP="0069562D">
      <w:r w:rsidRPr="00E252FB">
        <w:t xml:space="preserve">We fitted GLMs using the </w:t>
      </w:r>
      <w:proofErr w:type="spellStart"/>
      <w:r w:rsidRPr="00E252FB">
        <w:rPr>
          <w:i/>
          <w:iCs/>
        </w:rPr>
        <w:t>glm</w:t>
      </w:r>
      <w:proofErr w:type="spellEnd"/>
      <w:r w:rsidRPr="00E252FB">
        <w:t xml:space="preserve"> function from the </w:t>
      </w:r>
      <w:r w:rsidRPr="00E252FB">
        <w:rPr>
          <w:i/>
          <w:iCs/>
        </w:rPr>
        <w:t>stats</w:t>
      </w:r>
      <w:r w:rsidRPr="00E252FB">
        <w:t xml:space="preserve"> package with the following formulation:</w:t>
      </w:r>
    </w:p>
    <w:p w14:paraId="58E4F060" w14:textId="18D16BC7" w:rsidR="002E518D" w:rsidRPr="00E252FB" w:rsidRDefault="00A44850" w:rsidP="005D58FD">
      <w:pPr>
        <w:jc w:val="center"/>
      </w:pPr>
      <m:oMathPara>
        <m:oMath>
          <m:r>
            <m:rPr>
              <m:sty m:val="p"/>
            </m:rPr>
            <w:rPr>
              <w:rFonts w:ascii="Cambria Math" w:hAnsi="Cambria Math"/>
            </w:rPr>
            <m:t>Y</m:t>
          </m:r>
          <m:r>
            <w:rPr>
              <w:rFonts w:ascii="Cambria Math" w:hAnsi="Cambria Math"/>
            </w:rPr>
            <m:t>=</m:t>
          </m:r>
          <m:r>
            <m:rPr>
              <m:sty m:val="p"/>
            </m:rPr>
            <w:rPr>
              <w:rFonts w:ascii="Cambria Math" w:hAnsi="Cambria Math"/>
            </w:rPr>
            <m:t>glm</m:t>
          </m:r>
          <m:r>
            <w:rPr>
              <w:rFonts w:ascii="Cambria Math" w:hAnsi="Cambria Math"/>
            </w:rPr>
            <m:t>\left(y~x1+x2+\ldots+xn,family=^\prime g a u s s i a n^\prime,data=data\right)</m:t>
          </m:r>
        </m:oMath>
      </m:oMathPara>
    </w:p>
    <w:p w14:paraId="1EA6BA79" w14:textId="77777777" w:rsidR="00700362" w:rsidRPr="00E252FB" w:rsidRDefault="00700362" w:rsidP="009A1830">
      <w:r w:rsidRPr="00E252FB">
        <w:t xml:space="preserve">Where </w:t>
      </w:r>
      <w:r w:rsidRPr="00E252FB">
        <w:rPr>
          <w:i/>
          <w:iCs/>
        </w:rPr>
        <w:t>Y</w:t>
      </w:r>
      <w:r w:rsidRPr="00E252FB">
        <w:t xml:space="preserve"> is the response variable (abundance, biomass, or richness) and x represents the explanatory variables.</w:t>
      </w:r>
    </w:p>
    <w:p w14:paraId="229D06F0" w14:textId="77EA9170" w:rsidR="005A216F" w:rsidRPr="00E252FB" w:rsidRDefault="005A216F" w:rsidP="009A1830">
      <w:r w:rsidRPr="00E252FB">
        <w:t xml:space="preserve">For GAMs, we utilized the </w:t>
      </w:r>
      <w:r w:rsidRPr="00E252FB">
        <w:rPr>
          <w:i/>
          <w:iCs/>
        </w:rPr>
        <w:t>gam</w:t>
      </w:r>
      <w:r w:rsidRPr="00E252FB">
        <w:t xml:space="preserve"> function from the </w:t>
      </w:r>
      <w:proofErr w:type="spellStart"/>
      <w:r w:rsidRPr="00E252FB">
        <w:rPr>
          <w:i/>
          <w:iCs/>
        </w:rPr>
        <w:t>mgcv</w:t>
      </w:r>
      <w:proofErr w:type="spellEnd"/>
      <w:r w:rsidRPr="00E252FB">
        <w:t xml:space="preserve"> package </w:t>
      </w:r>
      <w:r w:rsidRPr="00E252FB">
        <w:fldChar w:fldCharType="begin"/>
      </w:r>
      <w:r w:rsidRPr="00E252FB">
        <w:instrText xml:space="preserve"> ADDIN ZOTERO_ITEM CSL_CITATION {"citationID":"VSFkU8qY","properties":{"formattedCitation":"(Wood, 2023)","plainCitation":"(Wood, 2023)","noteIndex":0},"citationItems":[{"id":1139,"uris":["http://zotero.org/users/7119014/items/D67LKV6G"],"itemData":{"id":1139,"type":"software","abstract":"Generalized additive (mixed) models, some of their extensions and other generalized ridge regression with multiple smoothing parameter estimation by (Restricted) Marginal Likelihood, Generalized Cross Validation and similar, or using iterated nested Laplace approximation for fully Bayesian inference. See Wood (2017) &lt;doi:10.1201/9781315370279&gt; for an overview. Includes a gam() function, a wide variety of smoothers, 'JAGS' support and distributions beyond the exponential family.","license":"GPL-2 | GPL-3 [expanded from: GPL (≥ 2)]","source":"R-Packages","title":"mgcv: Mixed GAM Computation Vehicle with Automatic Smoothness Estimation","title-short":"mgcv","URL":"https://cran.r-project.org/web/packages/mgcv/index.html","version":"1.9-1","author":[{"family":"Wood","given":"Simon"}],"accessed":{"date-parts":[["2024",4,29]]},"issued":{"date-parts":[["2023",12,21]]}}}],"schema":"https://github.com/citation-style-language/schema/raw/master/csl-citation.json"} </w:instrText>
      </w:r>
      <w:r w:rsidRPr="00E252FB">
        <w:fldChar w:fldCharType="separate"/>
      </w:r>
      <w:r w:rsidRPr="00E252FB">
        <w:rPr>
          <w:rFonts w:cs="Times New Roman"/>
        </w:rPr>
        <w:t>(Wood, 2023)</w:t>
      </w:r>
      <w:r w:rsidRPr="00E252FB">
        <w:fldChar w:fldCharType="end"/>
      </w:r>
      <w:r w:rsidRPr="00E252FB">
        <w:t>with the following formulation:</w:t>
      </w:r>
    </w:p>
    <w:p w14:paraId="082BEB1E" w14:textId="452304FE" w:rsidR="0011285E" w:rsidRPr="00E252FB" w:rsidRDefault="00A44850" w:rsidP="0011285E">
      <w:pPr>
        <w:jc w:val="center"/>
      </w:pPr>
      <m:oMathPara>
        <m:oMathParaPr>
          <m:jc m:val="left"/>
        </m:oMathParaPr>
        <m:oMath>
          <m:r>
            <m:rPr>
              <m:sty m:val="p"/>
            </m:rPr>
            <w:rPr>
              <w:rFonts w:ascii="Cambria Math" w:hAnsi="Cambria Math"/>
            </w:rPr>
            <m:t>Y</m:t>
          </m:r>
          <m:r>
            <w:rPr>
              <w:rFonts w:ascii="Cambria Math" w:hAnsi="Cambria Math"/>
            </w:rPr>
            <m:t>=</m:t>
          </m:r>
          <m:r>
            <m:rPr>
              <m:sty m:val="p"/>
            </m:rPr>
            <w:rPr>
              <w:rFonts w:ascii="Cambria Math" w:hAnsi="Cambria Math"/>
            </w:rPr>
            <m:t>gam</m:t>
          </m:r>
          <m:r>
            <w:rPr>
              <w:rFonts w:ascii="Cambria Math" w:hAnsi="Cambria Math"/>
            </w:rPr>
            <m:t>\left(y~s\left(x1\right)+s\left(x2\right)+\ldots+s\left(xn\right),family=^\prime g a u s s i a n^\prime,method=^\prime</m:t>
          </m:r>
          <m:r>
            <m:rPr>
              <m:sty m:val="p"/>
            </m:rPr>
            <w:rPr>
              <w:rFonts w:ascii="Cambria Math" w:hAnsi="Cambria Math"/>
            </w:rPr>
            <m:t>\mathrm{</m:t>
          </m:r>
          <m:r>
            <w:rPr>
              <w:rFonts w:ascii="Cambria Math" w:hAnsi="Cambria Math"/>
            </w:rPr>
            <m:t>REML'} ,data=data\right)</m:t>
          </m:r>
        </m:oMath>
      </m:oMathPara>
    </w:p>
    <w:p w14:paraId="53337596" w14:textId="77777777" w:rsidR="00D24E3E" w:rsidRPr="00E252FB" w:rsidRDefault="00D24E3E" w:rsidP="005D58FD">
      <w:r w:rsidRPr="00E252FB">
        <w:t xml:space="preserve">Where </w:t>
      </w:r>
      <w:r w:rsidRPr="00E252FB">
        <w:rPr>
          <w:i/>
          <w:iCs/>
        </w:rPr>
        <w:t>Y</w:t>
      </w:r>
      <w:r w:rsidRPr="00E252FB">
        <w:t xml:space="preserve"> is the response variable (abundance, biomass, or richness) and x represents the explanatory variables.</w:t>
      </w:r>
    </w:p>
    <w:p w14:paraId="675146A0" w14:textId="38420930" w:rsidR="005D58FD" w:rsidRPr="00E252FB" w:rsidRDefault="00DA5059" w:rsidP="005D58FD">
      <w:r w:rsidRPr="00E252FB">
        <w:t xml:space="preserve">Random Forest models were fitted using the </w:t>
      </w:r>
      <w:proofErr w:type="spellStart"/>
      <w:r w:rsidRPr="00E252FB">
        <w:rPr>
          <w:i/>
          <w:iCs/>
        </w:rPr>
        <w:t>randomForest</w:t>
      </w:r>
      <w:proofErr w:type="spellEnd"/>
      <w:r w:rsidRPr="00E252FB">
        <w:t xml:space="preserve"> function from the </w:t>
      </w:r>
      <w:proofErr w:type="spellStart"/>
      <w:r w:rsidRPr="00E252FB">
        <w:rPr>
          <w:i/>
          <w:iCs/>
        </w:rPr>
        <w:t>randomForest</w:t>
      </w:r>
      <w:proofErr w:type="spellEnd"/>
      <w:r w:rsidRPr="00E252FB">
        <w:t xml:space="preserve"> package </w:t>
      </w:r>
      <w:r w:rsidRPr="00E252FB">
        <w:fldChar w:fldCharType="begin"/>
      </w:r>
      <w:r w:rsidRPr="00E252FB">
        <w:instrText xml:space="preserve"> ADDIN ZOTERO_ITEM CSL_CITATION {"citationID":"FHheaWLg","properties":{"formattedCitation":"(Breiman, 2001)","plainCitation":"(Breiman, 2001)","noteIndex":0},"citationItems":[{"id":1134,"uris":["http://zotero.org/users/7119014/items/G8G7SZYM"],"itemData":{"id":1134,"type":"article-journal","abstract":"Random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Pr="00E252FB">
        <w:fldChar w:fldCharType="separate"/>
      </w:r>
      <w:r w:rsidRPr="00E252FB">
        <w:rPr>
          <w:rFonts w:cs="Times New Roman"/>
        </w:rPr>
        <w:t>(</w:t>
      </w:r>
      <w:proofErr w:type="spellStart"/>
      <w:r w:rsidRPr="00E252FB">
        <w:rPr>
          <w:rFonts w:cs="Times New Roman"/>
        </w:rPr>
        <w:t>Breiman</w:t>
      </w:r>
      <w:proofErr w:type="spellEnd"/>
      <w:r w:rsidRPr="00E252FB">
        <w:rPr>
          <w:rFonts w:cs="Times New Roman"/>
        </w:rPr>
        <w:t>, 2001)</w:t>
      </w:r>
      <w:r w:rsidRPr="00E252FB">
        <w:fldChar w:fldCharType="end"/>
      </w:r>
      <w:r w:rsidRPr="00E252FB">
        <w:t xml:space="preserve"> with the following formulation:</w:t>
      </w:r>
    </w:p>
    <w:p w14:paraId="340F6123" w14:textId="615FCEBF" w:rsidR="005D58FD" w:rsidRPr="00E252FB" w:rsidRDefault="00A44850" w:rsidP="005D58FD">
      <w:pPr>
        <w:jc w:val="center"/>
      </w:pPr>
      <m:oMathPara>
        <m:oMath>
          <m:r>
            <m:rPr>
              <m:sty m:val="p"/>
            </m:rPr>
            <w:rPr>
              <w:rFonts w:ascii="Cambria Math" w:hAnsi="Cambria Math"/>
            </w:rPr>
            <m:t>Y</m:t>
          </m:r>
          <m:r>
            <w:rPr>
              <w:rFonts w:ascii="Cambria Math" w:hAnsi="Cambria Math"/>
            </w:rPr>
            <m:t>=</m:t>
          </m:r>
          <m:r>
            <m:rPr>
              <m:sty m:val="p"/>
            </m:rPr>
            <w:rPr>
              <w:rFonts w:ascii="Cambria Math" w:hAnsi="Cambria Math"/>
            </w:rPr>
            <m:t>randomForest</m:t>
          </m:r>
          <m:r>
            <w:rPr>
              <w:rFonts w:ascii="Cambria Math" w:hAnsi="Cambria Math"/>
            </w:rPr>
            <m:t>\left(data\left[-rep.var\right],data\left[\left[rep.var\right]\right],</m:t>
          </m:r>
          <m:r>
            <m:rPr>
              <m:sty m:val="p"/>
            </m:rPr>
            <w:rPr>
              <w:rFonts w:ascii="Cambria Math" w:hAnsi="Cambria Math"/>
            </w:rPr>
            <m:t>mtry=3,ntree=500,maxnodes=NULL,importance=TRUE\right)</m:t>
          </m:r>
        </m:oMath>
      </m:oMathPara>
    </w:p>
    <w:p w14:paraId="296DC264" w14:textId="77F881A6" w:rsidR="00DD37D2" w:rsidRPr="00E252FB" w:rsidRDefault="00DD37D2" w:rsidP="005D58FD">
      <w:r w:rsidRPr="00E252FB">
        <w:t xml:space="preserve">Where </w:t>
      </w:r>
      <w:proofErr w:type="spellStart"/>
      <w:r w:rsidRPr="00E252FB">
        <w:t>rep</w:t>
      </w:r>
      <w:r w:rsidR="00AE78A5" w:rsidRPr="00E252FB">
        <w:t>.var</w:t>
      </w:r>
      <w:proofErr w:type="spellEnd"/>
      <w:r w:rsidRPr="00E252FB">
        <w:t xml:space="preserve"> represents the position of the response variable column, </w:t>
      </w:r>
      <w:proofErr w:type="spellStart"/>
      <w:r w:rsidRPr="00E252FB">
        <w:t>mtry</w:t>
      </w:r>
      <w:proofErr w:type="spellEnd"/>
      <w:r w:rsidRPr="00E252FB">
        <w:t xml:space="preserve"> is the number of variables randomly sampled, </w:t>
      </w:r>
      <w:proofErr w:type="spellStart"/>
      <w:r w:rsidRPr="00E252FB">
        <w:t>ntree</w:t>
      </w:r>
      <w:proofErr w:type="spellEnd"/>
      <w:r w:rsidRPr="00E252FB">
        <w:t xml:space="preserve"> is the number of trees, and </w:t>
      </w:r>
      <w:proofErr w:type="spellStart"/>
      <w:r w:rsidRPr="00E252FB">
        <w:t>maxnodes</w:t>
      </w:r>
      <w:proofErr w:type="spellEnd"/>
      <w:r w:rsidRPr="00E252FB">
        <w:t xml:space="preserve"> is the maximum number of terminal nodes.</w:t>
      </w:r>
    </w:p>
    <w:p w14:paraId="1A6C0B6F" w14:textId="2D42ECF0" w:rsidR="00162D93" w:rsidRPr="00E252FB" w:rsidRDefault="00162D93" w:rsidP="00032138">
      <w:r w:rsidRPr="00E252FB">
        <w:lastRenderedPageBreak/>
        <w:t xml:space="preserve">We performed hyperparameter tuning for Random Forest models using a grid search method with all possible combinations of the following parameters: number of variables randomly sampled (2 to </w:t>
      </w:r>
      <w:r w:rsidR="00B72F8D" w:rsidRPr="00E252FB">
        <w:t>10</w:t>
      </w:r>
      <w:r w:rsidRPr="00E252FB">
        <w:t xml:space="preserve"> in increments of 1), number of trees (100 to 2000 in increments of 200), and maximum number of terminal nodes (2 to 15 in increments of 1). We selected the model with the highest R² and lowest RMSE from all models.</w:t>
      </w:r>
    </w:p>
    <w:p w14:paraId="084E09EA" w14:textId="6387C858" w:rsidR="00004FB6" w:rsidRPr="00E252FB" w:rsidRDefault="00004FB6" w:rsidP="005937FC">
      <w:r w:rsidRPr="00E252FB">
        <w:t xml:space="preserve">GBMs were fitted using the </w:t>
      </w:r>
      <w:proofErr w:type="spellStart"/>
      <w:r w:rsidRPr="00E252FB">
        <w:rPr>
          <w:i/>
          <w:iCs/>
        </w:rPr>
        <w:t>gbm</w:t>
      </w:r>
      <w:proofErr w:type="spellEnd"/>
      <w:r w:rsidRPr="00E252FB">
        <w:t xml:space="preserve"> function from the </w:t>
      </w:r>
      <w:proofErr w:type="spellStart"/>
      <w:r w:rsidRPr="00E252FB">
        <w:rPr>
          <w:i/>
          <w:iCs/>
        </w:rPr>
        <w:t>gbm</w:t>
      </w:r>
      <w:proofErr w:type="spellEnd"/>
      <w:r w:rsidRPr="00E252FB">
        <w:t xml:space="preserve"> package </w:t>
      </w:r>
      <w:r w:rsidRPr="00E252FB">
        <w:fldChar w:fldCharType="begin"/>
      </w:r>
      <w:r w:rsidRPr="00E252FB">
        <w:instrText xml:space="preserve"> ADDIN ZOTERO_ITEM CSL_CITATION {"citationID":"8OV26fEB","properties":{"formattedCitation":"(Greg et al., 2024)","plainCitation":"(Greg et al., 2024)","noteIndex":0},"citationItems":[{"id":1140,"uris":["http://zotero.org/users/7119014/items/CZABNFI6"],"itemData":{"id":1140,"type":"software","abstract":"An implementation of extensions to Freund and Schapire's AdaBoost algorithm and Friedman's gradient boosting machine. Includes regression methods for least squares, absolute loss, t-distribution loss, quantile regression, logistic, multinomial logistic, Poisson, Cox proportional hazards partial likelihood, AdaBoost exponential loss, Huberized hinge loss, and Learning to Rank measures (LambdaMart). Originally developed by Greg Ridgeway. Newer version available at github.com/gbm-developers/gbm3.","license":"GPL-2 | GPL-3 | file LICENSE [expanded from: GPL (≥ 2) | file LICENSE]","source":"R-Packages","title":"gbm: Generalized Boosted Regression Models","title-short":"gbm","URL":"https://cran.r-project.org/web/packages/gbm/index.html","version":"2.1.9","author":[{"family":"Greg","given":"Ridgeway"},{"family":"Edwards","given":"Daniel"},{"family":"Kriegler","given":"Brian"},{"family":"Schroedl","given":"Stefan"},{"family":"Southworth","given":"Harry"},{"family":"Greenwell","given":"Brandon"},{"family":"Boehmke","given":"Bradley"},{"family":"Cunningham","given":"Jay"},{"family":"Developers  (https://github.com/gbm-developers)","given":"G. B. M."}],"accessed":{"date-parts":[["2024",4,29]]},"issued":{"date-parts":[["2024",1,10]]}}}],"schema":"https://github.com/citation-style-language/schema/raw/master/csl-citation.json"} </w:instrText>
      </w:r>
      <w:r w:rsidRPr="00E252FB">
        <w:fldChar w:fldCharType="separate"/>
      </w:r>
      <w:r w:rsidRPr="00E252FB">
        <w:rPr>
          <w:rFonts w:cs="Times New Roman"/>
        </w:rPr>
        <w:t>(Greg et al., 2024)</w:t>
      </w:r>
      <w:r w:rsidRPr="00E252FB">
        <w:fldChar w:fldCharType="end"/>
      </w:r>
      <w:r w:rsidRPr="00E252FB">
        <w:t xml:space="preserve"> with the following formulation:</w:t>
      </w:r>
    </w:p>
    <w:p w14:paraId="7B041A07" w14:textId="574438E1" w:rsidR="005937FC" w:rsidRPr="00E252FB" w:rsidRDefault="00A44850" w:rsidP="00E10D21">
      <w:pPr>
        <w:jc w:val="center"/>
      </w:pPr>
      <m:oMathPara>
        <m:oMath>
          <m:r>
            <m:rPr>
              <m:sty m:val="p"/>
            </m:rPr>
            <w:rPr>
              <w:rFonts w:ascii="Cambria Math" w:hAnsi="Cambria Math"/>
            </w:rPr>
            <m:t>Y</m:t>
          </m:r>
          <m:r>
            <w:rPr>
              <w:rFonts w:ascii="Cambria Math" w:hAnsi="Cambria Math"/>
            </w:rPr>
            <m:t>=</m:t>
          </m:r>
          <m:r>
            <m:rPr>
              <m:sty m:val="p"/>
            </m:rPr>
            <w:rPr>
              <w:rFonts w:ascii="Cambria Math" w:hAnsi="Cambria Math"/>
            </w:rPr>
            <m:t>gbm</m:t>
          </m:r>
          <m:r>
            <w:rPr>
              <w:rFonts w:ascii="Cambria Math" w:hAnsi="Cambria Math"/>
            </w:rPr>
            <m:t>\left(y~.,data=data,</m:t>
          </m:r>
          <m:r>
            <m:rPr>
              <m:sty m:val="p"/>
            </m:rPr>
            <w:rPr>
              <w:rFonts w:ascii="Cambria Math" w:hAnsi="Cambria Math"/>
            </w:rPr>
            <m:t>distribution</m:t>
          </m:r>
          <m:r>
            <m:rPr>
              <m:sty m:val="p"/>
            </m:rPr>
            <w:rPr>
              <w:rFonts w:ascii="Cambria Math"/>
            </w:rPr>
            <m:t>=</m:t>
          </m:r>
          <m:r>
            <m:rPr>
              <m:sty m:val="p"/>
            </m:rPr>
            <w:rPr>
              <w:rFonts w:ascii="Cambria Math" w:hAnsi="Cambria Math"/>
            </w:rPr>
            <m:t>^</m:t>
          </m:r>
          <m:r>
            <m:rPr>
              <m:sty m:val="p"/>
            </m:rPr>
            <w:rPr>
              <w:rFonts w:ascii="Cambria Math"/>
            </w:rPr>
            <m:t>\prime g a u s s i a n</m:t>
          </m:r>
          <m:r>
            <m:rPr>
              <m:sty m:val="p"/>
            </m:rPr>
            <w:rPr>
              <w:rFonts w:ascii="Cambria Math" w:hAnsi="Cambria Math"/>
            </w:rPr>
            <m:t>^</m:t>
          </m:r>
          <m:r>
            <m:rPr>
              <m:sty m:val="p"/>
            </m:rPr>
            <w:rPr>
              <w:rFonts w:ascii="Cambria Math"/>
            </w:rPr>
            <m:t>\prime,</m:t>
          </m:r>
          <m:r>
            <m:rPr>
              <m:sty m:val="p"/>
            </m:rPr>
            <w:rPr>
              <w:rFonts w:ascii="Cambria Math" w:hAnsi="Cambria Math"/>
            </w:rPr>
            <m:t>n.trees=1000,shrinkage</m:t>
          </m:r>
          <m:r>
            <m:rPr>
              <m:sty m:val="p"/>
            </m:rPr>
            <w:rPr>
              <w:rFonts w:ascii="Cambria Math"/>
            </w:rPr>
            <m:t>=</m:t>
          </m:r>
          <m:r>
            <m:rPr>
              <m:sty m:val="p"/>
            </m:rPr>
            <w:rPr>
              <w:rFonts w:ascii="Cambria Math" w:hAnsi="Cambria Math"/>
            </w:rPr>
            <m:t>0.01,interaction.depth</m:t>
          </m:r>
          <m:r>
            <m:rPr>
              <m:sty m:val="p"/>
            </m:rPr>
            <w:rPr>
              <w:rFonts w:ascii="Cambria Math"/>
            </w:rPr>
            <m:t>=5,</m:t>
          </m:r>
          <m:r>
            <m:rPr>
              <m:sty m:val="p"/>
            </m:rPr>
            <w:rPr>
              <w:rFonts w:ascii="Cambria Math" w:hAnsi="Cambria Math"/>
            </w:rPr>
            <m:t>n.minobsinnode</m:t>
          </m:r>
          <m:r>
            <m:rPr>
              <m:sty m:val="p"/>
            </m:rPr>
            <w:rPr>
              <w:rFonts w:ascii="Cambria Math"/>
            </w:rPr>
            <m:t>=10</m:t>
          </m:r>
          <m:r>
            <m:rPr>
              <m:sty m:val="p"/>
            </m:rPr>
            <w:rPr>
              <w:rFonts w:ascii="Cambria Math" w:hAnsi="Cambria Math"/>
            </w:rPr>
            <m:t>\right)</m:t>
          </m:r>
        </m:oMath>
      </m:oMathPara>
    </w:p>
    <w:p w14:paraId="6BAE1F56" w14:textId="35A2FE8D" w:rsidR="004B6E06" w:rsidRPr="00E252FB" w:rsidRDefault="004B6E06" w:rsidP="005937FC">
      <w:r w:rsidRPr="00E252FB">
        <w:t xml:space="preserve">Where </w:t>
      </w:r>
      <w:proofErr w:type="spellStart"/>
      <w:proofErr w:type="gramStart"/>
      <w:r w:rsidRPr="00E252FB">
        <w:t>n.trees</w:t>
      </w:r>
      <w:proofErr w:type="spellEnd"/>
      <w:proofErr w:type="gramEnd"/>
      <w:r w:rsidRPr="00E252FB">
        <w:t xml:space="preserve"> is the number of trees, shrinkage is the learning rate, </w:t>
      </w:r>
      <w:proofErr w:type="spellStart"/>
      <w:r w:rsidRPr="00E252FB">
        <w:t>interaction.depth</w:t>
      </w:r>
      <w:proofErr w:type="spellEnd"/>
      <w:r w:rsidRPr="00E252FB">
        <w:t xml:space="preserve"> is the interaction depth, and </w:t>
      </w:r>
      <w:proofErr w:type="spellStart"/>
      <w:r w:rsidRPr="00E252FB">
        <w:t>n.minobsinnode</w:t>
      </w:r>
      <w:proofErr w:type="spellEnd"/>
      <w:r w:rsidRPr="00E252FB">
        <w:t xml:space="preserve"> is the minimum number of observations in terminal nodes.</w:t>
      </w:r>
    </w:p>
    <w:p w14:paraId="3608B393" w14:textId="5247A58B" w:rsidR="00FE3C73" w:rsidRPr="00E252FB" w:rsidRDefault="00FE3C73" w:rsidP="00B57637">
      <w:r w:rsidRPr="00E252FB">
        <w:t>Several parameters needed to be selected in GBMs to control the model complexity. To select the most appropriate parameters, we fitted the models using a grid search method with all possible combinations of the following parameters: number of trees (500 to 2000 in increments of 100), interaction depth (1, 3, 5, 6, 8</w:t>
      </w:r>
      <w:r w:rsidR="001A6C4A" w:rsidRPr="00E252FB">
        <w:t>,10</w:t>
      </w:r>
      <w:r w:rsidRPr="00E252FB">
        <w:t>), learning rate (0.01, 0.02, 0.05, 0.001, 0.002, 0.005), and minimum number of observations in terminal nodes (2, 5, 10, 20, 30, 50). We selected the model with the highest R² and lowest RMSE from all models.</w:t>
      </w:r>
    </w:p>
    <w:p w14:paraId="472AEB31" w14:textId="770532C5" w:rsidR="001A6C4A" w:rsidRPr="00E252FB" w:rsidRDefault="001A6C4A" w:rsidP="00032138">
      <w:r w:rsidRPr="00E252FB">
        <w:t xml:space="preserve">For ANN, we used the </w:t>
      </w:r>
      <w:proofErr w:type="spellStart"/>
      <w:r w:rsidRPr="00E252FB">
        <w:t>keras</w:t>
      </w:r>
      <w:proofErr w:type="spellEnd"/>
      <w:r w:rsidRPr="00E252FB">
        <w:t xml:space="preserve"> package </w:t>
      </w:r>
      <w:r w:rsidRPr="00E252FB">
        <w:fldChar w:fldCharType="begin"/>
      </w:r>
      <w:r w:rsidRPr="00E252FB">
        <w:instrText xml:space="preserve"> ADDIN ZOTERO_ITEM CSL_CITATION {"citationID":"Zy538uyg","properties":{"formattedCitation":"(Kalinowski et al., 2024)","plainCitation":"(Kalinowski et al., 2024)","noteIndex":0},"citationItems":[{"id":1141,"uris":["http://zotero.org/users/7119014/items/I77BKVQZ"],"itemData":{"id":1141,"type":"software","abstract":"Interface to 'Keras' &lt;https://keras.io&gt;, a high-level neural networks 'API'. 'Keras' was developed with a focus on enabling fast experimentation, supports both convolution based networks and recurrent networks (as well as combinations of the two), and runs seamlessly on both 'CPU' and 'GPU' devices.","license":"MIT + file LICENSE","source":"R-Packages","title":"keras: R Interface to 'Keras'","title-short":"keras","URL":"https://cran.r-project.org/web/packages/keras/index.html","version":"2.15.0","author":[{"family":"Kalinowski","given":"Tomasz"},{"family":"Falbel","given":"Daniel"},{"family":"Allaire","given":"J. J."},{"family":"Chollet","given":"François"},{"family":"RStudio","given":""},{"family":"Google","given":""},{"family":"Tang  [ctb","given":"Yuan"},{"family":"cph","given":""},{"family":"Bijl","given":"Wouter Van Der"},{"family":"Studer","given":"Martin"},{"family":"Keydana","given":"Sigrid"}],"accessed":{"date-parts":[["2024",4,30]]},"issued":{"date-parts":[["2024",4,20]]}}}],"schema":"https://github.com/citation-style-language/schema/raw/master/csl-citation.json"} </w:instrText>
      </w:r>
      <w:r w:rsidRPr="00E252FB">
        <w:fldChar w:fldCharType="separate"/>
      </w:r>
      <w:r w:rsidRPr="00E252FB">
        <w:rPr>
          <w:rFonts w:cs="Times New Roman"/>
        </w:rPr>
        <w:t>(Kalinowski et al., 2024)</w:t>
      </w:r>
      <w:r w:rsidRPr="00E252FB">
        <w:fldChar w:fldCharType="end"/>
      </w:r>
      <w:r w:rsidRPr="00E252FB">
        <w:t xml:space="preserve"> with a sequential architecture. The model consisted of an input layer with an </w:t>
      </w:r>
      <w:proofErr w:type="spellStart"/>
      <w:r w:rsidRPr="00E252FB">
        <w:t>input_shape</w:t>
      </w:r>
      <w:proofErr w:type="spellEnd"/>
      <w:r w:rsidRPr="00E252FB">
        <w:t xml:space="preserve"> of 15 corresponding to the 9 explanatory variables plus the 6 levels of land use that we transformed into independent binary variables. We introduced three hidden layers with 32, 16, and 8 dense neurons, respectively. The last layer consisted of a single neuron corresponding to the predicted variable (abundance, biomass, and richness). All layers were accompanied by a </w:t>
      </w:r>
      <w:proofErr w:type="spellStart"/>
      <w:r w:rsidRPr="00E252FB">
        <w:t>ReLU</w:t>
      </w:r>
      <w:proofErr w:type="spellEnd"/>
      <w:r w:rsidRPr="00E252FB">
        <w:t xml:space="preserve"> activation function except the last layer, which had a linear activation. We used the mean squared error (MSE) loss function and the RMSprop optimizer, while the mean absolute error (MAE) was used to evaluate model performance. For compilation, we defined an </w:t>
      </w:r>
      <w:proofErr w:type="gramStart"/>
      <w:r w:rsidRPr="00E252FB">
        <w:t>epochs</w:t>
      </w:r>
      <w:proofErr w:type="gramEnd"/>
      <w:r w:rsidRPr="00E252FB">
        <w:t xml:space="preserve"> of 100, a </w:t>
      </w:r>
      <w:proofErr w:type="spellStart"/>
      <w:r w:rsidRPr="00E252FB">
        <w:t>batch_size</w:t>
      </w:r>
      <w:proofErr w:type="spellEnd"/>
      <w:r w:rsidRPr="00E252FB">
        <w:t xml:space="preserve"> of 64, and a </w:t>
      </w:r>
      <w:proofErr w:type="spellStart"/>
      <w:r w:rsidRPr="00E252FB">
        <w:t>validation_split</w:t>
      </w:r>
      <w:proofErr w:type="spellEnd"/>
      <w:r w:rsidRPr="00E252FB">
        <w:t xml:space="preserve"> of 0.2. To mitigate overfitting, we added four dropout layers and introduced an </w:t>
      </w:r>
      <w:proofErr w:type="spellStart"/>
      <w:r w:rsidRPr="00E252FB">
        <w:t>EarlyStopping</w:t>
      </w:r>
      <w:proofErr w:type="spellEnd"/>
      <w:r w:rsidRPr="00E252FB">
        <w:t xml:space="preserve"> callback with a patience of 10 to monitor loss on the validation set and restore weights from the best model.</w:t>
      </w:r>
    </w:p>
    <w:p w14:paraId="39C95F43" w14:textId="3279FA69" w:rsidR="00D60BB9" w:rsidRPr="00E252FB" w:rsidRDefault="00C94FFA" w:rsidP="00EF28BC">
      <w:pPr>
        <w:pStyle w:val="Heading3"/>
      </w:pPr>
      <w:r w:rsidRPr="00E252FB">
        <w:lastRenderedPageBreak/>
        <w:t>Model evaluation</w:t>
      </w:r>
    </w:p>
    <w:p w14:paraId="2B2DED4D" w14:textId="51CD0654" w:rsidR="00C94FFA" w:rsidRDefault="00C94FFA" w:rsidP="00C94FFA">
      <w:r w:rsidRPr="00E252FB">
        <w:t xml:space="preserve">We evaluated the models using the cross-validation method by randomly assigning 80% of the data for model training and 20% for model validation </w:t>
      </w:r>
      <w:r w:rsidRPr="00E252FB">
        <w:fldChar w:fldCharType="begin"/>
      </w:r>
      <w:r w:rsidRPr="00E252FB">
        <w:instrText xml:space="preserve"> ADDIN ZOTERO_ITEM CSL_CITATION {"citationID":"EnZcJIOH","properties":{"unsorted":true,"formattedCitation":"(Horrigue et al., 2016; Hijmans &amp; Elith, 2019; Salako et al., 2023)","plainCitation":"(Horrigue et al., 2016; Hijmans &amp; Elith, 2019; Salako et al., 2023)","noteIndex":0},"citationItems":[{"id":1070,"uris":["http://zotero.org/users/7119014/items/GJIMX2AM"],"itemData":{"id":1070,"type":"article-journal","container-title":"Ecological Indicators","DOI":"10.1016/j.ecolind.2015.12.004","ISSN":"1470160X","journalAbbreviation":"Ecological Indicators","language":"en","page":"203-211","source":"DOI.org (Crossref)","title":"Predictive model of soil molecular microbial biomass","volume":"64","author":[{"family":"Horrigue","given":"Walid"},{"family":"Dequiedt","given":"Samuel"},{"family":"Chemidlin Prévost-Bouré","given":"Nicolas"},{"family":"Jolivet","given":"Claudy"},{"family":"Saby","given":"Nicolas P.A."},{"family":"Arrouays","given":"Dominique"},{"family":"Bispo","given":"Antonio"},{"family":"Maron","given":"Pierre-Alain"},{"family":"Ranjard","given":"Lionel"}],"issued":{"date-parts":[["2016",5]]}}},{"id":1148,"uris":["http://zotero.org/users/7119014/items/GVNH3GPA"],"itemData":{"id":1148,"type":"article-journal","language":"en","source":"Zotero","title":"Spatial Distribution Models","URL":"https://rspatial.org/sdm/SDM.pdf","author":[{"family":"Hijmans","given":"Robert J"},{"family":"Elith","given":"Jane"}],"issued":{"date-parts":[["2019"]]}}},{"id":987,"uris":["http://zotero.org/users/7119014/items/C9DXIQDG"],"itemData":{"id":987,"type":"article-journal","abstract":"Identifying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Pr="00E252FB">
        <w:fldChar w:fldCharType="separate"/>
      </w:r>
      <w:r w:rsidRPr="00E252FB">
        <w:rPr>
          <w:rFonts w:cs="Times New Roman"/>
        </w:rPr>
        <w:t>(Horrigue et al., 2016; Hijmans &amp; Elith, 2019; Salako et al., 2023)</w:t>
      </w:r>
      <w:r w:rsidRPr="00E252FB">
        <w:fldChar w:fldCharType="end"/>
      </w:r>
      <w:r w:rsidRPr="00E252FB">
        <w:t xml:space="preserve">. This method was chosen for its simplicity in understanding and implementation, as well as its quick compilation. Moreover, it proved to be effective in our case, as the dataset was large and the distribution between training and validation data was similar (non-significant Kolmogorov-Smirnov test, p-value &gt; 0.05) </w:t>
      </w:r>
      <w:r w:rsidRPr="00E252FB">
        <w:fldChar w:fldCharType="begin"/>
      </w:r>
      <w:r w:rsidRPr="00E252FB">
        <w:instrText xml:space="preserve"> ADDIN ZOTERO_ITEM CSL_CITATION {"citationID":"tD4J2kWk","properties":{"formattedCitation":"(Guisan et al., 2017)","plainCitation":"(Guisan et al., 2017)","noteIndex":0},"citationItems":[{"id":1104,"uris":["http://zotero.org/users/7119014/items/2D592TSI"],"itemData":{"id":1104,"type":"book","abstract":"This book introduces the key stages of niche-based habitat suitability model building, evaluation and prediction required for understanding and predicting future patterns of species and biodiversity. Beginning with the main theory behind ecological niches and species distributions, the book proceeds through all major steps of model building, from conceptualization and model training to model evaluation and spatio-temporal predictions. Extensive examples using R support graduate students and researchers in quantifying ecological niches and predicting species distributions with their own data, and help to address key environmental and conservation problems. Reflecting this highly active field of research, the book incorporates the latest developments from informatics and statistics, as well as using data from remote sources such as satellite imagery. A website at www.unil.ch/hsdm contains the codes and supporting material required to run the examples and teach courses.","collection-title":"Ecology, Biodiversity and Conservation","event-place":"Cambridge","ISBN":"978-0-521-76513-8","note":"DOI: 10.1017/9781139028271","publisher":"Cambridge University Press","publisher-place":"Cambridge","source":"Cambridge University Press","title":"Habitat Suitability and Distribution Models: With Applications in R","title-short":"Habitat Suitability and Distribution Models","URL":"https://www.cambridge.org/core/books/habitat-suitability-and-distribution-models/A17F74A3418DBF9ADA191A04C35187F9","author":[{"family":"Guisan","given":"Antoine"},{"family":"Thuiller","given":"Wilfried"},{"family":"Zimmermann","given":"Niklaus E."}],"accessed":{"date-parts":[["2024",1,30]]},"issued":{"date-parts":[["2017"]]}}}],"schema":"https://github.com/citation-style-language/schema/raw/master/csl-citation.json"} </w:instrText>
      </w:r>
      <w:r w:rsidRPr="00E252FB">
        <w:fldChar w:fldCharType="separate"/>
      </w:r>
      <w:r w:rsidRPr="00E252FB">
        <w:rPr>
          <w:rFonts w:cs="Times New Roman"/>
        </w:rPr>
        <w:t>(Guisan et al., 2017)</w:t>
      </w:r>
      <w:r w:rsidRPr="00E252FB">
        <w:fldChar w:fldCharType="end"/>
      </w:r>
      <w:r w:rsidRPr="00E252FB">
        <w:t>. The training data were used to fit the models, while the validation data were used to assess the predictive performances of the models. Since all our response variables were quantitative, we chose the coefficient of determination (R²)</w:t>
      </w:r>
      <w:r w:rsidR="004E3C4F">
        <w:t xml:space="preserve"> between </w:t>
      </w:r>
      <w:r w:rsidR="00C511C9">
        <w:t>o</w:t>
      </w:r>
      <w:r w:rsidR="000953D4" w:rsidRPr="000953D4">
        <w:t>bservations</w:t>
      </w:r>
      <w:r w:rsidR="00C511C9">
        <w:t xml:space="preserve"> and predictions</w:t>
      </w:r>
      <w:r w:rsidRPr="00E252FB">
        <w:t xml:space="preserve">, mean absolute error (MAE), and root mean square error (RMSE) as performance evaluation metrics. </w:t>
      </w:r>
    </w:p>
    <w:p w14:paraId="35983E11" w14:textId="77777777" w:rsidR="00EF513A" w:rsidRPr="00E252FB" w:rsidRDefault="00EF513A" w:rsidP="00EF513A">
      <m:oMathPara>
        <m:oMath>
          <m:r>
            <m:rPr>
              <m:nor/>
            </m:rPr>
            <w:rPr>
              <w:rFonts w:ascii="Cambria Math" w:hAnsi="Cambria Math"/>
            </w:rPr>
            <m:t>RMSE</m:t>
          </m:r>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rPr>
                        <m:t>2</m:t>
                      </m:r>
                    </m:sup>
                  </m:sSup>
                  <m:ctrlPr>
                    <w:rPr>
                      <w:rFonts w:ascii="Cambria Math" w:hAnsi="Cambria Math"/>
                      <w:i/>
                    </w:rPr>
                  </m:ctrlPr>
                </m:e>
              </m:nary>
            </m:e>
          </m:rad>
        </m:oMath>
      </m:oMathPara>
    </w:p>
    <w:p w14:paraId="2C91E1C0" w14:textId="77777777" w:rsidR="00EF513A" w:rsidRPr="00E252FB" w:rsidRDefault="00EF513A" w:rsidP="00EF513A">
      <m:oMathPara>
        <m:oMath>
          <m:r>
            <m:rPr>
              <m:nor/>
            </m:rPr>
            <w:rPr>
              <w:rFonts w:ascii="Cambria Math" w:hAnsi="Cambria Math"/>
            </w:rPr>
            <m:t>MAE</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ctrlPr>
                <w:rPr>
                  <w:rFonts w:ascii="Cambria Math" w:hAnsi="Cambria Math"/>
                  <w:i/>
                </w:rPr>
              </m:ctrlPr>
            </m:e>
          </m:nary>
        </m:oMath>
      </m:oMathPara>
    </w:p>
    <w:p w14:paraId="4950A35F" w14:textId="422365DA" w:rsidR="00EF513A" w:rsidRDefault="00C452A7" w:rsidP="00C452A7">
      <w:r>
        <w:t xml:space="preserve">where: n is the number of observations,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represents the actual value of observation </w:t>
      </w:r>
      <w:r w:rsidR="00F611E7">
        <w:t>(</w:t>
      </w:r>
      <w:proofErr w:type="spellStart"/>
      <w:r>
        <w:t>i</w:t>
      </w:r>
      <w:proofErr w:type="spellEnd"/>
      <w:r w:rsidR="00F611E7">
        <w:t>)</w:t>
      </w:r>
      <w:r>
        <w:t xml:space="preserve">, </w:t>
      </w:r>
      <m:oMath>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oMath>
      <w:r w:rsidR="00F701F3">
        <w:rPr>
          <w:rFonts w:eastAsiaTheme="minorEastAsia"/>
        </w:rPr>
        <w:t xml:space="preserve"> </w:t>
      </w:r>
      <w:r>
        <w:t>represents the predicted value of observation (i).</w:t>
      </w:r>
      <w:r w:rsidR="00B126A4">
        <w:t xml:space="preserve"> </w:t>
      </w:r>
    </w:p>
    <w:p w14:paraId="681C89FF" w14:textId="29E6F360" w:rsidR="00EF4A00" w:rsidRPr="00E252FB" w:rsidRDefault="00EF4A00" w:rsidP="00C452A7">
      <w:r w:rsidRPr="00E252FB">
        <w:t>The objective was to maximize R² and minimize MAE and RMSE.</w:t>
      </w:r>
    </w:p>
    <w:p w14:paraId="73361B69" w14:textId="6F57D158" w:rsidR="004E11C3" w:rsidRPr="00E252FB" w:rsidRDefault="008D6CD8" w:rsidP="0037320E">
      <w:pPr>
        <w:pStyle w:val="Heading2"/>
        <w:rPr>
          <w:rFonts w:cs="Times New Roman"/>
        </w:rPr>
      </w:pPr>
      <w:r w:rsidRPr="00E252FB">
        <w:rPr>
          <w:rFonts w:cs="Times New Roman"/>
        </w:rPr>
        <w:t>P</w:t>
      </w:r>
      <w:r w:rsidR="00B968D4" w:rsidRPr="00E252FB">
        <w:t>redictions and mapping of earthworm communities</w:t>
      </w:r>
    </w:p>
    <w:p w14:paraId="4AFA664F" w14:textId="6DD2F718" w:rsidR="0082433B" w:rsidRPr="00E252FB" w:rsidRDefault="00B968D4" w:rsidP="004E39F6">
      <w:r w:rsidRPr="00E252FB">
        <w:t xml:space="preserve">The prediction of earthworm communities was conducted using the best algorithm for each of the three earthworm variables (total abundance, total biomass, and taxonomic richness). Initially, we sampled at a resolution of approximately 800 m across the entire territory of metropolitan France (excluding Corsica). Subsequently, for each sampling point, we extracted the values of the different final variables included in the models from the databases detailed in section 2.1, whenever possible. Then, we used the `predict` function, providing the final model of the best algorithm and the extracted explanatory variables to predict earthworms. Finally, we presented the predicted values as maps of earthworm communities. For areas where earthworm communities could not be </w:t>
      </w:r>
      <w:r w:rsidRPr="00E252FB">
        <w:lastRenderedPageBreak/>
        <w:t xml:space="preserve">predicted, we performed interpolation using the Inverse Distance Weighting (IDW) method </w:t>
      </w:r>
      <w:r w:rsidRPr="00E252FB">
        <w:fldChar w:fldCharType="begin"/>
      </w:r>
      <w:r w:rsidRPr="00E252FB">
        <w:instrText xml:space="preserve"> ADDIN ZOTERO_ITEM CSL_CITATION {"citationID":"13SP2tO4","properties":{"formattedCitation":"(Pebesma &amp; Graeler, 2023)","plainCitation":"(Pebesma &amp; Graeler, 2023)","noteIndex":0},"citationItems":[{"id":1151,"uris":["http://zotero.org/users/7119014/items/4XECIJ9F"],"itemData":{"id":1151,"type":"software","abstract":"Variogram modelling; simple, ordinary and universal point or block (co)kriging; spatio-temporal kriging; sequential Gaussian or indicator (co)simulation; variogram and variogram map plotting utility functions; supports sf and stars.","license":"GPL-2 | GPL-3 [expanded from: GPL (≥ 2.0)]","source":"R-Packages","title":"gstat: Spatial and Spatio-Temporal Geostatistical Modelling, Prediction and Simulation","title-short":"gstat","URL":"https://cran.r-project.org/web/packages/gstat/","version":"2.1-1","author":[{"family":"Pebesma","given":"Edzer"},{"family":"Graeler","given":"Benedikt"}],"accessed":{"date-parts":[["2024",4,30]]},"issued":{"date-parts":[["2023",4,6]]}}}],"schema":"https://github.com/citation-style-language/schema/raw/master/csl-citation.json"} </w:instrText>
      </w:r>
      <w:r w:rsidRPr="00E252FB">
        <w:fldChar w:fldCharType="separate"/>
      </w:r>
      <w:r w:rsidRPr="00E252FB">
        <w:rPr>
          <w:rFonts w:cs="Times New Roman"/>
        </w:rPr>
        <w:t>(Pebesma &amp; Graeler, 2023)</w:t>
      </w:r>
      <w:r w:rsidRPr="00E252FB">
        <w:fldChar w:fldCharType="end"/>
      </w:r>
      <w:r w:rsidRPr="00E252FB">
        <w:t>.</w:t>
      </w:r>
    </w:p>
    <w:p w14:paraId="723010AA" w14:textId="0663289C" w:rsidR="0082433B" w:rsidRPr="00E252FB" w:rsidRDefault="00A44850" w:rsidP="004E39F6">
      <w:pPr>
        <w:rPr>
          <w:rFonts w:eastAsiaTheme="minorEastAsia"/>
        </w:rPr>
      </w:pPr>
      <m:oMathPara>
        <m:oMath>
          <m:r>
            <m:rPr>
              <m:sty m:val="p"/>
            </m:rPr>
            <w:rPr>
              <w:rFonts w:ascii="Cambria Math" w:eastAsiaTheme="minorEastAsia" w:hAnsi="Cambria Math"/>
            </w:rPr>
            <m:t>w</m:t>
          </m:r>
          <m:r>
            <w:rPr>
              <w:rFonts w:ascii="Cambria Math" w:eastAsiaTheme="minorEastAsia" w:hAnsi="Cambria Math"/>
            </w:rPr>
            <m:t>\left(x\right)=</m:t>
          </m:r>
          <m:r>
            <m:rPr>
              <m:sty m:val="p"/>
            </m:rPr>
            <w:rPr>
              <w:rFonts w:ascii="Cambria Math" w:eastAsiaTheme="minorEastAsia" w:hAnsi="Cambria Math"/>
            </w:rPr>
            <m:t>A/B</m:t>
          </m:r>
        </m:oMath>
      </m:oMathPara>
    </w:p>
    <w:p w14:paraId="60ED687E" w14:textId="167C6E1D" w:rsidR="001A4703" w:rsidRPr="00E252FB" w:rsidRDefault="00A44850" w:rsidP="004E39F6">
      <w:pPr>
        <w:rPr>
          <w:rFonts w:eastAsiaTheme="minorEastAsia"/>
        </w:rPr>
      </w:pPr>
      <m:oMathPara>
        <m:oMath>
          <m:r>
            <m:rPr>
              <m:sty m:val="p"/>
            </m:rPr>
            <w:rPr>
              <w:rFonts w:ascii="Cambria Math" w:hAnsi="Cambria Math"/>
            </w:rPr>
            <m:t>A</m:t>
          </m:r>
          <m:r>
            <w:rPr>
              <w:rFonts w:ascii="Cambria Math" w:hAnsi="Cambria Math"/>
            </w:rPr>
            <m:t>=\sum</m:t>
          </m:r>
          <m:r>
            <m:rPr>
              <m:sty m:val="p"/>
            </m:rPr>
            <w:rPr>
              <w:rFonts w:ascii="Cambria Math" w:hAnsi="Cambria Math"/>
            </w:rPr>
            <m:t>{\left(</m:t>
          </m:r>
          <m:r>
            <w:rPr>
              <w:rFonts w:ascii="Cambria Math" w:hAnsi="Cambria Math"/>
            </w:rPr>
            <m:t>i=1</m:t>
          </m:r>
          <m:r>
            <m:rPr>
              <m:sty m:val="p"/>
            </m:rPr>
            <w:rPr>
              <w:rFonts w:ascii="Cambria Math" w:hAnsi="Cambria Math"/>
            </w:rPr>
            <m:t>\right)</m:t>
          </m:r>
          <m:r>
            <w:rPr>
              <w:rFonts w:ascii="Cambria Math" w:hAnsi="Cambria Math"/>
            </w:rPr>
            <m:t>^nu_i</m:t>
          </m:r>
          <m:r>
            <m:rPr>
              <m:sty m:val="p"/>
            </m:rPr>
            <w:rPr>
              <w:rFonts w:ascii="Cambria Math" w:hAnsi="Cambria Math"/>
            </w:rPr>
            <m:t>}/</m:t>
          </m:r>
          <m:r>
            <w:rPr>
              <w:rFonts w:ascii="Cambria Math" w:hAnsi="Cambria Math"/>
            </w:rPr>
            <m:t>\left(d\left(x,x_i\right)\right)^p</m:t>
          </m:r>
        </m:oMath>
      </m:oMathPara>
    </w:p>
    <w:p w14:paraId="6EB3D592" w14:textId="18ACE7DD" w:rsidR="00713366" w:rsidRPr="00E252FB" w:rsidRDefault="00A44850" w:rsidP="004E39F6">
      <w:pPr>
        <w:rPr>
          <w:rFonts w:eastAsiaTheme="minorEastAsia"/>
        </w:rPr>
      </w:pPr>
      <m:oMathPara>
        <m:oMath>
          <m:r>
            <m:rPr>
              <m:sty m:val="p"/>
            </m:rPr>
            <w:rPr>
              <w:rFonts w:ascii="Cambria Math" w:hAnsi="Cambria Math"/>
            </w:rPr>
            <m:t>B</m:t>
          </m:r>
          <m:r>
            <w:rPr>
              <w:rFonts w:ascii="Cambria Math" w:hAnsi="Cambria Math"/>
            </w:rPr>
            <m:t>=\sum</m:t>
          </m:r>
          <m:r>
            <m:rPr>
              <m:sty m:val="p"/>
            </m:rPr>
            <w:rPr>
              <w:rFonts w:ascii="Cambria Math" w:hAnsi="Cambria Math"/>
            </w:rPr>
            <m:t>{\left(</m:t>
          </m:r>
          <m:r>
            <w:rPr>
              <w:rFonts w:ascii="Cambria Math" w:hAnsi="Cambria Math"/>
            </w:rPr>
            <m:t>i=1</m:t>
          </m:r>
          <m:r>
            <m:rPr>
              <m:sty m:val="p"/>
            </m:rPr>
            <w:rPr>
              <w:rFonts w:ascii="Cambria Math" w:hAnsi="Cambria Math"/>
            </w:rPr>
            <m:t>\right)</m:t>
          </m:r>
          <m:r>
            <w:rPr>
              <w:rFonts w:ascii="Cambria Math" w:hAnsi="Cambria Math"/>
            </w:rPr>
            <m:t>^n1</m:t>
          </m:r>
          <m:r>
            <m:rPr>
              <m:sty m:val="p"/>
            </m:rPr>
            <w:rPr>
              <w:rFonts w:ascii="Cambria Math" w:hAnsi="Cambria Math"/>
            </w:rPr>
            <m:t>/</m:t>
          </m:r>
          <m:r>
            <w:rPr>
              <w:rFonts w:ascii="Cambria Math" w:hAnsi="Cambria Math"/>
            </w:rPr>
            <m:t>\left(d\left(x,x_i\right)\right)^p</m:t>
          </m:r>
          <m:r>
            <m:rPr>
              <m:sty m:val="p"/>
            </m:rPr>
            <w:rPr>
              <w:rFonts w:ascii="Cambria Math" w:hAnsi="Cambria Math"/>
            </w:rPr>
            <m:t>}</m:t>
          </m:r>
        </m:oMath>
      </m:oMathPara>
    </w:p>
    <w:p w14:paraId="00AA1571" w14:textId="31491AA7" w:rsidR="00DA0A38" w:rsidRPr="00E252FB" w:rsidRDefault="007F6063" w:rsidP="00E06937">
      <w:pPr>
        <w:rPr>
          <w:rFonts w:eastAsiaTheme="minorEastAsia"/>
        </w:rPr>
      </w:pPr>
      <w:proofErr w:type="gramStart"/>
      <w:r w:rsidRPr="00E252FB">
        <w:rPr>
          <w:rFonts w:eastAsiaTheme="minorEastAsia"/>
        </w:rPr>
        <w:t>Where :</w:t>
      </w:r>
      <w:proofErr w:type="gramEnd"/>
      <w:r w:rsidRPr="00E252FB">
        <w:rPr>
          <w:rFonts w:eastAsiaTheme="minorEastAsia"/>
        </w:rPr>
        <w:t xml:space="preserve"> w is the predicted value, d is the distance, x is the unknown point, xi is the n</w:t>
      </w:r>
      <w:r w:rsidR="0024475C" w:rsidRPr="00E252FB">
        <w:rPr>
          <w:rFonts w:eastAsiaTheme="minorEastAsia"/>
        </w:rPr>
        <w:t>-</w:t>
      </w:r>
      <w:proofErr w:type="spellStart"/>
      <w:r w:rsidRPr="00E252FB">
        <w:rPr>
          <w:rFonts w:eastAsiaTheme="minorEastAsia"/>
        </w:rPr>
        <w:t>th</w:t>
      </w:r>
      <w:proofErr w:type="spellEnd"/>
      <w:r w:rsidR="00844B5A" w:rsidRPr="00E252FB">
        <w:rPr>
          <w:rFonts w:eastAsiaTheme="minorEastAsia"/>
        </w:rPr>
        <w:t xml:space="preserve"> know point, </w:t>
      </w:r>
      <w:proofErr w:type="spellStart"/>
      <w:r w:rsidR="00844B5A" w:rsidRPr="00E252FB">
        <w:rPr>
          <w:rFonts w:eastAsiaTheme="minorEastAsia"/>
        </w:rPr>
        <w:t>ui</w:t>
      </w:r>
      <w:proofErr w:type="spellEnd"/>
      <w:r w:rsidR="00844B5A" w:rsidRPr="00E252FB">
        <w:rPr>
          <w:rFonts w:eastAsiaTheme="minorEastAsia"/>
        </w:rPr>
        <w:t xml:space="preserve"> is </w:t>
      </w:r>
      <w:proofErr w:type="spellStart"/>
      <w:r w:rsidR="00844B5A" w:rsidRPr="00E252FB">
        <w:rPr>
          <w:rFonts w:eastAsiaTheme="minorEastAsia"/>
        </w:rPr>
        <w:t>th</w:t>
      </w:r>
      <w:proofErr w:type="spellEnd"/>
      <w:r w:rsidR="00844B5A" w:rsidRPr="00E252FB">
        <w:rPr>
          <w:rFonts w:eastAsiaTheme="minorEastAsia"/>
        </w:rPr>
        <w:t xml:space="preserve"> value of the know</w:t>
      </w:r>
      <w:r w:rsidR="009B17CD" w:rsidRPr="00E252FB">
        <w:rPr>
          <w:rFonts w:eastAsiaTheme="minorEastAsia"/>
        </w:rPr>
        <w:t xml:space="preserve"> point, p is the power</w:t>
      </w:r>
      <w:r w:rsidR="005D6135" w:rsidRPr="00E252FB">
        <w:rPr>
          <w:rFonts w:eastAsiaTheme="minorEastAsia"/>
        </w:rPr>
        <w:t xml:space="preserve"> coefficient</w:t>
      </w:r>
      <w:r w:rsidR="00443B2C" w:rsidRPr="00E252FB">
        <w:rPr>
          <w:rFonts w:eastAsiaTheme="minorEastAsia"/>
        </w:rPr>
        <w:t xml:space="preserve"> </w:t>
      </w:r>
      <w:r w:rsidR="00002410" w:rsidRPr="00E252FB">
        <w:rPr>
          <w:rFonts w:eastAsiaTheme="minorEastAsia"/>
        </w:rPr>
        <w:t>(</w:t>
      </w:r>
      <w:r w:rsidR="00E51ED1" w:rsidRPr="00E252FB">
        <w:rPr>
          <w:rFonts w:eastAsiaTheme="minorEastAsia"/>
        </w:rPr>
        <w:t xml:space="preserve">p = </w:t>
      </w:r>
      <w:r w:rsidR="00F36E39" w:rsidRPr="00E252FB">
        <w:rPr>
          <w:rFonts w:eastAsiaTheme="minorEastAsia"/>
        </w:rPr>
        <w:t xml:space="preserve">10) </w:t>
      </w:r>
      <w:r w:rsidR="00443B2C" w:rsidRPr="00E252FB">
        <w:rPr>
          <w:rFonts w:eastAsiaTheme="minorEastAsia"/>
        </w:rPr>
        <w:t>and n is the number of sampling points used for interpolation</w:t>
      </w:r>
      <w:r w:rsidR="00F36E39" w:rsidRPr="00E252FB">
        <w:rPr>
          <w:rFonts w:eastAsiaTheme="minorEastAsia"/>
        </w:rPr>
        <w:t xml:space="preserve"> (</w:t>
      </w:r>
      <w:r w:rsidR="00E51ED1" w:rsidRPr="00E252FB">
        <w:rPr>
          <w:rFonts w:eastAsiaTheme="minorEastAsia"/>
        </w:rPr>
        <w:t xml:space="preserve">n = </w:t>
      </w:r>
      <w:r w:rsidR="00F36E39" w:rsidRPr="00E252FB">
        <w:rPr>
          <w:rFonts w:eastAsiaTheme="minorEastAsia"/>
        </w:rPr>
        <w:t>10)</w:t>
      </w:r>
      <w:r w:rsidR="005D6135" w:rsidRPr="00E252FB">
        <w:rPr>
          <w:rFonts w:eastAsiaTheme="minorEastAsia"/>
        </w:rPr>
        <w:t>.</w:t>
      </w:r>
      <w:r w:rsidR="00F7426F" w:rsidRPr="00E252FB">
        <w:rPr>
          <w:rFonts w:eastAsiaTheme="minorEastAsia"/>
        </w:rPr>
        <w:t xml:space="preserve"> </w:t>
      </w:r>
      <w:r w:rsidR="00E06937" w:rsidRPr="00E252FB">
        <w:rPr>
          <w:rFonts w:eastAsiaTheme="minorEastAsia" w:cs="Times New Roman"/>
        </w:rPr>
        <w:t xml:space="preserve">The parameter </w:t>
      </w:r>
      <w:r w:rsidR="00E06937" w:rsidRPr="00E252FB">
        <w:rPr>
          <w:rFonts w:ascii="Cambria Math" w:eastAsiaTheme="minorEastAsia" w:hAnsi="Cambria Math" w:cs="Cambria Math"/>
        </w:rPr>
        <w:t>𝑝</w:t>
      </w:r>
      <w:r w:rsidR="00E06937" w:rsidRPr="00E252FB">
        <w:rPr>
          <w:rFonts w:eastAsiaTheme="minorEastAsia" w:cs="Times New Roman"/>
        </w:rPr>
        <w:t xml:space="preserve"> is the weighting parameter that is applied as an exponent to the distance. A large </w:t>
      </w:r>
      <w:r w:rsidR="00E06937" w:rsidRPr="00E252FB">
        <w:rPr>
          <w:rFonts w:ascii="Cambria Math" w:eastAsiaTheme="minorEastAsia" w:hAnsi="Cambria Math" w:cs="Cambria Math"/>
        </w:rPr>
        <w:t>𝑝</w:t>
      </w:r>
      <w:r w:rsidR="00E06937" w:rsidRPr="00E252FB">
        <w:rPr>
          <w:rFonts w:eastAsiaTheme="minorEastAsia" w:cs="Times New Roman"/>
        </w:rPr>
        <w:t xml:space="preserve"> indicates that nearby points exert a much greater influence on the unsampled location than a distant point.</w:t>
      </w:r>
    </w:p>
    <w:p w14:paraId="7B911FAA" w14:textId="7335FD54" w:rsidR="006E503C" w:rsidRPr="00E252FB" w:rsidRDefault="006E503C" w:rsidP="00DA0A38">
      <w:pPr>
        <w:rPr>
          <w:rFonts w:eastAsiaTheme="minorEastAsia"/>
        </w:rPr>
      </w:pPr>
      <w:r w:rsidRPr="00E252FB">
        <w:rPr>
          <w:rFonts w:eastAsiaTheme="minorEastAsia"/>
        </w:rPr>
        <w:t xml:space="preserve">To estimate the approximate biodiversity of the earthworm community, we overlaid the map of total abundance with the map of total taxonomic richness </w:t>
      </w:r>
      <w:r w:rsidR="004D6C87" w:rsidRPr="00E252FB">
        <w:rPr>
          <w:rFonts w:eastAsiaTheme="minorEastAsia"/>
        </w:rPr>
        <w:fldChar w:fldCharType="begin"/>
      </w:r>
      <w:r w:rsidR="004D6C87" w:rsidRPr="00E252FB">
        <w:rPr>
          <w:rFonts w:eastAsiaTheme="minorEastAsia"/>
        </w:rPr>
        <w:instrText xml:space="preserve"> ADDIN ZOTERO_ITEM CSL_CITATION {"citationID":"gvOtWXvW","properties":{"formattedCitation":"(Salako et al., 2023)","plainCitation":"(Salako et al., 2023)","noteIndex":0},"citationItems":[{"id":987,"uris":["http://zotero.org/users/7119014/items/C9DXIQDG"],"itemData":{"id":987,"type":"article-journal","abstract":"Identifying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004D6C87" w:rsidRPr="00E252FB">
        <w:rPr>
          <w:rFonts w:eastAsiaTheme="minorEastAsia"/>
        </w:rPr>
        <w:fldChar w:fldCharType="separate"/>
      </w:r>
      <w:r w:rsidR="004D6C87" w:rsidRPr="00E252FB">
        <w:rPr>
          <w:rFonts w:cs="Times New Roman"/>
        </w:rPr>
        <w:t>(Salako et al., 2023)</w:t>
      </w:r>
      <w:r w:rsidR="004D6C87" w:rsidRPr="00E252FB">
        <w:rPr>
          <w:rFonts w:eastAsiaTheme="minorEastAsia"/>
        </w:rPr>
        <w:fldChar w:fldCharType="end"/>
      </w:r>
      <w:r w:rsidR="004D6C87" w:rsidRPr="00E252FB">
        <w:rPr>
          <w:rFonts w:eastAsiaTheme="minorEastAsia"/>
        </w:rPr>
        <w:t>.</w:t>
      </w:r>
    </w:p>
    <w:p w14:paraId="27BDB0D0" w14:textId="0CC16DA9" w:rsidR="00812890" w:rsidRPr="00E252FB" w:rsidRDefault="005937F5" w:rsidP="0037320E">
      <w:pPr>
        <w:pStyle w:val="Heading1"/>
        <w:rPr>
          <w:rFonts w:cs="Times New Roman"/>
        </w:rPr>
      </w:pPr>
      <w:r w:rsidRPr="00E252FB">
        <w:t>Results</w:t>
      </w:r>
    </w:p>
    <w:p w14:paraId="3EA9FF34" w14:textId="34E7B451" w:rsidR="003F513B" w:rsidRPr="00E252FB" w:rsidRDefault="005937F5" w:rsidP="0037320E">
      <w:pPr>
        <w:pStyle w:val="Heading2"/>
        <w:rPr>
          <w:rFonts w:cs="Times New Roman"/>
        </w:rPr>
      </w:pPr>
      <w:r w:rsidRPr="00E252FB">
        <w:t xml:space="preserve">Model </w:t>
      </w:r>
      <w:r w:rsidR="00C13E73" w:rsidRPr="00E252FB">
        <w:t>p</w:t>
      </w:r>
      <w:r w:rsidRPr="00E252FB">
        <w:t>erformance</w:t>
      </w:r>
    </w:p>
    <w:p w14:paraId="758E637B" w14:textId="7FA13AD4" w:rsidR="005937F5" w:rsidRPr="00E252FB" w:rsidRDefault="005937F5" w:rsidP="005937F5">
      <w:r w:rsidRPr="00E252FB">
        <w:t xml:space="preserve">The performances of the five models varied with an average R² of 0.33 (± 0.10 </w:t>
      </w:r>
      <w:proofErr w:type="spellStart"/>
      <w:r w:rsidRPr="00E252FB">
        <w:t>sd</w:t>
      </w:r>
      <w:proofErr w:type="spellEnd"/>
      <w:r w:rsidRPr="00E252FB">
        <w:t xml:space="preserve">) for abundance, 0.28 (± 0.05 </w:t>
      </w:r>
      <w:proofErr w:type="spellStart"/>
      <w:r w:rsidRPr="00E252FB">
        <w:t>sd</w:t>
      </w:r>
      <w:proofErr w:type="spellEnd"/>
      <w:r w:rsidRPr="00E252FB">
        <w:t xml:space="preserve">) for biomass, and 0.48 (± 0.11 </w:t>
      </w:r>
      <w:proofErr w:type="spellStart"/>
      <w:r w:rsidRPr="00E252FB">
        <w:t>sd</w:t>
      </w:r>
      <w:proofErr w:type="spellEnd"/>
      <w:r w:rsidRPr="00E252FB">
        <w:t xml:space="preserve">) for total taxonomic richness. In terms of RMSE, the average was 29 ind./m² (± 4.32 </w:t>
      </w:r>
      <w:proofErr w:type="spellStart"/>
      <w:r w:rsidRPr="00E252FB">
        <w:t>sd</w:t>
      </w:r>
      <w:proofErr w:type="spellEnd"/>
      <w:r w:rsidRPr="00E252FB">
        <w:t xml:space="preserve">) for abundance, 9.95 g/m² (± 3.69 </w:t>
      </w:r>
      <w:proofErr w:type="spellStart"/>
      <w:r w:rsidRPr="00E252FB">
        <w:t>sd</w:t>
      </w:r>
      <w:proofErr w:type="spellEnd"/>
      <w:r w:rsidRPr="00E252FB">
        <w:t xml:space="preserve">) for biomass, and 1.92 species per plot (± 0.21 </w:t>
      </w:r>
      <w:proofErr w:type="spellStart"/>
      <w:r w:rsidRPr="00E252FB">
        <w:t>sd</w:t>
      </w:r>
      <w:proofErr w:type="spellEnd"/>
      <w:r w:rsidRPr="00E252FB">
        <w:t>) for total taxonomic richness (Table 2). For all three earthworm parameters, RF and GBM exhibited the highest R² and the lowest RMSE, indicating good prediction of the earthworm community (Table 2). The evaluation of predictive model performances showed that GLM was the least performing model in predicting abundance, biomass, and richness of earthworms. Fig. 3 illustrates the comparison between observed values (validation dataset) and values predicted by the best models. For total abundance, the best model was RF with an R² of 0.43. Similarly, the best model for total biomass was RF with an R² of 0.35. For total richness, the best models were RF and GBM, both with identical R² values of 0.59.</w:t>
      </w:r>
    </w:p>
    <w:p w14:paraId="72B70F9C" w14:textId="6C8BDB6B" w:rsidR="00903BC7" w:rsidRPr="00E252FB" w:rsidRDefault="00A82E16" w:rsidP="00903BC7">
      <w:pPr>
        <w:pStyle w:val="Heading4"/>
      </w:pPr>
      <w:r w:rsidRPr="00E252FB">
        <w:rPr>
          <w:b/>
          <w:bCs/>
        </w:rPr>
        <w:lastRenderedPageBreak/>
        <w:t xml:space="preserve">Table </w:t>
      </w:r>
      <w:proofErr w:type="gramStart"/>
      <w:r w:rsidR="00754D9E" w:rsidRPr="00E252FB">
        <w:rPr>
          <w:b/>
          <w:bCs/>
        </w:rPr>
        <w:t>2</w:t>
      </w:r>
      <w:r w:rsidRPr="00E252FB">
        <w:rPr>
          <w:b/>
          <w:bCs/>
        </w:rPr>
        <w:t> :</w:t>
      </w:r>
      <w:proofErr w:type="gramEnd"/>
      <w:r w:rsidRPr="00E252FB">
        <w:t xml:space="preserve"> </w:t>
      </w:r>
      <w:r w:rsidR="00C13E73" w:rsidRPr="00E252FB">
        <w:t>Performance measures of prediction on the validation dataset for different model algorithms tested on the three response variables of the earthworm community. Bold values indicate the best algorithm for each earthworm variable.</w:t>
      </w:r>
    </w:p>
    <w:tbl>
      <w:tblPr>
        <w:tblW w:w="6200" w:type="dxa"/>
        <w:jc w:val="center"/>
        <w:tblCellMar>
          <w:left w:w="70" w:type="dxa"/>
          <w:right w:w="70" w:type="dxa"/>
        </w:tblCellMar>
        <w:tblLook w:val="04A0" w:firstRow="1" w:lastRow="0" w:firstColumn="1" w:lastColumn="0" w:noHBand="0" w:noVBand="1"/>
      </w:tblPr>
      <w:tblGrid>
        <w:gridCol w:w="1380"/>
        <w:gridCol w:w="2240"/>
        <w:gridCol w:w="860"/>
        <w:gridCol w:w="1720"/>
      </w:tblGrid>
      <w:tr w:rsidR="00BA080E" w:rsidRPr="00E252FB" w14:paraId="05841D4D" w14:textId="77777777" w:rsidTr="00BA080E">
        <w:trPr>
          <w:trHeight w:val="384"/>
          <w:jc w:val="center"/>
        </w:trPr>
        <w:tc>
          <w:tcPr>
            <w:tcW w:w="1380" w:type="dxa"/>
            <w:tcBorders>
              <w:top w:val="single" w:sz="4" w:space="0" w:color="auto"/>
              <w:left w:val="nil"/>
              <w:bottom w:val="nil"/>
              <w:right w:val="nil"/>
            </w:tcBorders>
            <w:shd w:val="clear" w:color="auto" w:fill="auto"/>
            <w:noWrap/>
            <w:vAlign w:val="center"/>
            <w:hideMark/>
          </w:tcPr>
          <w:p w14:paraId="38F4C9BE" w14:textId="77777777" w:rsidR="00BA080E" w:rsidRPr="00E252FB"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Algorithms</w:t>
            </w:r>
          </w:p>
        </w:tc>
        <w:tc>
          <w:tcPr>
            <w:tcW w:w="2240" w:type="dxa"/>
            <w:tcBorders>
              <w:top w:val="single" w:sz="4" w:space="0" w:color="auto"/>
              <w:left w:val="nil"/>
              <w:bottom w:val="nil"/>
              <w:right w:val="nil"/>
            </w:tcBorders>
            <w:shd w:val="clear" w:color="auto" w:fill="auto"/>
            <w:vAlign w:val="center"/>
            <w:hideMark/>
          </w:tcPr>
          <w:p w14:paraId="21EC4701" w14:textId="77777777" w:rsidR="00BA080E" w:rsidRPr="00E252FB"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Response variables</w:t>
            </w:r>
          </w:p>
        </w:tc>
        <w:tc>
          <w:tcPr>
            <w:tcW w:w="860" w:type="dxa"/>
            <w:tcBorders>
              <w:top w:val="single" w:sz="4" w:space="0" w:color="auto"/>
              <w:left w:val="nil"/>
              <w:bottom w:val="single" w:sz="4" w:space="0" w:color="auto"/>
              <w:right w:val="nil"/>
            </w:tcBorders>
            <w:shd w:val="clear" w:color="auto" w:fill="auto"/>
            <w:noWrap/>
            <w:vAlign w:val="center"/>
            <w:hideMark/>
          </w:tcPr>
          <w:p w14:paraId="006CC80F" w14:textId="77777777" w:rsidR="00BA080E" w:rsidRPr="00E252FB"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R²</w:t>
            </w:r>
          </w:p>
        </w:tc>
        <w:tc>
          <w:tcPr>
            <w:tcW w:w="1720" w:type="dxa"/>
            <w:tcBorders>
              <w:top w:val="single" w:sz="4" w:space="0" w:color="auto"/>
              <w:left w:val="nil"/>
              <w:bottom w:val="single" w:sz="4" w:space="0" w:color="auto"/>
              <w:right w:val="nil"/>
            </w:tcBorders>
            <w:shd w:val="clear" w:color="auto" w:fill="auto"/>
            <w:noWrap/>
            <w:vAlign w:val="center"/>
            <w:hideMark/>
          </w:tcPr>
          <w:p w14:paraId="6843A0FE" w14:textId="77777777" w:rsidR="00BA080E" w:rsidRPr="00E252FB"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RMSE</w:t>
            </w:r>
          </w:p>
        </w:tc>
      </w:tr>
      <w:tr w:rsidR="00BA080E" w:rsidRPr="00E252FB" w14:paraId="09203D5C" w14:textId="77777777" w:rsidTr="00BA080E">
        <w:trPr>
          <w:trHeight w:val="312"/>
          <w:jc w:val="center"/>
        </w:trPr>
        <w:tc>
          <w:tcPr>
            <w:tcW w:w="1380" w:type="dxa"/>
            <w:tcBorders>
              <w:top w:val="single" w:sz="4" w:space="0" w:color="auto"/>
              <w:left w:val="nil"/>
              <w:bottom w:val="nil"/>
              <w:right w:val="nil"/>
            </w:tcBorders>
            <w:shd w:val="clear" w:color="auto" w:fill="auto"/>
            <w:noWrap/>
            <w:vAlign w:val="center"/>
            <w:hideMark/>
          </w:tcPr>
          <w:p w14:paraId="3864B690"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GLM</w:t>
            </w:r>
          </w:p>
        </w:tc>
        <w:tc>
          <w:tcPr>
            <w:tcW w:w="2240" w:type="dxa"/>
            <w:vMerge w:val="restart"/>
            <w:tcBorders>
              <w:top w:val="single" w:sz="4" w:space="0" w:color="auto"/>
              <w:left w:val="nil"/>
              <w:bottom w:val="nil"/>
              <w:right w:val="nil"/>
            </w:tcBorders>
            <w:shd w:val="clear" w:color="auto" w:fill="auto"/>
            <w:noWrap/>
            <w:vAlign w:val="center"/>
            <w:hideMark/>
          </w:tcPr>
          <w:p w14:paraId="310E0868" w14:textId="77777777" w:rsidR="00C25F30" w:rsidRPr="00E252FB" w:rsidRDefault="00C25F30"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Total</w:t>
            </w:r>
          </w:p>
          <w:p w14:paraId="0ABC96DF" w14:textId="5D6CFBDD" w:rsidR="00BA080E" w:rsidRPr="00E252FB" w:rsidRDefault="00C25F30"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a</w:t>
            </w:r>
            <w:r w:rsidR="00BA080E" w:rsidRPr="00E252FB">
              <w:rPr>
                <w:rFonts w:ascii="Calibri" w:eastAsia="Times New Roman" w:hAnsi="Calibri" w:cs="Calibri"/>
                <w:color w:val="000000"/>
                <w:kern w:val="0"/>
                <w:szCs w:val="24"/>
                <w:lang w:eastAsia="fr-FR"/>
                <w14:ligatures w14:val="none"/>
              </w:rPr>
              <w:t>bundance</w:t>
            </w:r>
          </w:p>
        </w:tc>
        <w:tc>
          <w:tcPr>
            <w:tcW w:w="860" w:type="dxa"/>
            <w:tcBorders>
              <w:top w:val="nil"/>
              <w:left w:val="nil"/>
              <w:bottom w:val="nil"/>
              <w:right w:val="nil"/>
            </w:tcBorders>
            <w:shd w:val="clear" w:color="auto" w:fill="auto"/>
            <w:noWrap/>
            <w:vAlign w:val="center"/>
            <w:hideMark/>
          </w:tcPr>
          <w:p w14:paraId="7FF49358"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0.22</w:t>
            </w:r>
          </w:p>
        </w:tc>
        <w:tc>
          <w:tcPr>
            <w:tcW w:w="1720" w:type="dxa"/>
            <w:tcBorders>
              <w:top w:val="nil"/>
              <w:left w:val="nil"/>
              <w:bottom w:val="nil"/>
              <w:right w:val="nil"/>
            </w:tcBorders>
            <w:shd w:val="clear" w:color="auto" w:fill="auto"/>
            <w:noWrap/>
            <w:vAlign w:val="center"/>
            <w:hideMark/>
          </w:tcPr>
          <w:p w14:paraId="64C588DC"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34.57</w:t>
            </w:r>
          </w:p>
        </w:tc>
      </w:tr>
      <w:tr w:rsidR="00BA080E" w:rsidRPr="00E252FB" w14:paraId="53532E0A"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34DEB94E"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GAM</w:t>
            </w:r>
          </w:p>
        </w:tc>
        <w:tc>
          <w:tcPr>
            <w:tcW w:w="2240" w:type="dxa"/>
            <w:vMerge/>
            <w:tcBorders>
              <w:top w:val="single" w:sz="4" w:space="0" w:color="auto"/>
              <w:left w:val="nil"/>
              <w:bottom w:val="nil"/>
              <w:right w:val="nil"/>
            </w:tcBorders>
            <w:vAlign w:val="center"/>
            <w:hideMark/>
          </w:tcPr>
          <w:p w14:paraId="5F77B8BB" w14:textId="77777777" w:rsidR="00BA080E" w:rsidRPr="00E252FB"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0EF6BE25"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0.26</w:t>
            </w:r>
          </w:p>
        </w:tc>
        <w:tc>
          <w:tcPr>
            <w:tcW w:w="1720" w:type="dxa"/>
            <w:tcBorders>
              <w:top w:val="nil"/>
              <w:left w:val="nil"/>
              <w:bottom w:val="nil"/>
              <w:right w:val="nil"/>
            </w:tcBorders>
            <w:shd w:val="clear" w:color="auto" w:fill="auto"/>
            <w:noWrap/>
            <w:vAlign w:val="center"/>
            <w:hideMark/>
          </w:tcPr>
          <w:p w14:paraId="2AE94D9C"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33.06</w:t>
            </w:r>
          </w:p>
        </w:tc>
      </w:tr>
      <w:tr w:rsidR="00BA080E" w:rsidRPr="00E252FB" w14:paraId="3C17C51D"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391A23B4" w14:textId="77777777" w:rsidR="00BA080E" w:rsidRPr="00E252FB"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RF</w:t>
            </w:r>
          </w:p>
        </w:tc>
        <w:tc>
          <w:tcPr>
            <w:tcW w:w="2240" w:type="dxa"/>
            <w:vMerge/>
            <w:tcBorders>
              <w:top w:val="single" w:sz="4" w:space="0" w:color="auto"/>
              <w:left w:val="nil"/>
              <w:bottom w:val="nil"/>
              <w:right w:val="nil"/>
            </w:tcBorders>
            <w:vAlign w:val="center"/>
            <w:hideMark/>
          </w:tcPr>
          <w:p w14:paraId="3AD883B6" w14:textId="77777777" w:rsidR="00BA080E" w:rsidRPr="00E252FB"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1F41B65C" w14:textId="77777777" w:rsidR="00BA080E" w:rsidRPr="00E252FB"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0.43</w:t>
            </w:r>
          </w:p>
        </w:tc>
        <w:tc>
          <w:tcPr>
            <w:tcW w:w="1720" w:type="dxa"/>
            <w:tcBorders>
              <w:top w:val="nil"/>
              <w:left w:val="nil"/>
              <w:bottom w:val="nil"/>
              <w:right w:val="nil"/>
            </w:tcBorders>
            <w:shd w:val="clear" w:color="auto" w:fill="auto"/>
            <w:noWrap/>
            <w:vAlign w:val="center"/>
            <w:hideMark/>
          </w:tcPr>
          <w:p w14:paraId="36FDA7B6" w14:textId="77777777" w:rsidR="00BA080E" w:rsidRPr="00E252FB"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25.20</w:t>
            </w:r>
          </w:p>
        </w:tc>
      </w:tr>
      <w:tr w:rsidR="00BA080E" w:rsidRPr="00E252FB" w14:paraId="7F12CD01"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76F1B4C3"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GBM</w:t>
            </w:r>
          </w:p>
        </w:tc>
        <w:tc>
          <w:tcPr>
            <w:tcW w:w="2240" w:type="dxa"/>
            <w:vMerge/>
            <w:tcBorders>
              <w:top w:val="single" w:sz="4" w:space="0" w:color="auto"/>
              <w:left w:val="nil"/>
              <w:bottom w:val="nil"/>
              <w:right w:val="nil"/>
            </w:tcBorders>
            <w:vAlign w:val="center"/>
            <w:hideMark/>
          </w:tcPr>
          <w:p w14:paraId="31B084C4" w14:textId="77777777" w:rsidR="00BA080E" w:rsidRPr="00E252FB"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5BE22AA5"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0.43</w:t>
            </w:r>
          </w:p>
        </w:tc>
        <w:tc>
          <w:tcPr>
            <w:tcW w:w="1720" w:type="dxa"/>
            <w:tcBorders>
              <w:top w:val="nil"/>
              <w:left w:val="nil"/>
              <w:bottom w:val="nil"/>
              <w:right w:val="nil"/>
            </w:tcBorders>
            <w:shd w:val="clear" w:color="auto" w:fill="auto"/>
            <w:noWrap/>
            <w:vAlign w:val="center"/>
            <w:hideMark/>
          </w:tcPr>
          <w:p w14:paraId="0E8AD4CF"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25.30</w:t>
            </w:r>
          </w:p>
        </w:tc>
      </w:tr>
      <w:tr w:rsidR="00BA080E" w:rsidRPr="00E252FB" w14:paraId="15F46683"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0F4FAE54"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ANN</w:t>
            </w:r>
          </w:p>
        </w:tc>
        <w:tc>
          <w:tcPr>
            <w:tcW w:w="2240" w:type="dxa"/>
            <w:vMerge/>
            <w:tcBorders>
              <w:top w:val="single" w:sz="4" w:space="0" w:color="auto"/>
              <w:left w:val="nil"/>
              <w:bottom w:val="nil"/>
              <w:right w:val="nil"/>
            </w:tcBorders>
            <w:vAlign w:val="center"/>
            <w:hideMark/>
          </w:tcPr>
          <w:p w14:paraId="7EDF95DE" w14:textId="77777777" w:rsidR="00BA080E" w:rsidRPr="00E252FB"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62855F2E"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0.35</w:t>
            </w:r>
          </w:p>
        </w:tc>
        <w:tc>
          <w:tcPr>
            <w:tcW w:w="1720" w:type="dxa"/>
            <w:tcBorders>
              <w:top w:val="nil"/>
              <w:left w:val="nil"/>
              <w:bottom w:val="nil"/>
              <w:right w:val="nil"/>
            </w:tcBorders>
            <w:shd w:val="clear" w:color="auto" w:fill="auto"/>
            <w:noWrap/>
            <w:vAlign w:val="center"/>
            <w:hideMark/>
          </w:tcPr>
          <w:p w14:paraId="31A15987"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28.94</w:t>
            </w:r>
          </w:p>
        </w:tc>
      </w:tr>
      <w:tr w:rsidR="00BA080E" w:rsidRPr="00E252FB" w14:paraId="4E063097" w14:textId="77777777" w:rsidTr="00BA080E">
        <w:trPr>
          <w:trHeight w:val="201"/>
          <w:jc w:val="center"/>
        </w:trPr>
        <w:tc>
          <w:tcPr>
            <w:tcW w:w="1380" w:type="dxa"/>
            <w:tcBorders>
              <w:top w:val="nil"/>
              <w:left w:val="nil"/>
              <w:bottom w:val="nil"/>
              <w:right w:val="nil"/>
            </w:tcBorders>
            <w:shd w:val="clear" w:color="auto" w:fill="auto"/>
            <w:noWrap/>
            <w:vAlign w:val="center"/>
            <w:hideMark/>
          </w:tcPr>
          <w:p w14:paraId="5C0D7A97"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p>
        </w:tc>
        <w:tc>
          <w:tcPr>
            <w:tcW w:w="2240" w:type="dxa"/>
            <w:tcBorders>
              <w:top w:val="nil"/>
              <w:left w:val="nil"/>
              <w:bottom w:val="nil"/>
              <w:right w:val="nil"/>
            </w:tcBorders>
            <w:shd w:val="clear" w:color="auto" w:fill="auto"/>
            <w:noWrap/>
            <w:vAlign w:val="center"/>
            <w:hideMark/>
          </w:tcPr>
          <w:p w14:paraId="0C24EC3E" w14:textId="77777777" w:rsidR="00BA080E" w:rsidRPr="00E252FB" w:rsidRDefault="00BA080E" w:rsidP="00BA080E">
            <w:pPr>
              <w:spacing w:after="0" w:line="240" w:lineRule="auto"/>
              <w:jc w:val="center"/>
              <w:rPr>
                <w:rFonts w:eastAsia="Times New Roman" w:cs="Times New Roman"/>
                <w:kern w:val="0"/>
                <w:sz w:val="20"/>
                <w:szCs w:val="20"/>
                <w:lang w:eastAsia="fr-FR"/>
                <w14:ligatures w14:val="none"/>
              </w:rPr>
            </w:pPr>
          </w:p>
        </w:tc>
        <w:tc>
          <w:tcPr>
            <w:tcW w:w="860" w:type="dxa"/>
            <w:tcBorders>
              <w:top w:val="nil"/>
              <w:left w:val="nil"/>
              <w:bottom w:val="nil"/>
              <w:right w:val="nil"/>
            </w:tcBorders>
            <w:shd w:val="clear" w:color="auto" w:fill="auto"/>
            <w:noWrap/>
            <w:vAlign w:val="center"/>
            <w:hideMark/>
          </w:tcPr>
          <w:p w14:paraId="7F87C3E3" w14:textId="77777777" w:rsidR="00BA080E" w:rsidRPr="00E252FB" w:rsidRDefault="00BA080E" w:rsidP="00BA080E">
            <w:pPr>
              <w:spacing w:after="0" w:line="240" w:lineRule="auto"/>
              <w:jc w:val="center"/>
              <w:rPr>
                <w:rFonts w:eastAsia="Times New Roman" w:cs="Times New Roman"/>
                <w:kern w:val="0"/>
                <w:sz w:val="20"/>
                <w:szCs w:val="20"/>
                <w:lang w:eastAsia="fr-FR"/>
                <w14:ligatures w14:val="none"/>
              </w:rPr>
            </w:pPr>
          </w:p>
        </w:tc>
        <w:tc>
          <w:tcPr>
            <w:tcW w:w="1720" w:type="dxa"/>
            <w:tcBorders>
              <w:top w:val="nil"/>
              <w:left w:val="nil"/>
              <w:bottom w:val="nil"/>
              <w:right w:val="nil"/>
            </w:tcBorders>
            <w:shd w:val="clear" w:color="auto" w:fill="auto"/>
            <w:noWrap/>
            <w:vAlign w:val="center"/>
            <w:hideMark/>
          </w:tcPr>
          <w:p w14:paraId="1672D29B" w14:textId="77777777" w:rsidR="00BA080E" w:rsidRPr="00E252FB" w:rsidRDefault="00BA080E" w:rsidP="00BA080E">
            <w:pPr>
              <w:spacing w:after="0" w:line="240" w:lineRule="auto"/>
              <w:jc w:val="center"/>
              <w:rPr>
                <w:rFonts w:eastAsia="Times New Roman" w:cs="Times New Roman"/>
                <w:kern w:val="0"/>
                <w:sz w:val="20"/>
                <w:szCs w:val="20"/>
                <w:lang w:eastAsia="fr-FR"/>
                <w14:ligatures w14:val="none"/>
              </w:rPr>
            </w:pPr>
          </w:p>
        </w:tc>
      </w:tr>
      <w:tr w:rsidR="00BA080E" w:rsidRPr="00E252FB" w14:paraId="775A1F11"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5E82F81B"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GLM</w:t>
            </w:r>
          </w:p>
        </w:tc>
        <w:tc>
          <w:tcPr>
            <w:tcW w:w="2240" w:type="dxa"/>
            <w:vMerge w:val="restart"/>
            <w:tcBorders>
              <w:top w:val="nil"/>
              <w:left w:val="nil"/>
              <w:bottom w:val="nil"/>
              <w:right w:val="nil"/>
            </w:tcBorders>
            <w:shd w:val="clear" w:color="auto" w:fill="auto"/>
            <w:noWrap/>
            <w:vAlign w:val="center"/>
            <w:hideMark/>
          </w:tcPr>
          <w:p w14:paraId="55ABBFF0" w14:textId="77777777" w:rsidR="00C25F30" w:rsidRPr="00E252FB" w:rsidRDefault="00C25F30"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Total</w:t>
            </w:r>
          </w:p>
          <w:p w14:paraId="6175092F" w14:textId="4F7196C3" w:rsidR="00BA080E" w:rsidRPr="00E252FB" w:rsidRDefault="00C25F30"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b</w:t>
            </w:r>
            <w:r w:rsidR="00BA080E" w:rsidRPr="00E252FB">
              <w:rPr>
                <w:rFonts w:ascii="Calibri" w:eastAsia="Times New Roman" w:hAnsi="Calibri" w:cs="Calibri"/>
                <w:color w:val="000000"/>
                <w:kern w:val="0"/>
                <w:szCs w:val="24"/>
                <w:lang w:eastAsia="fr-FR"/>
                <w14:ligatures w14:val="none"/>
              </w:rPr>
              <w:t>iomass</w:t>
            </w:r>
          </w:p>
        </w:tc>
        <w:tc>
          <w:tcPr>
            <w:tcW w:w="860" w:type="dxa"/>
            <w:tcBorders>
              <w:top w:val="nil"/>
              <w:left w:val="nil"/>
              <w:bottom w:val="nil"/>
              <w:right w:val="nil"/>
            </w:tcBorders>
            <w:shd w:val="clear" w:color="auto" w:fill="auto"/>
            <w:noWrap/>
            <w:vAlign w:val="center"/>
            <w:hideMark/>
          </w:tcPr>
          <w:p w14:paraId="61EE470F"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0.23</w:t>
            </w:r>
          </w:p>
        </w:tc>
        <w:tc>
          <w:tcPr>
            <w:tcW w:w="1720" w:type="dxa"/>
            <w:tcBorders>
              <w:top w:val="nil"/>
              <w:left w:val="nil"/>
              <w:bottom w:val="nil"/>
              <w:right w:val="nil"/>
            </w:tcBorders>
            <w:shd w:val="clear" w:color="auto" w:fill="auto"/>
            <w:noWrap/>
            <w:vAlign w:val="center"/>
            <w:hideMark/>
          </w:tcPr>
          <w:p w14:paraId="0D28F560"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10.69</w:t>
            </w:r>
          </w:p>
        </w:tc>
      </w:tr>
      <w:tr w:rsidR="00BA080E" w:rsidRPr="00E252FB" w14:paraId="6286E6E4"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5766BC0C"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GAM</w:t>
            </w:r>
          </w:p>
        </w:tc>
        <w:tc>
          <w:tcPr>
            <w:tcW w:w="2240" w:type="dxa"/>
            <w:vMerge/>
            <w:tcBorders>
              <w:top w:val="nil"/>
              <w:left w:val="nil"/>
              <w:bottom w:val="nil"/>
              <w:right w:val="nil"/>
            </w:tcBorders>
            <w:vAlign w:val="center"/>
            <w:hideMark/>
          </w:tcPr>
          <w:p w14:paraId="1B48EF5B" w14:textId="77777777" w:rsidR="00BA080E" w:rsidRPr="00E252FB"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5813251D"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0.24</w:t>
            </w:r>
          </w:p>
        </w:tc>
        <w:tc>
          <w:tcPr>
            <w:tcW w:w="1720" w:type="dxa"/>
            <w:tcBorders>
              <w:top w:val="nil"/>
              <w:left w:val="nil"/>
              <w:bottom w:val="nil"/>
              <w:right w:val="nil"/>
            </w:tcBorders>
            <w:shd w:val="clear" w:color="auto" w:fill="auto"/>
            <w:noWrap/>
            <w:vAlign w:val="center"/>
            <w:hideMark/>
          </w:tcPr>
          <w:p w14:paraId="7183A612"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10.50</w:t>
            </w:r>
          </w:p>
        </w:tc>
      </w:tr>
      <w:tr w:rsidR="00BA080E" w:rsidRPr="00E252FB" w14:paraId="500584B3"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6C549776" w14:textId="77777777" w:rsidR="00BA080E" w:rsidRPr="00E252FB"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RF</w:t>
            </w:r>
          </w:p>
        </w:tc>
        <w:tc>
          <w:tcPr>
            <w:tcW w:w="2240" w:type="dxa"/>
            <w:vMerge/>
            <w:tcBorders>
              <w:top w:val="nil"/>
              <w:left w:val="nil"/>
              <w:bottom w:val="nil"/>
              <w:right w:val="nil"/>
            </w:tcBorders>
            <w:vAlign w:val="center"/>
            <w:hideMark/>
          </w:tcPr>
          <w:p w14:paraId="04437385" w14:textId="77777777" w:rsidR="00BA080E" w:rsidRPr="00E252FB"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2AB36D4A" w14:textId="77777777" w:rsidR="00BA080E" w:rsidRPr="00E252FB"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0.35</w:t>
            </w:r>
          </w:p>
        </w:tc>
        <w:tc>
          <w:tcPr>
            <w:tcW w:w="1720" w:type="dxa"/>
            <w:tcBorders>
              <w:top w:val="nil"/>
              <w:left w:val="nil"/>
              <w:bottom w:val="nil"/>
              <w:right w:val="nil"/>
            </w:tcBorders>
            <w:shd w:val="clear" w:color="auto" w:fill="auto"/>
            <w:noWrap/>
            <w:vAlign w:val="center"/>
            <w:hideMark/>
          </w:tcPr>
          <w:p w14:paraId="40747DA9" w14:textId="77777777" w:rsidR="00BA080E" w:rsidRPr="00E252FB"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8.76</w:t>
            </w:r>
          </w:p>
        </w:tc>
      </w:tr>
      <w:tr w:rsidR="00BA080E" w:rsidRPr="00E252FB" w14:paraId="26715C56"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7EC0ABBA"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GBM</w:t>
            </w:r>
          </w:p>
        </w:tc>
        <w:tc>
          <w:tcPr>
            <w:tcW w:w="2240" w:type="dxa"/>
            <w:vMerge/>
            <w:tcBorders>
              <w:top w:val="nil"/>
              <w:left w:val="nil"/>
              <w:bottom w:val="nil"/>
              <w:right w:val="nil"/>
            </w:tcBorders>
            <w:vAlign w:val="center"/>
            <w:hideMark/>
          </w:tcPr>
          <w:p w14:paraId="40890391" w14:textId="77777777" w:rsidR="00BA080E" w:rsidRPr="00E252FB"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635ABB66"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0.32</w:t>
            </w:r>
          </w:p>
        </w:tc>
        <w:tc>
          <w:tcPr>
            <w:tcW w:w="1720" w:type="dxa"/>
            <w:tcBorders>
              <w:top w:val="nil"/>
              <w:left w:val="nil"/>
              <w:bottom w:val="nil"/>
              <w:right w:val="nil"/>
            </w:tcBorders>
            <w:shd w:val="clear" w:color="auto" w:fill="auto"/>
            <w:noWrap/>
            <w:vAlign w:val="center"/>
            <w:hideMark/>
          </w:tcPr>
          <w:p w14:paraId="2AD41D36"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9.30</w:t>
            </w:r>
          </w:p>
        </w:tc>
      </w:tr>
      <w:tr w:rsidR="00BA080E" w:rsidRPr="00E252FB" w14:paraId="0A492F03"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65F0202A"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ANN</w:t>
            </w:r>
          </w:p>
        </w:tc>
        <w:tc>
          <w:tcPr>
            <w:tcW w:w="2240" w:type="dxa"/>
            <w:vMerge/>
            <w:tcBorders>
              <w:top w:val="nil"/>
              <w:left w:val="nil"/>
              <w:bottom w:val="nil"/>
              <w:right w:val="nil"/>
            </w:tcBorders>
            <w:vAlign w:val="center"/>
            <w:hideMark/>
          </w:tcPr>
          <w:p w14:paraId="480ECBB1" w14:textId="77777777" w:rsidR="00BA080E" w:rsidRPr="00E252FB"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7AA9165F"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0.27</w:t>
            </w:r>
          </w:p>
        </w:tc>
        <w:tc>
          <w:tcPr>
            <w:tcW w:w="1720" w:type="dxa"/>
            <w:tcBorders>
              <w:top w:val="nil"/>
              <w:left w:val="nil"/>
              <w:bottom w:val="nil"/>
              <w:right w:val="nil"/>
            </w:tcBorders>
            <w:shd w:val="clear" w:color="auto" w:fill="auto"/>
            <w:noWrap/>
            <w:vAlign w:val="center"/>
            <w:hideMark/>
          </w:tcPr>
          <w:p w14:paraId="43CC28E2"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10.50</w:t>
            </w:r>
          </w:p>
        </w:tc>
      </w:tr>
      <w:tr w:rsidR="00BA080E" w:rsidRPr="00E252FB" w14:paraId="6AA81243" w14:textId="77777777" w:rsidTr="00BA080E">
        <w:trPr>
          <w:trHeight w:val="201"/>
          <w:jc w:val="center"/>
        </w:trPr>
        <w:tc>
          <w:tcPr>
            <w:tcW w:w="1380" w:type="dxa"/>
            <w:tcBorders>
              <w:top w:val="nil"/>
              <w:left w:val="nil"/>
              <w:bottom w:val="nil"/>
              <w:right w:val="nil"/>
            </w:tcBorders>
            <w:shd w:val="clear" w:color="auto" w:fill="auto"/>
            <w:noWrap/>
            <w:vAlign w:val="center"/>
            <w:hideMark/>
          </w:tcPr>
          <w:p w14:paraId="349D2F74"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p>
        </w:tc>
        <w:tc>
          <w:tcPr>
            <w:tcW w:w="2240" w:type="dxa"/>
            <w:tcBorders>
              <w:top w:val="nil"/>
              <w:left w:val="nil"/>
              <w:bottom w:val="nil"/>
              <w:right w:val="nil"/>
            </w:tcBorders>
            <w:shd w:val="clear" w:color="auto" w:fill="auto"/>
            <w:noWrap/>
            <w:vAlign w:val="center"/>
            <w:hideMark/>
          </w:tcPr>
          <w:p w14:paraId="0D3232CF" w14:textId="77777777" w:rsidR="00BA080E" w:rsidRPr="00E252FB" w:rsidRDefault="00BA080E" w:rsidP="00BA080E">
            <w:pPr>
              <w:spacing w:after="0" w:line="240" w:lineRule="auto"/>
              <w:jc w:val="center"/>
              <w:rPr>
                <w:rFonts w:eastAsia="Times New Roman" w:cs="Times New Roman"/>
                <w:kern w:val="0"/>
                <w:sz w:val="20"/>
                <w:szCs w:val="20"/>
                <w:lang w:eastAsia="fr-FR"/>
                <w14:ligatures w14:val="none"/>
              </w:rPr>
            </w:pPr>
          </w:p>
        </w:tc>
        <w:tc>
          <w:tcPr>
            <w:tcW w:w="860" w:type="dxa"/>
            <w:tcBorders>
              <w:top w:val="nil"/>
              <w:left w:val="nil"/>
              <w:bottom w:val="nil"/>
              <w:right w:val="nil"/>
            </w:tcBorders>
            <w:shd w:val="clear" w:color="auto" w:fill="auto"/>
            <w:noWrap/>
            <w:vAlign w:val="center"/>
            <w:hideMark/>
          </w:tcPr>
          <w:p w14:paraId="59D3F57B" w14:textId="77777777" w:rsidR="00BA080E" w:rsidRPr="00E252FB" w:rsidRDefault="00BA080E" w:rsidP="00BA080E">
            <w:pPr>
              <w:spacing w:after="0" w:line="240" w:lineRule="auto"/>
              <w:jc w:val="center"/>
              <w:rPr>
                <w:rFonts w:eastAsia="Times New Roman" w:cs="Times New Roman"/>
                <w:kern w:val="0"/>
                <w:sz w:val="20"/>
                <w:szCs w:val="20"/>
                <w:lang w:eastAsia="fr-FR"/>
                <w14:ligatures w14:val="none"/>
              </w:rPr>
            </w:pPr>
          </w:p>
        </w:tc>
        <w:tc>
          <w:tcPr>
            <w:tcW w:w="1720" w:type="dxa"/>
            <w:tcBorders>
              <w:top w:val="nil"/>
              <w:left w:val="nil"/>
              <w:bottom w:val="nil"/>
              <w:right w:val="nil"/>
            </w:tcBorders>
            <w:shd w:val="clear" w:color="auto" w:fill="auto"/>
            <w:noWrap/>
            <w:vAlign w:val="center"/>
            <w:hideMark/>
          </w:tcPr>
          <w:p w14:paraId="337D580F" w14:textId="77777777" w:rsidR="00BA080E" w:rsidRPr="00E252FB" w:rsidRDefault="00BA080E" w:rsidP="00BA080E">
            <w:pPr>
              <w:spacing w:after="0" w:line="240" w:lineRule="auto"/>
              <w:jc w:val="center"/>
              <w:rPr>
                <w:rFonts w:eastAsia="Times New Roman" w:cs="Times New Roman"/>
                <w:kern w:val="0"/>
                <w:sz w:val="20"/>
                <w:szCs w:val="20"/>
                <w:lang w:eastAsia="fr-FR"/>
                <w14:ligatures w14:val="none"/>
              </w:rPr>
            </w:pPr>
          </w:p>
        </w:tc>
      </w:tr>
      <w:tr w:rsidR="00BA080E" w:rsidRPr="00E252FB" w14:paraId="3F23B44C"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4CD173DF"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GLM</w:t>
            </w:r>
          </w:p>
        </w:tc>
        <w:tc>
          <w:tcPr>
            <w:tcW w:w="2240" w:type="dxa"/>
            <w:vMerge w:val="restart"/>
            <w:tcBorders>
              <w:top w:val="nil"/>
              <w:left w:val="nil"/>
              <w:bottom w:val="single" w:sz="4" w:space="0" w:color="000000"/>
              <w:right w:val="nil"/>
            </w:tcBorders>
            <w:shd w:val="clear" w:color="auto" w:fill="auto"/>
            <w:noWrap/>
            <w:vAlign w:val="center"/>
            <w:hideMark/>
          </w:tcPr>
          <w:p w14:paraId="1DB1F8B8" w14:textId="77777777" w:rsidR="00C25F30" w:rsidRPr="00E252FB" w:rsidRDefault="00C25F30"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Total</w:t>
            </w:r>
          </w:p>
          <w:p w14:paraId="1D80DDE0" w14:textId="6EB2EE17" w:rsidR="00E50FEF" w:rsidRPr="00E252FB" w:rsidRDefault="00E50FEF"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 xml:space="preserve">taxonomic </w:t>
            </w:r>
          </w:p>
          <w:p w14:paraId="1A57228E" w14:textId="0CCECED0" w:rsidR="00BA080E" w:rsidRPr="00E252FB" w:rsidRDefault="00E50FEF"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r</w:t>
            </w:r>
            <w:r w:rsidR="00BA080E" w:rsidRPr="00E252FB">
              <w:rPr>
                <w:rFonts w:ascii="Calibri" w:eastAsia="Times New Roman" w:hAnsi="Calibri" w:cs="Calibri"/>
                <w:color w:val="000000"/>
                <w:kern w:val="0"/>
                <w:szCs w:val="24"/>
                <w:lang w:eastAsia="fr-FR"/>
                <w14:ligatures w14:val="none"/>
              </w:rPr>
              <w:t>ichness</w:t>
            </w:r>
          </w:p>
        </w:tc>
        <w:tc>
          <w:tcPr>
            <w:tcW w:w="860" w:type="dxa"/>
            <w:tcBorders>
              <w:top w:val="nil"/>
              <w:left w:val="nil"/>
              <w:bottom w:val="nil"/>
              <w:right w:val="nil"/>
            </w:tcBorders>
            <w:shd w:val="clear" w:color="auto" w:fill="auto"/>
            <w:noWrap/>
            <w:vAlign w:val="center"/>
            <w:hideMark/>
          </w:tcPr>
          <w:p w14:paraId="1BD574AF"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0.36</w:t>
            </w:r>
          </w:p>
        </w:tc>
        <w:tc>
          <w:tcPr>
            <w:tcW w:w="1720" w:type="dxa"/>
            <w:tcBorders>
              <w:top w:val="nil"/>
              <w:left w:val="nil"/>
              <w:bottom w:val="nil"/>
              <w:right w:val="nil"/>
            </w:tcBorders>
            <w:shd w:val="clear" w:color="auto" w:fill="auto"/>
            <w:noWrap/>
            <w:vAlign w:val="center"/>
            <w:hideMark/>
          </w:tcPr>
          <w:p w14:paraId="66EA21E8"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2.18</w:t>
            </w:r>
          </w:p>
        </w:tc>
      </w:tr>
      <w:tr w:rsidR="00BA080E" w:rsidRPr="00E252FB" w14:paraId="4B872544"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57C89A7B"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GAM</w:t>
            </w:r>
          </w:p>
        </w:tc>
        <w:tc>
          <w:tcPr>
            <w:tcW w:w="2240" w:type="dxa"/>
            <w:vMerge/>
            <w:tcBorders>
              <w:top w:val="nil"/>
              <w:left w:val="nil"/>
              <w:bottom w:val="single" w:sz="4" w:space="0" w:color="000000"/>
              <w:right w:val="nil"/>
            </w:tcBorders>
            <w:vAlign w:val="center"/>
            <w:hideMark/>
          </w:tcPr>
          <w:p w14:paraId="45DB367A" w14:textId="77777777" w:rsidR="00BA080E" w:rsidRPr="00E252FB"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05C5BF57"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0.44</w:t>
            </w:r>
          </w:p>
        </w:tc>
        <w:tc>
          <w:tcPr>
            <w:tcW w:w="1720" w:type="dxa"/>
            <w:tcBorders>
              <w:top w:val="nil"/>
              <w:left w:val="nil"/>
              <w:bottom w:val="nil"/>
              <w:right w:val="nil"/>
            </w:tcBorders>
            <w:shd w:val="clear" w:color="auto" w:fill="auto"/>
            <w:noWrap/>
            <w:vAlign w:val="center"/>
            <w:hideMark/>
          </w:tcPr>
          <w:p w14:paraId="0E4A17FE"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2.04</w:t>
            </w:r>
          </w:p>
        </w:tc>
      </w:tr>
      <w:tr w:rsidR="00BA080E" w:rsidRPr="00E252FB" w14:paraId="4549299D"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1AAD922C" w14:textId="77777777" w:rsidR="00BA080E" w:rsidRPr="00E252FB"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RF</w:t>
            </w:r>
          </w:p>
        </w:tc>
        <w:tc>
          <w:tcPr>
            <w:tcW w:w="2240" w:type="dxa"/>
            <w:vMerge/>
            <w:tcBorders>
              <w:top w:val="nil"/>
              <w:left w:val="nil"/>
              <w:bottom w:val="single" w:sz="4" w:space="0" w:color="000000"/>
              <w:right w:val="nil"/>
            </w:tcBorders>
            <w:vAlign w:val="center"/>
            <w:hideMark/>
          </w:tcPr>
          <w:p w14:paraId="0FCD6E1D" w14:textId="77777777" w:rsidR="00BA080E" w:rsidRPr="00E252FB"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570616FD" w14:textId="77777777" w:rsidR="00BA080E" w:rsidRPr="00E252FB"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0.59</w:t>
            </w:r>
          </w:p>
        </w:tc>
        <w:tc>
          <w:tcPr>
            <w:tcW w:w="1720" w:type="dxa"/>
            <w:tcBorders>
              <w:top w:val="nil"/>
              <w:left w:val="nil"/>
              <w:bottom w:val="nil"/>
              <w:right w:val="nil"/>
            </w:tcBorders>
            <w:shd w:val="clear" w:color="auto" w:fill="auto"/>
            <w:noWrap/>
            <w:vAlign w:val="center"/>
            <w:hideMark/>
          </w:tcPr>
          <w:p w14:paraId="1FACDA8E" w14:textId="77777777" w:rsidR="00BA080E" w:rsidRPr="00E252FB"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1.75</w:t>
            </w:r>
          </w:p>
        </w:tc>
      </w:tr>
      <w:tr w:rsidR="00BA080E" w:rsidRPr="00E252FB" w14:paraId="6DB2671E"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22CE566F"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GBM</w:t>
            </w:r>
          </w:p>
        </w:tc>
        <w:tc>
          <w:tcPr>
            <w:tcW w:w="2240" w:type="dxa"/>
            <w:vMerge/>
            <w:tcBorders>
              <w:top w:val="nil"/>
              <w:left w:val="nil"/>
              <w:bottom w:val="single" w:sz="4" w:space="0" w:color="000000"/>
              <w:right w:val="nil"/>
            </w:tcBorders>
            <w:vAlign w:val="center"/>
            <w:hideMark/>
          </w:tcPr>
          <w:p w14:paraId="60D6B777" w14:textId="77777777" w:rsidR="00BA080E" w:rsidRPr="00E252FB"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28493396" w14:textId="77777777" w:rsidR="00BA080E" w:rsidRPr="00E252FB"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0.59</w:t>
            </w:r>
          </w:p>
        </w:tc>
        <w:tc>
          <w:tcPr>
            <w:tcW w:w="1720" w:type="dxa"/>
            <w:tcBorders>
              <w:top w:val="nil"/>
              <w:left w:val="nil"/>
              <w:bottom w:val="nil"/>
              <w:right w:val="nil"/>
            </w:tcBorders>
            <w:shd w:val="clear" w:color="auto" w:fill="auto"/>
            <w:noWrap/>
            <w:vAlign w:val="center"/>
            <w:hideMark/>
          </w:tcPr>
          <w:p w14:paraId="1B4CD5CA" w14:textId="77777777" w:rsidR="00BA080E" w:rsidRPr="00E252FB"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1.75</w:t>
            </w:r>
          </w:p>
        </w:tc>
      </w:tr>
      <w:tr w:rsidR="00BA080E" w:rsidRPr="00E252FB" w14:paraId="5545B25C" w14:textId="77777777" w:rsidTr="00BA080E">
        <w:trPr>
          <w:trHeight w:val="312"/>
          <w:jc w:val="center"/>
        </w:trPr>
        <w:tc>
          <w:tcPr>
            <w:tcW w:w="1380" w:type="dxa"/>
            <w:tcBorders>
              <w:top w:val="nil"/>
              <w:left w:val="nil"/>
              <w:bottom w:val="single" w:sz="4" w:space="0" w:color="auto"/>
              <w:right w:val="nil"/>
            </w:tcBorders>
            <w:shd w:val="clear" w:color="auto" w:fill="auto"/>
            <w:noWrap/>
            <w:vAlign w:val="center"/>
            <w:hideMark/>
          </w:tcPr>
          <w:p w14:paraId="702AE7B3"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ANN</w:t>
            </w:r>
          </w:p>
        </w:tc>
        <w:tc>
          <w:tcPr>
            <w:tcW w:w="2240" w:type="dxa"/>
            <w:vMerge/>
            <w:tcBorders>
              <w:top w:val="nil"/>
              <w:left w:val="nil"/>
              <w:bottom w:val="single" w:sz="4" w:space="0" w:color="000000"/>
              <w:right w:val="nil"/>
            </w:tcBorders>
            <w:vAlign w:val="center"/>
            <w:hideMark/>
          </w:tcPr>
          <w:p w14:paraId="3907BD55" w14:textId="77777777" w:rsidR="00BA080E" w:rsidRPr="00E252FB"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single" w:sz="4" w:space="0" w:color="auto"/>
              <w:right w:val="nil"/>
            </w:tcBorders>
            <w:shd w:val="clear" w:color="auto" w:fill="auto"/>
            <w:noWrap/>
            <w:vAlign w:val="center"/>
            <w:hideMark/>
          </w:tcPr>
          <w:p w14:paraId="78F730BB"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0.40</w:t>
            </w:r>
          </w:p>
        </w:tc>
        <w:tc>
          <w:tcPr>
            <w:tcW w:w="1720" w:type="dxa"/>
            <w:tcBorders>
              <w:top w:val="nil"/>
              <w:left w:val="nil"/>
              <w:bottom w:val="single" w:sz="4" w:space="0" w:color="auto"/>
              <w:right w:val="nil"/>
            </w:tcBorders>
            <w:shd w:val="clear" w:color="auto" w:fill="auto"/>
            <w:noWrap/>
            <w:vAlign w:val="center"/>
            <w:hideMark/>
          </w:tcPr>
          <w:p w14:paraId="3E156162" w14:textId="77777777" w:rsidR="00BA080E" w:rsidRPr="00E252FB"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2.16</w:t>
            </w:r>
          </w:p>
        </w:tc>
      </w:tr>
    </w:tbl>
    <w:p w14:paraId="3CA8DFBB" w14:textId="77777777" w:rsidR="00D67A41" w:rsidRPr="00E252FB" w:rsidRDefault="00D67A41" w:rsidP="00D67A41">
      <w:pPr>
        <w:jc w:val="left"/>
      </w:pPr>
    </w:p>
    <w:p w14:paraId="4154F395" w14:textId="52AB0E29" w:rsidR="007517F0" w:rsidRPr="00E252FB" w:rsidRDefault="008D49F4" w:rsidP="00F31F7F">
      <w:pPr>
        <w:jc w:val="center"/>
      </w:pPr>
      <w:r w:rsidRPr="00E252FB">
        <w:rPr>
          <w:noProof/>
        </w:rPr>
        <w:drawing>
          <wp:inline distT="0" distB="0" distL="0" distR="0" wp14:anchorId="2E8CF7E2" wp14:editId="45C682D1">
            <wp:extent cx="5972810" cy="2559685"/>
            <wp:effectExtent l="0" t="0" r="8890" b="0"/>
            <wp:docPr id="110761361" name="Image 33"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1361" name="Image 33" descr="Une image contenant texte, capture d’écran, ligne, diagramm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2559685"/>
                    </a:xfrm>
                    <a:prstGeom prst="rect">
                      <a:avLst/>
                    </a:prstGeom>
                    <a:noFill/>
                    <a:ln>
                      <a:noFill/>
                    </a:ln>
                  </pic:spPr>
                </pic:pic>
              </a:graphicData>
            </a:graphic>
          </wp:inline>
        </w:drawing>
      </w:r>
    </w:p>
    <w:p w14:paraId="0954B203" w14:textId="601C7BF5" w:rsidR="00CF4B19" w:rsidRPr="00E252FB" w:rsidRDefault="00CF4B19" w:rsidP="00FF6E47">
      <w:pPr>
        <w:pStyle w:val="Heading4"/>
      </w:pPr>
      <w:bookmarkStart w:id="0" w:name="_Hlk166664690"/>
      <w:r w:rsidRPr="00E252FB">
        <w:lastRenderedPageBreak/>
        <w:t>Fig</w:t>
      </w:r>
      <w:r w:rsidRPr="00E252FB">
        <w:rPr>
          <w:b/>
          <w:bCs/>
        </w:rPr>
        <w:t xml:space="preserve">. </w:t>
      </w:r>
      <w:proofErr w:type="gramStart"/>
      <w:r w:rsidR="008C3C13" w:rsidRPr="00E252FB">
        <w:rPr>
          <w:b/>
          <w:bCs/>
        </w:rPr>
        <w:t>3</w:t>
      </w:r>
      <w:r w:rsidRPr="00E252FB">
        <w:rPr>
          <w:b/>
          <w:bCs/>
        </w:rPr>
        <w:t> :</w:t>
      </w:r>
      <w:proofErr w:type="gramEnd"/>
      <w:r w:rsidRPr="00E252FB">
        <w:t xml:space="preserve"> </w:t>
      </w:r>
      <w:bookmarkEnd w:id="0"/>
      <w:r w:rsidR="007161B9" w:rsidRPr="00E252FB">
        <w:t xml:space="preserve">Prediction on the validation dataset with the best algorithms for (a) total abundance (RF; </w:t>
      </w:r>
      <w:proofErr w:type="spellStart"/>
      <w:r w:rsidR="007161B9" w:rsidRPr="00E252FB">
        <w:t>ind</w:t>
      </w:r>
      <w:proofErr w:type="spellEnd"/>
      <w:r w:rsidR="007161B9" w:rsidRPr="00E252FB">
        <w:t>/m²), (b) total biomass (RF; g/m²), and (c) total taxonomic richness (GBM; number of taxa in the plot). The X-axis indicates the observed values, and the Y-axis indicates the predicted values. The red line represents the linear regression (trend) between the observed and predicted values, and the gray band indicates the confidence interval around the regression line.</w:t>
      </w:r>
    </w:p>
    <w:p w14:paraId="6FB4E226" w14:textId="77777777" w:rsidR="00CF4B19" w:rsidRPr="00E252FB" w:rsidRDefault="00CF4B19" w:rsidP="00CF4B19">
      <w:pPr>
        <w:jc w:val="left"/>
      </w:pPr>
    </w:p>
    <w:p w14:paraId="6734E69D" w14:textId="4ACDC1BD" w:rsidR="00A532D6" w:rsidRPr="00E252FB" w:rsidRDefault="00146223" w:rsidP="0037320E">
      <w:pPr>
        <w:pStyle w:val="Heading2"/>
        <w:rPr>
          <w:rFonts w:cs="Times New Roman"/>
        </w:rPr>
      </w:pPr>
      <w:r w:rsidRPr="00E252FB">
        <w:rPr>
          <w:rFonts w:cs="Times New Roman"/>
        </w:rPr>
        <w:t>C</w:t>
      </w:r>
      <w:r w:rsidR="0084044D" w:rsidRPr="00E252FB">
        <w:t>ontribution of variables</w:t>
      </w:r>
    </w:p>
    <w:p w14:paraId="085ED976" w14:textId="77777777" w:rsidR="009C05E9" w:rsidRPr="00E252FB" w:rsidRDefault="009C05E9" w:rsidP="009C05E9">
      <w:r w:rsidRPr="00E252FB">
        <w:t>The most important variable during the adjustment of prediction models was land use (CLC; Fig. 4). When land use was permuted, the RMSE of the abundance model increased on average by 1.68 ind./m², by 1.45 g/m² for biomass, and by 1.78 species per plot for earthworm richness. After land use, spatial variables were the most important for predicting earthworms, particularly longitude, which led to an average increase in RMSE of 1.63 species per plot. Regarding climatic variables, annual precipitation was the most important for earthworm prediction. The two most influential soil variables on earthworms were calcium carbonate (</w:t>
      </w:r>
      <w:proofErr w:type="spellStart"/>
      <w:r w:rsidRPr="00E252FB">
        <w:t>CaCO</w:t>
      </w:r>
      <w:proofErr w:type="spellEnd"/>
      <w:r w:rsidRPr="00E252FB">
        <w:t xml:space="preserve">₃) and nitrogen (N), respectively. Additionally, </w:t>
      </w:r>
      <w:proofErr w:type="spellStart"/>
      <w:r w:rsidRPr="00E252FB">
        <w:t>CaCO</w:t>
      </w:r>
      <w:proofErr w:type="spellEnd"/>
      <w:r w:rsidRPr="00E252FB">
        <w:t>₃ was found to have a greater influence on richness and total abundance compared to biomass.</w:t>
      </w:r>
    </w:p>
    <w:p w14:paraId="39C942A8" w14:textId="77777777" w:rsidR="009C05E9" w:rsidRPr="00E252FB" w:rsidRDefault="009C05E9" w:rsidP="009C05E9"/>
    <w:p w14:paraId="7F58833D" w14:textId="1CF0EE95" w:rsidR="00B815B4" w:rsidRPr="00E252FB" w:rsidRDefault="00B815B4" w:rsidP="00737311">
      <w:pPr>
        <w:jc w:val="center"/>
      </w:pPr>
      <w:r w:rsidRPr="00E252FB">
        <w:rPr>
          <w:noProof/>
        </w:rPr>
        <w:lastRenderedPageBreak/>
        <w:drawing>
          <wp:inline distT="0" distB="0" distL="0" distR="0" wp14:anchorId="2063DC75" wp14:editId="346EFA53">
            <wp:extent cx="5947410" cy="3657600"/>
            <wp:effectExtent l="0" t="0" r="0" b="0"/>
            <wp:docPr id="1568583918" name="Image 3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83918" name="Image 31" descr="Une image contenant texte, capture d’écran, diagramme, nombr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7410" cy="3657600"/>
                    </a:xfrm>
                    <a:prstGeom prst="rect">
                      <a:avLst/>
                    </a:prstGeom>
                    <a:noFill/>
                    <a:ln>
                      <a:noFill/>
                    </a:ln>
                  </pic:spPr>
                </pic:pic>
              </a:graphicData>
            </a:graphic>
          </wp:inline>
        </w:drawing>
      </w:r>
    </w:p>
    <w:p w14:paraId="2EE481B9" w14:textId="11B1824A" w:rsidR="00CF4B19" w:rsidRPr="00E252FB" w:rsidRDefault="00CF4B19" w:rsidP="00BF1C74">
      <w:pPr>
        <w:pStyle w:val="Heading4"/>
      </w:pPr>
      <w:r w:rsidRPr="00E252FB">
        <w:rPr>
          <w:b/>
          <w:bCs/>
        </w:rPr>
        <w:t xml:space="preserve">Fig. </w:t>
      </w:r>
      <w:proofErr w:type="gramStart"/>
      <w:r w:rsidR="001835D2" w:rsidRPr="00E252FB">
        <w:rPr>
          <w:b/>
          <w:bCs/>
        </w:rPr>
        <w:t>4</w:t>
      </w:r>
      <w:r w:rsidRPr="00E252FB">
        <w:rPr>
          <w:b/>
          <w:bCs/>
        </w:rPr>
        <w:t> :</w:t>
      </w:r>
      <w:proofErr w:type="gramEnd"/>
      <w:r w:rsidRPr="00E252FB">
        <w:t xml:space="preserve"> </w:t>
      </w:r>
      <w:r w:rsidR="00020087" w:rsidRPr="00E252FB">
        <w:t>Importance of environmental explanatory variables for predicting total abundance, total biomass, and taxonomic richness of earthworms.</w:t>
      </w:r>
    </w:p>
    <w:p w14:paraId="596FF391" w14:textId="77777777" w:rsidR="00BF1C74" w:rsidRPr="00E252FB" w:rsidRDefault="00BF1C74" w:rsidP="00BF1C74"/>
    <w:p w14:paraId="5D0D8622" w14:textId="5188D81F" w:rsidR="006E6048" w:rsidRPr="00E252FB" w:rsidRDefault="00640495" w:rsidP="0037320E">
      <w:pPr>
        <w:pStyle w:val="Heading2"/>
        <w:rPr>
          <w:rFonts w:cs="Times New Roman"/>
        </w:rPr>
      </w:pPr>
      <w:r w:rsidRPr="00E252FB">
        <w:rPr>
          <w:rFonts w:cs="Times New Roman"/>
        </w:rPr>
        <w:t>Effects of variables on earthworms</w:t>
      </w:r>
    </w:p>
    <w:p w14:paraId="010B84C2" w14:textId="77777777" w:rsidR="00640495" w:rsidRPr="00E252FB" w:rsidRDefault="00640495" w:rsidP="00640495">
      <w:r w:rsidRPr="00E252FB">
        <w:t xml:space="preserve">Analyses of Accumulated Local Effects (ALE) showed that land use had mixed effects on the earthworm community. ALE effects describe how explanatory variables on average influence the prediction of a machine learning model. In other words, ALE effects show how prediction changes locally as variables vary. Indeed, plots in grasslands (Nag and </w:t>
      </w:r>
      <w:proofErr w:type="spellStart"/>
      <w:r w:rsidRPr="00E252FB">
        <w:t>Pmo</w:t>
      </w:r>
      <w:proofErr w:type="spellEnd"/>
      <w:r w:rsidRPr="00E252FB">
        <w:t xml:space="preserve">) had higher abundances and increased the average abundance prediction by 80 ind./m². Similarly, plots in urban green spaces (Gua) increased the average abundance predictions by 50 ind./m². Plots in Nag, </w:t>
      </w:r>
      <w:proofErr w:type="spellStart"/>
      <w:r w:rsidRPr="00E252FB">
        <w:t>Pmo</w:t>
      </w:r>
      <w:proofErr w:type="spellEnd"/>
      <w:r w:rsidRPr="00E252FB">
        <w:t>, and Gua had about one or two more species than other land use types. ALE effects also showed that plots in vineyards (Viny), forests (For), and annual crops (Nial) were the land uses associated with the lowest abundances. Regarding biomass, only grasslands increased the average weight of earthworms.</w:t>
      </w:r>
    </w:p>
    <w:p w14:paraId="31F0C232" w14:textId="77777777" w:rsidR="00640495" w:rsidRPr="00E252FB" w:rsidRDefault="00640495" w:rsidP="00640495"/>
    <w:p w14:paraId="286D3CEE" w14:textId="0E422741" w:rsidR="00640495" w:rsidRPr="00E252FB" w:rsidRDefault="00640495" w:rsidP="00640495">
      <w:r w:rsidRPr="00E252FB">
        <w:lastRenderedPageBreak/>
        <w:t>Spatial variables exerted a strong influence on earthworms, with longitude having the most significant impact. From west to east, abundance and richness decreased, with a decrease of about 50 individuals/m² and one species, respectively. However, biomass varied only slightly from west to east in France. Increasing latitude did not influence total abundance between 43°N and 46°N, then decreased between 46°N and 47.5°N before increasing beyond the latter latitude.</w:t>
      </w:r>
    </w:p>
    <w:p w14:paraId="5186A383" w14:textId="730CD9B1" w:rsidR="00640495" w:rsidRPr="00E252FB" w:rsidRDefault="00640495" w:rsidP="00640495">
      <w:r w:rsidRPr="00E252FB">
        <w:t>Regarding the effect of climatic variables, predictions of total abundance and biomass increased below 700 mm/year of annual precipitation but remained stable above this threshold. Earthworm biomass was minimally affected by the ratio between diurnal temperature variation and annual variation (</w:t>
      </w:r>
      <w:proofErr w:type="spellStart"/>
      <w:r w:rsidRPr="00E252FB">
        <w:t>Isot</w:t>
      </w:r>
      <w:proofErr w:type="spellEnd"/>
      <w:r w:rsidRPr="00E252FB">
        <w:t>).</w:t>
      </w:r>
    </w:p>
    <w:p w14:paraId="20D87C3A" w14:textId="353BC191" w:rsidR="00640495" w:rsidRPr="00E252FB" w:rsidRDefault="00640495" w:rsidP="00640495">
      <w:r w:rsidRPr="00E252FB">
        <w:t xml:space="preserve">For soil parameters, increasing </w:t>
      </w:r>
      <w:proofErr w:type="spellStart"/>
      <w:r w:rsidRPr="00E252FB">
        <w:t>CaCO</w:t>
      </w:r>
      <w:proofErr w:type="spellEnd"/>
      <w:r w:rsidRPr="00E252FB">
        <w:t xml:space="preserve">₃ up to approximately 10 g·kg−1 led to an increase in predictions of 25 ind./m² for abundance and 15 g/m² for biomass. However, </w:t>
      </w:r>
      <w:proofErr w:type="spellStart"/>
      <w:r w:rsidRPr="00E252FB">
        <w:t>CaCO</w:t>
      </w:r>
      <w:proofErr w:type="spellEnd"/>
      <w:r w:rsidRPr="00E252FB">
        <w:t>₃ above 10 g·kg−1 led to a decrease in earthworms. Phosphorus had a minor negative effect on earthworms. Increasing nitrogen by 2 g·kg−1 led to an increase in abundance of 25 ind./m² and biomass of 5 g/m². Soil texture (clay and silt content) did not influence predictions of total abundance up to 40 g·</w:t>
      </w:r>
      <w:proofErr w:type="gramStart"/>
      <w:r w:rsidRPr="00E252FB">
        <w:t>kg−1</w:t>
      </w:r>
      <w:proofErr w:type="gramEnd"/>
      <w:r w:rsidRPr="00E252FB">
        <w:t>, after which abundance began to increase, reaching an average increase of 45 ind./m². Texture had little influence on total biomass.</w:t>
      </w:r>
    </w:p>
    <w:p w14:paraId="7215C3CF" w14:textId="5B43D2E9" w:rsidR="007E0047" w:rsidRPr="00E252FB" w:rsidRDefault="00886DC7" w:rsidP="007E0047">
      <w:pPr>
        <w:pStyle w:val="Heading2"/>
        <w:rPr>
          <w:rFonts w:cs="Times New Roman"/>
        </w:rPr>
      </w:pPr>
      <w:r w:rsidRPr="00E252FB">
        <w:t>Spatial distribution of earthworms at the scale of France</w:t>
      </w:r>
    </w:p>
    <w:p w14:paraId="3FCCD266" w14:textId="5806DB29" w:rsidR="000C59C4" w:rsidRDefault="00886DC7" w:rsidP="00927E7B">
      <w:r w:rsidRPr="00E252FB">
        <w:t>Figure 5 shows the predicted spatial distribution of the earthworm community in metropolitan France (excluding Corsica). Total abundance varied from 0 to 530 ind./m² with a mean of 192 ind./m² per plot (Fig. 5a). The average biomass was 72 g/m² (minimum = 0 and maximum = 196; Fig. 5b), while total taxonomic richness ranged from 0 to 10 with a mean of 5 species per plot (Fig. 5c). Figure 5d represents the approximate diversity of earthworms resulting from the overlay of the abundance map and the taxonomic richness map. It can be observed that the southeastern part of the country exhibited very low to low diversity, while the southwestern part had moderate diversity.</w:t>
      </w:r>
    </w:p>
    <w:p w14:paraId="0C45A6C9" w14:textId="0CD0B53B" w:rsidR="00AF0503" w:rsidRDefault="000C59C4" w:rsidP="00927E7B">
      <w:pPr>
        <w:pStyle w:val="NormalWeb"/>
        <w:jc w:val="center"/>
      </w:pPr>
      <w:r>
        <w:rPr>
          <w:noProof/>
        </w:rPr>
        <w:lastRenderedPageBreak/>
        <w:drawing>
          <wp:inline distT="0" distB="0" distL="0" distR="0" wp14:anchorId="042A1495" wp14:editId="1C0CB64A">
            <wp:extent cx="5972810" cy="3803015"/>
            <wp:effectExtent l="0" t="0" r="8890" b="6985"/>
            <wp:docPr id="32226057" name="Picture 9" descr="A map of france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6057" name="Picture 9" descr="A map of france with different colored area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810" cy="3803015"/>
                    </a:xfrm>
                    <a:prstGeom prst="rect">
                      <a:avLst/>
                    </a:prstGeom>
                    <a:noFill/>
                    <a:ln>
                      <a:noFill/>
                    </a:ln>
                  </pic:spPr>
                </pic:pic>
              </a:graphicData>
            </a:graphic>
          </wp:inline>
        </w:drawing>
      </w:r>
    </w:p>
    <w:p w14:paraId="5876335A" w14:textId="77777777" w:rsidR="00927E7B" w:rsidRPr="00E252FB" w:rsidRDefault="00927E7B" w:rsidP="00927E7B">
      <w:pPr>
        <w:pStyle w:val="NormalWeb"/>
        <w:jc w:val="center"/>
      </w:pPr>
    </w:p>
    <w:p w14:paraId="47FF3EDB" w14:textId="3CA74E10" w:rsidR="007E0047" w:rsidRDefault="007E0047" w:rsidP="007E0047">
      <w:pPr>
        <w:pStyle w:val="Heading4"/>
      </w:pPr>
      <w:r w:rsidRPr="00E252FB">
        <w:t xml:space="preserve">Fig. </w:t>
      </w:r>
      <w:proofErr w:type="gramStart"/>
      <w:r w:rsidR="00E67ABA" w:rsidRPr="00E252FB">
        <w:t>5</w:t>
      </w:r>
      <w:r w:rsidRPr="00E252FB">
        <w:t xml:space="preserve"> :</w:t>
      </w:r>
      <w:proofErr w:type="gramEnd"/>
      <w:r w:rsidRPr="00E252FB">
        <w:t xml:space="preserve"> </w:t>
      </w:r>
      <w:r w:rsidR="00886DC7" w:rsidRPr="00E252FB">
        <w:t>Predicted spatial distribution of (a) total abundance (ind./m²), (b) total biomass (g/m²), (c) total taxonomic richness (number of taxa per plot), and (d) approximate diversity of earthworms.</w:t>
      </w:r>
    </w:p>
    <w:p w14:paraId="45818D61" w14:textId="77777777" w:rsidR="00D83097" w:rsidRDefault="00D83097" w:rsidP="00D83097"/>
    <w:p w14:paraId="70336513" w14:textId="77777777" w:rsidR="00D83097" w:rsidRDefault="00D83097" w:rsidP="00D83097"/>
    <w:p w14:paraId="2B7EA764" w14:textId="3BFFBE62" w:rsidR="00D83097" w:rsidRDefault="00D83097" w:rsidP="00D83097"/>
    <w:p w14:paraId="479962CE" w14:textId="1FC6472C" w:rsidR="00D83097" w:rsidRDefault="00D83097" w:rsidP="00D83097"/>
    <w:p w14:paraId="26FB9468" w14:textId="1C24ABFB" w:rsidR="00D83097" w:rsidRDefault="00D83097" w:rsidP="00D83097"/>
    <w:p w14:paraId="0B60FB67" w14:textId="45E687A3" w:rsidR="00C55A50" w:rsidRPr="00D83097" w:rsidRDefault="00C55A50" w:rsidP="00D83097"/>
    <w:p w14:paraId="58E62F10" w14:textId="77777777" w:rsidR="000E71BE" w:rsidRPr="00E252FB" w:rsidRDefault="000E71BE" w:rsidP="000E71BE"/>
    <w:p w14:paraId="1C1FF349" w14:textId="002F39FE" w:rsidR="00C55630" w:rsidRPr="00E252FB" w:rsidRDefault="004F17FF" w:rsidP="0037320E">
      <w:pPr>
        <w:pStyle w:val="Heading1"/>
        <w:rPr>
          <w:rFonts w:cs="Times New Roman"/>
        </w:rPr>
      </w:pPr>
      <w:r w:rsidRPr="00E252FB">
        <w:rPr>
          <w:rFonts w:cs="Times New Roman"/>
        </w:rPr>
        <w:lastRenderedPageBreak/>
        <w:t>Discussion</w:t>
      </w:r>
    </w:p>
    <w:p w14:paraId="66DF61D3" w14:textId="660A476F" w:rsidR="004F17FF" w:rsidRPr="00E252FB" w:rsidRDefault="004F17FF" w:rsidP="004F17FF">
      <w:pPr>
        <w:rPr>
          <w:rFonts w:cs="Times New Roman"/>
        </w:rPr>
      </w:pPr>
      <w:r w:rsidRPr="00E252FB">
        <w:rPr>
          <w:rFonts w:cs="Times New Roman"/>
        </w:rPr>
        <w:t xml:space="preserve">In this study, we utilized the </w:t>
      </w:r>
      <w:proofErr w:type="spellStart"/>
      <w:r w:rsidRPr="00E252FB">
        <w:rPr>
          <w:rFonts w:cs="Times New Roman"/>
        </w:rPr>
        <w:t>LandWorm</w:t>
      </w:r>
      <w:proofErr w:type="spellEnd"/>
      <w:r w:rsidRPr="00E252FB">
        <w:rPr>
          <w:rFonts w:cs="Times New Roman"/>
        </w:rPr>
        <w:t xml:space="preserve"> database (2023-2026 FRB-MTE-OFB), containing earthworm communities across metropolitan France under varied land use conditions, to predict total abundance, total biomass, and total taxonomic richness of earthworms. We employed multiple SDM algorithms to compare their performances and select the most effective model for predicting the spatial distribution of earthworms. The notable initial results we obtained pertain to the estimated accuracy of our models, allowing for the prediction of total biomass with an R² of 0.35 (RMSE = 8.76 g/m²), total abundance with an R² of 0.43 (RMSE = 25 ind./m²), and total taxonomic richness with an R² of 0.59 (RMSE = 1.7 species per plot). We observed that the spatial distribution of earthworms in France is primarily influenced by land use and spatial variables, particularly longitude. Our study enabled the creation of prediction maps for earthworm communities, providing precise reference data and raising awareness about the protection of soil biodiversity and associated ecosystem services. All stages of the modeling strategy were reported following the ODMAP protocol (ANNEX XX), as recommended by </w:t>
      </w:r>
      <w:r w:rsidRPr="00E252FB">
        <w:rPr>
          <w:rFonts w:cs="Times New Roman"/>
        </w:rPr>
        <w:fldChar w:fldCharType="begin"/>
      </w:r>
      <w:r w:rsidRPr="00E252FB">
        <w:rPr>
          <w:rFonts w:cs="Times New Roman"/>
        </w:rPr>
        <w:instrText xml:space="preserve"> ADDIN ZOTERO_ITEM CSL_CITATION {"citationID":"cEA50KlJ","properties":{"formattedCitation":"(Zurell et al., 2020)","plainCitation":"(Zurell et al., 2020)","dontUpdate":true,"noteIndex":0},"citationItems":[{"id":989,"uris":["http://zotero.org/users/7119014/items/7YZNNXHE"],"itemData":{"id":989,"type":"article-journal","abstract":"Species distribution models (SDMs) constitute the most common class of models across ecology, evolution and conservation. The advent of ready-to-use software packages and increasing availability of digital geoinformation have considerably assisted the application of SDMs in the past decade, greatly enabling their broader use for informing conservation and management, and for quantifying impacts from global change. However, models must be fit for purpose, with all important aspects of their development and applications properly considered. Despite the widespread use of SDMs, standardisation and documentation of modelling protocols remain limited, which makes it hard to assess whether development steps are appropriate for end use. To address these issues, we propose a standard protocol for reporting SDMs, with an emphasis on describing how a study's objective is achieved through a series of modeling decisions. We call this the ODMAP (Overview, Data, Model, Assessment and Prediction) protocol, as its components reflect the main steps involved in building SDMs and other empirically-based biodiversity models. The ODMAP protocol serves two main purposes. First, it provides a checklist for authors, detailing key steps for model building and analyses, and thus represents a quick guide and generic workflow for modern SDMs. Second, it introduces a structured format for documenting and communicating the models, ensuring transparency and reproducibility, facilitating peer review and expert evaluation of model quality, as well as meta-analyses. We detail all elements of ODMAP, and explain how it can be used for different model objectives and applications, and how it complements efforts to store associated metadata and define modelling standards. We illustrate its utility by revisiting nine previously published case studies, and provide an interactive web-based application to facilitate its use. We plan to advance ODMAP by encouraging its further refinement and adoption by the scientific community.","container-title":"Ecography","DOI":"10.1111/ecog.04960","ISSN":"1600-0587","issue":"9","language":"en","license":"© 2020 The Authors. Ecography published by John Wiley &amp; Sons Ltd on behalf of Nordic Society Oikos","note":"_eprint: https://onlinelibrary.wiley.com/doi/pdf/10.1111/ecog.04960","page":"1261-1277","source":"Wiley Online Library","title":"A standard protocol for reporting species distribution models","volume":"43","author":[{"family":"Zurell","given":"Damaris"},{"family":"Franklin","given":"Janet"},{"family":"König","given":"Christian"},{"family":"Bouchet","given":"Phil J."},{"family":"Dormann","given":"Carsten F."},{"family":"Elith","given":"Jane"},{"family":"Fandos","given":"Guillermo"},{"family":"Feng","given":"Xiao"},{"family":"Guillera-Arroita","given":"Gurutzeta"},{"family":"Guisan","given":"Antoine"},{"family":"Lahoz-Monfort","given":"José J."},{"family":"Leitão","given":"Pedro J."},{"family":"Park","given":"Daniel S."},{"family":"Peterson","given":"A. Townsend"},{"family":"Rapacciuolo","given":"Giovanni"},{"family":"Schmatz","given":"Dirk R."},{"family":"Schröder","given":"Boris"},{"family":"Serra-Diaz","given":"Josep M."},{"family":"Thuiller","given":"Wilfried"},{"family":"Yates","given":"Katherine L."},{"family":"Zimmermann","given":"Niklaus E."},{"family":"Merow","given":"Cory"}],"issued":{"date-parts":[["2020"]]}}}],"schema":"https://github.com/citation-style-language/schema/raw/master/csl-citation.json"} </w:instrText>
      </w:r>
      <w:r w:rsidRPr="00E252FB">
        <w:rPr>
          <w:rFonts w:cs="Times New Roman"/>
        </w:rPr>
        <w:fldChar w:fldCharType="separate"/>
      </w:r>
      <w:r w:rsidRPr="00E252FB">
        <w:rPr>
          <w:rFonts w:cs="Times New Roman"/>
        </w:rPr>
        <w:t>Zurell et al. (2020)</w:t>
      </w:r>
      <w:r w:rsidRPr="00E252FB">
        <w:rPr>
          <w:rFonts w:cs="Times New Roman"/>
        </w:rPr>
        <w:fldChar w:fldCharType="end"/>
      </w:r>
      <w:r w:rsidRPr="00E252FB">
        <w:rPr>
          <w:rFonts w:cs="Times New Roman"/>
        </w:rPr>
        <w:t>. In this study, we adjusted five different model algorithms to model the distribution predictions of earthworms using land use, spatial, climatic, and soil variables.</w:t>
      </w:r>
    </w:p>
    <w:p w14:paraId="104004B3" w14:textId="0D33F66B" w:rsidR="004846DB" w:rsidRPr="00E252FB" w:rsidRDefault="002D0E39" w:rsidP="00DB3113">
      <w:pPr>
        <w:pStyle w:val="Heading2"/>
      </w:pPr>
      <w:r w:rsidRPr="00E252FB">
        <w:rPr>
          <w:rFonts w:cs="Times New Roman"/>
          <w:szCs w:val="24"/>
        </w:rPr>
        <w:t xml:space="preserve">Superiority of </w:t>
      </w:r>
      <w:r w:rsidR="008E64F7" w:rsidRPr="00E252FB">
        <w:rPr>
          <w:rFonts w:cs="Times New Roman"/>
          <w:szCs w:val="24"/>
        </w:rPr>
        <w:t>e</w:t>
      </w:r>
      <w:r w:rsidRPr="00E252FB">
        <w:rPr>
          <w:rFonts w:cs="Times New Roman"/>
          <w:szCs w:val="24"/>
        </w:rPr>
        <w:t xml:space="preserve">nsemble </w:t>
      </w:r>
      <w:r w:rsidR="008E64F7" w:rsidRPr="00E252FB">
        <w:rPr>
          <w:rFonts w:cs="Times New Roman"/>
          <w:szCs w:val="24"/>
        </w:rPr>
        <w:t>m</w:t>
      </w:r>
      <w:r w:rsidRPr="00E252FB">
        <w:rPr>
          <w:rFonts w:cs="Times New Roman"/>
          <w:szCs w:val="24"/>
        </w:rPr>
        <w:t xml:space="preserve">ethods in </w:t>
      </w:r>
      <w:r w:rsidR="008E64F7" w:rsidRPr="00E252FB">
        <w:rPr>
          <w:rFonts w:cs="Times New Roman"/>
          <w:szCs w:val="24"/>
        </w:rPr>
        <w:t>p</w:t>
      </w:r>
      <w:r w:rsidRPr="00E252FB">
        <w:rPr>
          <w:rFonts w:cs="Times New Roman"/>
          <w:szCs w:val="24"/>
        </w:rPr>
        <w:t xml:space="preserve">redicting </w:t>
      </w:r>
      <w:r w:rsidR="008E64F7" w:rsidRPr="00E252FB">
        <w:rPr>
          <w:rFonts w:cs="Times New Roman"/>
          <w:szCs w:val="24"/>
        </w:rPr>
        <w:t>e</w:t>
      </w:r>
      <w:r w:rsidRPr="00E252FB">
        <w:rPr>
          <w:rFonts w:cs="Times New Roman"/>
          <w:szCs w:val="24"/>
        </w:rPr>
        <w:t xml:space="preserve">arthworm </w:t>
      </w:r>
      <w:r w:rsidR="008E64F7" w:rsidRPr="00E252FB">
        <w:rPr>
          <w:rFonts w:cs="Times New Roman"/>
          <w:szCs w:val="24"/>
        </w:rPr>
        <w:t>c</w:t>
      </w:r>
      <w:r w:rsidRPr="00E252FB">
        <w:rPr>
          <w:rFonts w:cs="Times New Roman"/>
          <w:szCs w:val="24"/>
        </w:rPr>
        <w:t xml:space="preserve">ommunities </w:t>
      </w:r>
      <w:r w:rsidR="008E64F7" w:rsidRPr="00E252FB">
        <w:rPr>
          <w:rFonts w:cs="Times New Roman"/>
          <w:szCs w:val="24"/>
        </w:rPr>
        <w:t>c</w:t>
      </w:r>
      <w:r w:rsidRPr="00E252FB">
        <w:rPr>
          <w:rFonts w:cs="Times New Roman"/>
          <w:szCs w:val="24"/>
        </w:rPr>
        <w:t xml:space="preserve">ompared to </w:t>
      </w:r>
      <w:r w:rsidR="008E64F7" w:rsidRPr="00E252FB">
        <w:rPr>
          <w:rFonts w:cs="Times New Roman"/>
          <w:szCs w:val="24"/>
        </w:rPr>
        <w:t>t</w:t>
      </w:r>
      <w:r w:rsidRPr="00E252FB">
        <w:rPr>
          <w:rFonts w:cs="Times New Roman"/>
          <w:szCs w:val="24"/>
        </w:rPr>
        <w:t xml:space="preserve">raditional </w:t>
      </w:r>
      <w:r w:rsidR="008E64F7" w:rsidRPr="00E252FB">
        <w:rPr>
          <w:rFonts w:cs="Times New Roman"/>
          <w:szCs w:val="24"/>
        </w:rPr>
        <w:t>r</w:t>
      </w:r>
      <w:r w:rsidRPr="00E252FB">
        <w:rPr>
          <w:rFonts w:cs="Times New Roman"/>
          <w:szCs w:val="24"/>
        </w:rPr>
        <w:t xml:space="preserve">egression </w:t>
      </w:r>
      <w:r w:rsidR="008E64F7" w:rsidRPr="00E252FB">
        <w:rPr>
          <w:rFonts w:cs="Times New Roman"/>
          <w:szCs w:val="24"/>
        </w:rPr>
        <w:t>m</w:t>
      </w:r>
      <w:r w:rsidRPr="00E252FB">
        <w:rPr>
          <w:rFonts w:cs="Times New Roman"/>
          <w:szCs w:val="24"/>
        </w:rPr>
        <w:t>odels</w:t>
      </w:r>
    </w:p>
    <w:p w14:paraId="3A29DE7C" w14:textId="4B714C92" w:rsidR="002D0E39" w:rsidRPr="00E252FB" w:rsidRDefault="002D0E39" w:rsidP="002D0E39">
      <w:pPr>
        <w:rPr>
          <w:rFonts w:cs="Times New Roman"/>
          <w:szCs w:val="24"/>
        </w:rPr>
      </w:pPr>
      <w:r w:rsidRPr="00E252FB">
        <w:rPr>
          <w:rFonts w:cs="Times New Roman"/>
          <w:szCs w:val="24"/>
        </w:rPr>
        <w:t xml:space="preserve">Our results demonstrate that random forest (RF) models and generalized boosted models (GBM) better predicted earthworm communities compared to traditional regression models (GLM and GAM) and artificial neural networks (ANN). This finding aligns with those of </w:t>
      </w:r>
      <w:r w:rsidR="008E64F7" w:rsidRPr="00E252FB">
        <w:rPr>
          <w:rFonts w:cs="Times New Roman"/>
        </w:rPr>
        <w:fldChar w:fldCharType="begin"/>
      </w:r>
      <w:r w:rsidR="00830750" w:rsidRPr="00E252FB">
        <w:rPr>
          <w:rFonts w:cs="Times New Roman"/>
        </w:rPr>
        <w:instrText xml:space="preserve"> ADDIN ZOTERO_ITEM CSL_CITATION {"citationID":"gCSpN8VZ","properties":{"unsorted":true,"formattedCitation":"(Li &amp; Wang, 2013; Mi et al., 2017; Valavi et al., 2021)","plainCitation":"(Li &amp; Wang, 2013; Mi et al., 2017; Valavi et al., 2021)","dontUpdate":true,"noteIndex":0},"citationItems":[{"id":1032,"uris":["http://zotero.org/users/7119014/items/XECVIZYT"],"itemData":{"id":1032,"type":"article-journal","abstract":"Species distribution models have been used extensively in many fields, including climate change biology, landscape ecology and conservation biology. In the past 3 decades, a number of new models have been proposed, yet researchers still find it difficult to select appropriate models for data and objectives. In this review, we aim to provide insight into the prevailing species distribution models for newcomers in the field of modelling. We compared 11 popular models, including regression models (the generalized linear model, the generalized additive model, the multivariate adaptive regression splines model and hierarchical modelling), classification models (mixture discriminant analysis, the generalized boosting model, and classification and regression tree analysis) and complex models (artificial neural network, random forest, genetic algorithm for rule set production and maximum entropy approaches). Our objectives are: (i) to compare the strengths and weaknesses of the models, their characteristics and identify suitable situations for their use (in terms of data type and species–environment relationships) and (ii) to provide guidelines for model application, including 3 steps: model selection, model formulation and parameter estimation.","container-title":"Integrative Zoology","DOI":"10.1111/1749-4877.12000","ISSN":"1749-4877","issue":"2","language":"en","license":"© 2012 Wiley Publishing Asia Pty Ltd, ISZS and IOZ/CAS","note":"_eprint: https://onlinelibrary.wiley.com/doi/pdf/10.1111/1749-4877.12000","page":"124-135","source":"Wiley Online Library","title":"Applying various algorithms for species distribution modelling","volume":"8","author":[{"family":"Li","given":"Xinhai"},{"family":"Wang","given":"Yuan"}],"issued":{"date-parts":[["2013"]]}}},{"id":1041,"uris":["http://zotero.org/users/7119014/items/RGK2L5P7"],"itemData":{"id":1041,"type":"article-journal","abstract":"Species distribution models (SDMs) have become an essential tool in ecology, biogeography, evolution and, more recently, in conservation biology. How to generalize species distributions in large undersampled areas, especially with few samples, is a fundamental issue of SDMs. In order to explore this issue, we used the best available presence records for the Hooded Crane (Grus monacha, n = 33), White-naped Crane (Grus vipio, n = 40), and Black-necked Crane (Grus nigricollis, n = 75) in China as three case studies, employing four powerful and commonly used machine learning algorithms to map the breeding distributions of the three species: TreeNet (Stochastic Gradient Boosting, Boosted Regression Tree Model), Random Forest, CART (Classification and Regression Tree) and Maxent (Maximum Entropy Models). In addition, we developed an ensemble forecast by averaging predicted probability of the above four models results. Commonly used model performance metrics (Area under ROC (AUC) and true skill statistic (TSS)) were employed to evaluate model accuracy. The latest satellite tracking data and compiled literature data were used as two independent testing datasets to confront model predictions. We found Random Forest demonstrated the best performance for the most assessment method, provided a better model fit to the testing data, and achieved better species range maps for each crane species in undersampled areas. Random Forest has been generally available for more than 20 years and has been known to perform extremely well in ecological predictions. However, while increasingly on the rise, its potential is still widely underused in conservation, (spatial) ecological applications and for inference. Our results show that it informs ecological and biogeographical theories as well as being suitable for conservation applications, specifically when the study area is undersampled. This method helps to save model-selection time and effort, and allows robust and rapid assessments and decisions for efficient conservation.","container-title":"PeerJ","DOI":"10.7717/peerj.2849","ISSN":"2167-8359","journalAbbreviation":"PeerJ","language":"en","note":"publisher: PeerJ Inc.","page":"e2849","source":"peerj.com","title":"Why choose Random Forest to predict rare species distribution with few samples in large undersampled areas? Three Asian crane species models provide supporting evidence","title-short":"Why choose Random Forest to predict rare species distribution with few samples in large undersampled areas?","volume":"5","author":[{"family":"Mi","given":"Chunrong"},{"family":"Huettmann","given":"Falk"},{"family":"Guo","given":"Yumin"},{"family":"Han","given":"Xuesong"},{"family":"Wen","given":"Lijia"}],"issued":{"date-parts":[["2017",1,12]]}}},{"id":1035,"uris":["http://zotero.org/users/7119014/items/KQTP8L6U"],"itemData":{"id":1035,"type":"article-journal","abstract":"The random forest (RF) algorithm is an ensemble of classification or regression trees and is widely used, including for species distribution modelling (SDM). Many researchers use implementations of RF in the R programming language with default parameters to analyse species presence-only data together with ‘background' samples. However, there is good evidence that RF with default parameters does not perform well for such ‘presence-background' modelling. This is often attributed to the disparity between the number of presence and background samples, also known as 'class imbalance', and several solutions have been proposed. Here, we first set the context: the background sample should be large enough to represent all environments in the region. We then aim to understand the drivers of poor performance of RF when models are fitted to presence-only species data alongside background samples. We show that 'class overlap' (where both classes occur in the same environment) is an important driver of poor performance, alongside class imbalance. Class overlap can even degrade performance for presence–absence data. We explain, test and evaluate suggested solutions. Using simulated and real presence-background data, we compare performance of default RF with other weighting and sampling approaches. Our results demonstrate clear evidence of improvement in the performance of RFs when techniques that explicitly manage imbalance are used. We show that these either limit or enforce tree depth. Without compromising the environmental representativeness of the sampled background, we identify approaches to fitting RF that ameliorate the effects of imbalance and overlap and allow excellent predictive performance. Understanding the problems of RF in presence-background modelling allows new insights into how best to fit models, and should guide future efforts to best deal with such data.","container-title":"Ecography","DOI":"10.1111/ecog.05615","ISSN":"1600-0587","issue":"12","language":"en","license":"© 2021 The Authors. Ecography published by John Wiley &amp; Sons Ltd on behalf of Nordic Society Oikos","note":"_eprint: https://onlinelibrary.wiley.com/doi/pdf/10.1111/ecog.05615","page":"1731-1742","source":"Wiley Online Library","title":"Modelling species presence-only data with random forests","volume":"44","author":[{"family":"Valavi","given":"Roozbeh"},{"family":"Elith","given":"Jane"},{"family":"Lahoz-Monfort","given":"José J."},{"family":"Guillera-Arroita","given":"Gurutzeta"}],"issued":{"date-parts":[["2021"]]}}}],"schema":"https://github.com/citation-style-language/schema/raw/master/csl-citation.json"} </w:instrText>
      </w:r>
      <w:r w:rsidR="008E64F7" w:rsidRPr="00E252FB">
        <w:rPr>
          <w:rFonts w:cs="Times New Roman"/>
        </w:rPr>
        <w:fldChar w:fldCharType="separate"/>
      </w:r>
      <w:r w:rsidR="008E64F7" w:rsidRPr="00E252FB">
        <w:rPr>
          <w:rFonts w:cs="Times New Roman"/>
        </w:rPr>
        <w:t>Li &amp; Wang (2013); Mi et al. (2017); Valavi et al. (2021)</w:t>
      </w:r>
      <w:r w:rsidR="008E64F7" w:rsidRPr="00E252FB">
        <w:rPr>
          <w:rFonts w:cs="Times New Roman"/>
        </w:rPr>
        <w:fldChar w:fldCharType="end"/>
      </w:r>
      <w:r w:rsidRPr="00E252FB">
        <w:rPr>
          <w:rFonts w:cs="Times New Roman"/>
          <w:szCs w:val="24"/>
        </w:rPr>
        <w:t>, who observed that RF exhibited very high predictive performances. Additionally, a study conducted at the scale of Germany by</w:t>
      </w:r>
      <w:r w:rsidR="00830750" w:rsidRPr="00E252FB">
        <w:rPr>
          <w:rFonts w:cs="Times New Roman"/>
          <w:szCs w:val="24"/>
        </w:rPr>
        <w:t xml:space="preserve"> </w:t>
      </w:r>
      <w:r w:rsidR="00830750" w:rsidRPr="00E252FB">
        <w:rPr>
          <w:rFonts w:cs="Times New Roman"/>
          <w:szCs w:val="24"/>
        </w:rPr>
        <w:fldChar w:fldCharType="begin"/>
      </w:r>
      <w:r w:rsidR="00830750" w:rsidRPr="00E252FB">
        <w:rPr>
          <w:rFonts w:cs="Times New Roman"/>
          <w:szCs w:val="24"/>
        </w:rPr>
        <w:instrText xml:space="preserve"> ADDIN ZOTERO_ITEM CSL_CITATION {"citationID":"fYoguc1B","properties":{"formattedCitation":"(Salako et al., 2023)","plainCitation":"(Salako et al., 2023)","noteIndex":0},"citationItems":[{"id":987,"uris":["http://zotero.org/users/7119014/items/C9DXIQDG"],"itemData":{"id":987,"type":"article-journal","abstract":"Identifying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00830750" w:rsidRPr="00E252FB">
        <w:rPr>
          <w:rFonts w:cs="Times New Roman"/>
          <w:szCs w:val="24"/>
        </w:rPr>
        <w:fldChar w:fldCharType="separate"/>
      </w:r>
      <w:r w:rsidR="00830750" w:rsidRPr="00E252FB">
        <w:rPr>
          <w:rFonts w:cs="Times New Roman"/>
        </w:rPr>
        <w:t xml:space="preserve">Salako et al. </w:t>
      </w:r>
      <w:r w:rsidR="00C77D3A" w:rsidRPr="00E252FB">
        <w:rPr>
          <w:rFonts w:cs="Times New Roman"/>
        </w:rPr>
        <w:t>(</w:t>
      </w:r>
      <w:r w:rsidR="00830750" w:rsidRPr="00E252FB">
        <w:rPr>
          <w:rFonts w:cs="Times New Roman"/>
        </w:rPr>
        <w:t>2023)</w:t>
      </w:r>
      <w:r w:rsidR="00830750" w:rsidRPr="00E252FB">
        <w:rPr>
          <w:rFonts w:cs="Times New Roman"/>
          <w:szCs w:val="24"/>
        </w:rPr>
        <w:fldChar w:fldCharType="end"/>
      </w:r>
      <w:r w:rsidRPr="00E252FB">
        <w:rPr>
          <w:rFonts w:cs="Times New Roman"/>
          <w:szCs w:val="24"/>
        </w:rPr>
        <w:t xml:space="preserve"> using different prediction algorithms concluded that RF was the most effective algorithm for predicting earthworm communities.</w:t>
      </w:r>
      <w:r w:rsidR="00C77D3A" w:rsidRPr="00E252FB">
        <w:rPr>
          <w:rFonts w:cs="Times New Roman"/>
          <w:szCs w:val="24"/>
        </w:rPr>
        <w:t xml:space="preserve"> </w:t>
      </w:r>
      <w:r w:rsidRPr="00E252FB">
        <w:rPr>
          <w:rFonts w:cs="Times New Roman"/>
          <w:szCs w:val="24"/>
        </w:rPr>
        <w:t xml:space="preserve">The high performances of these algorithms can be attributed to the fact that RF and GBM act as ensemble classifiers, utilizing multiple alternative trees in decision-making during model predictions </w:t>
      </w:r>
      <w:r w:rsidR="00C77D3A" w:rsidRPr="00E252FB">
        <w:rPr>
          <w:rFonts w:cs="Times New Roman"/>
        </w:rPr>
        <w:fldChar w:fldCharType="begin"/>
      </w:r>
      <w:r w:rsidR="00182546" w:rsidRPr="00E252FB">
        <w:rPr>
          <w:rFonts w:cs="Times New Roman"/>
        </w:rPr>
        <w:instrText xml:space="preserve"> ADDIN ZOTERO_ITEM CSL_CITATION {"citationID":"esQfpElr","properties":{"formattedCitation":"(Breiman, 2001; Li &amp; Wang, 2013)","plainCitation":"(Breiman, 2001; Li &amp; Wang, 2013)","noteIndex":0},"citationItems":[{"id":1134,"uris":["http://zotero.org/users/7119014/items/G8G7SZYM"],"itemData":{"id":1134,"type":"article-journal","abstract":"Random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Forests","volume":"45","author":[{"family":"Breiman","given":"Leo"}],"issued":{"date-parts":[["2001",10,1]]}}},{"id":1032,"uris":["http://zotero.org/users/7119014/items/XECVIZYT"],"itemData":{"id":1032,"type":"article-journal","abstract":"Species distribution models have been used extensively in many fields, including climate change biology, landscape ecology and conservation biology. In the past 3 decades, a number of new models have been proposed, yet researchers still find it difficult to select appropriate models for data and objectives. In this review, we aim to provide insight into the prevailing species distribution models for newcomers in the field of modelling. We compared 11 popular models, including regression models (the generalized linear model, the generalized additive model, the multivariate adaptive regression splines model and hierarchical modelling), classification models (mixture discriminant analysis, the generalized boosting model, and classification and regression tree analysis) and complex models (artificial neural network, random forest, genetic algorithm for rule set production and maximum entropy approaches). Our objectives are: (i) to compare the strengths and weaknesses of the models, their characteristics and identify suitable situations for their use (in terms of data type and species–environment relationships) and (ii) to provide guidelines for model application, including 3 steps: model selection, model formulation and parameter estimation.","container-title":"Integrative Zoology","DOI":"10.1111/1749-4877.12000","ISSN":"1749-4877","issue":"2","language":"en","license":"© 2012 Wiley Publishing Asia Pty Ltd, ISZS and IOZ/CAS","note":"_eprint: https://onlinelibrary.wiley.com/doi/pdf/10.1111/1749-4877.12000","page":"124-135","source":"Wiley Online Library","title":"Applying various algorithms for species distribution modelling","volume":"8","author":[{"family":"Li","given":"Xinhai"},{"family":"Wang","given":"Yuan"}],"issued":{"date-parts":[["2013"]]}}}],"schema":"https://github.com/citation-style-language/schema/raw/master/csl-citation.json"} </w:instrText>
      </w:r>
      <w:r w:rsidR="00C77D3A" w:rsidRPr="00E252FB">
        <w:rPr>
          <w:rFonts w:cs="Times New Roman"/>
        </w:rPr>
        <w:fldChar w:fldCharType="separate"/>
      </w:r>
      <w:r w:rsidR="00C77D3A" w:rsidRPr="00E252FB">
        <w:rPr>
          <w:rFonts w:cs="Times New Roman"/>
        </w:rPr>
        <w:t>(Breiman, 2001; Li &amp; Wang, 2013)</w:t>
      </w:r>
      <w:r w:rsidR="00C77D3A" w:rsidRPr="00E252FB">
        <w:rPr>
          <w:rFonts w:cs="Times New Roman"/>
        </w:rPr>
        <w:fldChar w:fldCharType="end"/>
      </w:r>
      <w:r w:rsidR="00C77D3A" w:rsidRPr="00E252FB">
        <w:rPr>
          <w:rFonts w:cs="Times New Roman"/>
        </w:rPr>
        <w:t xml:space="preserve">. </w:t>
      </w:r>
      <w:r w:rsidRPr="00E252FB">
        <w:rPr>
          <w:rFonts w:cs="Times New Roman"/>
          <w:szCs w:val="24"/>
        </w:rPr>
        <w:t xml:space="preserve">Their effectiveness also stems from their ability to better capture nonlinear relationships between explanatory and response variables, robustness to outliers, and superior handling of variable interactions </w:t>
      </w:r>
      <w:r w:rsidR="006A3C5B" w:rsidRPr="00E252FB">
        <w:rPr>
          <w:rFonts w:cs="Times New Roman"/>
        </w:rPr>
        <w:fldChar w:fldCharType="begin"/>
      </w:r>
      <w:r w:rsidR="00182546" w:rsidRPr="00E252FB">
        <w:rPr>
          <w:rFonts w:cs="Times New Roman"/>
        </w:rPr>
        <w:instrText xml:space="preserve"> ADDIN ZOTERO_ITEM CSL_CITATION {"citationID":"TflBxZaL","properties":{"formattedCitation":"(Breiman, 2001; Li &amp; Wang, 2013)","plainCitation":"(Breiman, 2001; Li &amp; Wang, 2013)","dontUpdate":true,"noteIndex":0},"citationItems":[{"id":1134,"uris":["http://zotero.org/users/7119014/items/G8G7SZYM"],"itemData":{"id":1134,"type":"article-journal","abstract":"Random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Forests","volume":"45","author":[{"family":"Breiman","given":"Leo"}],"issued":{"date-parts":[["2001",10,1]]}}},{"id":1032,"uris":["http://zotero.org/users/7119014/items/XECVIZYT"],"itemData":{"id":1032,"type":"article-journal","abstract":"Species distribution models have been used extensively in many fields, including climate change biology, landscape ecology and conservation biology. In the past 3 decades, a number of new models have been proposed, yet researchers still find it difficult to select appropriate models for data and objectives. In this review, we aim to provide insight into the prevailing species distribution models for newcomers in the field of modelling. We compared 11 popular models, including regression models (the generalized linear model, the generalized additive model, the multivariate adaptive regression splines model and hierarchical modelling), classification models (mixture discriminant analysis, the generalized boosting model, and classification and regression tree analysis) and complex models (artificial neural network, random forest, genetic algorithm for rule set production and maximum entropy approaches). Our objectives are: (i) to compare the strengths and weaknesses of the models, their characteristics and identify suitable situations for their use (in terms of data type and species–environment relationships) and (ii) to provide guidelines for model application, including 3 steps: model selection, model formulation and parameter estimation.","container-title":"Integrative Zoology","DOI":"10.1111/1749-4877.12000","ISSN":"1749-4877","issue":"2","language":"en","license":"© 2012 Wiley Publishing Asia Pty Ltd, ISZS and IOZ/CAS","note":"_eprint: https://onlinelibrary.wiley.com/doi/pdf/10.1111/1749-4877.12000","page":"124-135","source":"Wiley Online Library","title":"Applying various algorithms for species distribution modelling","volume":"8","author":[{"family":"Li","given":"Xinhai"},{"family":"Wang","given":"Yuan"}],"issued":{"date-parts":[["2013"]]}}}],"schema":"https://github.com/citation-style-language/schema/raw/master/csl-citation.json"} </w:instrText>
      </w:r>
      <w:r w:rsidR="006A3C5B" w:rsidRPr="00E252FB">
        <w:rPr>
          <w:rFonts w:cs="Times New Roman"/>
        </w:rPr>
        <w:fldChar w:fldCharType="separate"/>
      </w:r>
      <w:r w:rsidR="006A3C5B" w:rsidRPr="00E252FB">
        <w:rPr>
          <w:rFonts w:cs="Times New Roman"/>
        </w:rPr>
        <w:t>(Breiman, 2001)</w:t>
      </w:r>
      <w:r w:rsidR="006A3C5B" w:rsidRPr="00E252FB">
        <w:rPr>
          <w:rFonts w:cs="Times New Roman"/>
        </w:rPr>
        <w:fldChar w:fldCharType="end"/>
      </w:r>
      <w:r w:rsidRPr="00E252FB">
        <w:rPr>
          <w:rFonts w:cs="Times New Roman"/>
          <w:szCs w:val="24"/>
        </w:rPr>
        <w:t xml:space="preserve">. Considering the high predictive potential of RF and GBM, it would be beneficial to use </w:t>
      </w:r>
      <w:r w:rsidRPr="00E252FB">
        <w:rPr>
          <w:rFonts w:cs="Times New Roman"/>
          <w:szCs w:val="24"/>
        </w:rPr>
        <w:lastRenderedPageBreak/>
        <w:t>them in ecological studies and not restrict oneself to traditional regression algorithms alone</w:t>
      </w:r>
      <w:r w:rsidR="00182546" w:rsidRPr="00E252FB">
        <w:rPr>
          <w:rFonts w:cs="Times New Roman"/>
          <w:szCs w:val="24"/>
        </w:rPr>
        <w:fldChar w:fldCharType="begin"/>
      </w:r>
      <w:r w:rsidR="00182546" w:rsidRPr="00E252FB">
        <w:rPr>
          <w:rFonts w:cs="Times New Roman"/>
          <w:szCs w:val="24"/>
        </w:rPr>
        <w:instrText xml:space="preserve"> ADDIN ZOTERO_ITEM CSL_CITATION {"citationID":"HKt2JAYi","properties":{"unsorted":true,"formattedCitation":"(Rutgers et al., 2016; Phillips et al., 2019)","plainCitation":"(Rutgers et al., 2016; Phillips et al., 2019)","noteIndex":0},"citationItems":[{"id":991,"uris":["http://zotero.org/users/7119014/items/UGD4D5CZ"],"itemData":{"id":991,"type":"article-journal","abstract":"Existing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K."},{"family":"Eisenhauer","given":"Nico"}],"issued":{"date-parts":[["2019",10,25]]}}}],"schema":"https://github.com/citation-style-language/schema/raw/master/csl-citation.json"} </w:instrText>
      </w:r>
      <w:r w:rsidR="00182546" w:rsidRPr="00E252FB">
        <w:rPr>
          <w:rFonts w:cs="Times New Roman"/>
          <w:szCs w:val="24"/>
        </w:rPr>
        <w:fldChar w:fldCharType="separate"/>
      </w:r>
      <w:r w:rsidR="00182546" w:rsidRPr="00E252FB">
        <w:rPr>
          <w:rFonts w:cs="Times New Roman"/>
        </w:rPr>
        <w:t>(Rutgers et al., 2016; Phillips et al., 2019)</w:t>
      </w:r>
      <w:r w:rsidR="00182546" w:rsidRPr="00E252FB">
        <w:rPr>
          <w:rFonts w:cs="Times New Roman"/>
          <w:szCs w:val="24"/>
        </w:rPr>
        <w:fldChar w:fldCharType="end"/>
      </w:r>
      <w:r w:rsidRPr="00E252FB">
        <w:rPr>
          <w:rFonts w:cs="Times New Roman"/>
          <w:szCs w:val="24"/>
        </w:rPr>
        <w:t xml:space="preserve">. However, RF and GBM require substantial amounts of data to achieve good predictive performances </w:t>
      </w:r>
      <w:r w:rsidR="00DC1915" w:rsidRPr="00E252FB">
        <w:rPr>
          <w:rFonts w:cs="Times New Roman"/>
          <w:szCs w:val="24"/>
        </w:rPr>
        <w:fldChar w:fldCharType="begin"/>
      </w:r>
      <w:r w:rsidR="00DC1915" w:rsidRPr="00E252FB">
        <w:rPr>
          <w:rFonts w:cs="Times New Roman"/>
          <w:szCs w:val="24"/>
        </w:rPr>
        <w:instrText xml:space="preserve"> ADDIN ZOTERO_ITEM CSL_CITATION {"citationID":"IcX2zAFC","properties":{"formattedCitation":"(Yiu, 2021)","plainCitation":"(Yiu, 2021)","noteIndex":0},"citationItems":[{"id":1043,"uris":["http://zotero.org/users/7119014/items/L6P9R48S"],"itemData":{"id":1043,"type":"webpage","abstract":"How the Algorithm Works and Why it Is So Effective","container-title":"Medium","language":"en","title":"Understanding Random Forest","URL":"https://towardsdatascience.com/understanding-random-forest-58381e0602d2","author":[{"family":"Yiu","given":"Tony"}],"accessed":{"date-parts":[["2024",1,18]]},"issued":{"date-parts":[["2021",9,29]]}}}],"schema":"https://github.com/citation-style-language/schema/raw/master/csl-citation.json"} </w:instrText>
      </w:r>
      <w:r w:rsidR="00DC1915" w:rsidRPr="00E252FB">
        <w:rPr>
          <w:rFonts w:cs="Times New Roman"/>
          <w:szCs w:val="24"/>
        </w:rPr>
        <w:fldChar w:fldCharType="separate"/>
      </w:r>
      <w:r w:rsidR="00DC1915" w:rsidRPr="00E252FB">
        <w:rPr>
          <w:rFonts w:cs="Times New Roman"/>
        </w:rPr>
        <w:t>(Yiu, 2021)</w:t>
      </w:r>
      <w:r w:rsidR="00DC1915" w:rsidRPr="00E252FB">
        <w:rPr>
          <w:rFonts w:cs="Times New Roman"/>
          <w:szCs w:val="24"/>
        </w:rPr>
        <w:fldChar w:fldCharType="end"/>
      </w:r>
      <w:r w:rsidR="00DC1915" w:rsidRPr="00E252FB">
        <w:rPr>
          <w:rFonts w:cs="Times New Roman"/>
          <w:szCs w:val="24"/>
        </w:rPr>
        <w:t>.</w:t>
      </w:r>
      <w:r w:rsidRPr="00E252FB">
        <w:rPr>
          <w:rFonts w:cs="Times New Roman"/>
          <w:szCs w:val="24"/>
        </w:rPr>
        <w:t>This indicates that model performances could be further improved in the future if we manage to merge and standardize the various existing databases between research units and countries.</w:t>
      </w:r>
      <w:r w:rsidR="00DC1915" w:rsidRPr="00E252FB">
        <w:rPr>
          <w:rFonts w:cs="Times New Roman"/>
          <w:szCs w:val="24"/>
        </w:rPr>
        <w:t xml:space="preserve"> </w:t>
      </w:r>
      <w:r w:rsidRPr="00E252FB">
        <w:rPr>
          <w:rFonts w:cs="Times New Roman"/>
          <w:szCs w:val="24"/>
        </w:rPr>
        <w:t>Another limitation of RF and GBM is their low interpretability, but this seems to be becoming less true as numerous tools now exist to better understand and interpret machine learning models. For example, the "</w:t>
      </w:r>
      <w:proofErr w:type="spellStart"/>
      <w:r w:rsidRPr="00E252FB">
        <w:rPr>
          <w:rFonts w:cs="Times New Roman"/>
          <w:szCs w:val="24"/>
        </w:rPr>
        <w:t>iml</w:t>
      </w:r>
      <w:proofErr w:type="spellEnd"/>
      <w:r w:rsidRPr="00E252FB">
        <w:rPr>
          <w:rFonts w:cs="Times New Roman"/>
          <w:szCs w:val="24"/>
        </w:rPr>
        <w:t xml:space="preserve">" package provides very relevant tools for analyzing any black-box machine learning model. The package allows for exploring the importance, effects, and interactions of variables while also proposing surrogate models </w:t>
      </w:r>
      <w:r w:rsidR="00DC1915" w:rsidRPr="00E252FB">
        <w:rPr>
          <w:rFonts w:cs="Times New Roman"/>
          <w:szCs w:val="24"/>
        </w:rPr>
        <w:fldChar w:fldCharType="begin"/>
      </w:r>
      <w:r w:rsidR="00DC1915" w:rsidRPr="00E252FB">
        <w:rPr>
          <w:rFonts w:cs="Times New Roman"/>
          <w:szCs w:val="24"/>
        </w:rPr>
        <w:instrText xml:space="preserve"> ADDIN ZOTERO_ITEM CSL_CITATION {"citationID":"MZPZ7yKL","properties":{"formattedCitation":"(Casalicchio et al., 2024)","plainCitation":"(Casalicchio et al., 2024)","noteIndex":0},"citationItems":[{"id":1159,"uris":["http://zotero.org/users/7119014/items/ZEM2TT3C"],"itemData":{"id":1159,"type":"software","abstract":"Interpretability methods to analyze the behavior and predictions of any machine learning model. Implemented methods are: Feature importance described by Fisher et al. (2018) &lt;doi:10.48550/arxiv.1801.01489&gt;, accumulated local effects plots described by Apley (2018) &lt;doi:10.48550/arxiv.1612.08468&gt;, partial dependence plots described by Friedman (2001) &lt;www.jstor.org/stable/2699986&gt;, individual conditional expectation ('ice') plots described by Goldstein et al. (2013) &lt;doi:10.1080/10618600.2014.907095&gt;, local models (variant of 'lime') described by Ribeiro et. al (2016) &lt;doi:10.48550/arXiv.1602.04938&gt;, the Shapley Value described by Strumbelj et. al (2014) &lt;doi:10.1007/s10115-013-0679-x&gt;, feature interactions described by Friedman et. al &lt;doi:10.1214/07-AOAS148&gt; and tree surrogate models.","license":"MIT + file LICENSE","source":"R-Packages","title":"iml: Interpretable Machine Learning","title-short":"iml","URL":"https://cran.r-project.org/web/packages/iml/","version":"0.11.3","author":[{"family":"Casalicchio","given":"Giuseppe"},{"family":"Molnar","given":"Christoph"},{"family":"Schratz","given":"Patrick"}],"accessed":{"date-parts":[["2024",5,16]]},"issued":{"date-parts":[["2024",4,27]]}}}],"schema":"https://github.com/citation-style-language/schema/raw/master/csl-citation.json"} </w:instrText>
      </w:r>
      <w:r w:rsidR="00DC1915" w:rsidRPr="00E252FB">
        <w:rPr>
          <w:rFonts w:cs="Times New Roman"/>
          <w:szCs w:val="24"/>
        </w:rPr>
        <w:fldChar w:fldCharType="separate"/>
      </w:r>
      <w:r w:rsidR="00DC1915" w:rsidRPr="00E252FB">
        <w:rPr>
          <w:rFonts w:cs="Times New Roman"/>
        </w:rPr>
        <w:t>(Casalicchio et al., 2024)</w:t>
      </w:r>
      <w:r w:rsidR="00DC1915" w:rsidRPr="00E252FB">
        <w:rPr>
          <w:rFonts w:cs="Times New Roman"/>
          <w:szCs w:val="24"/>
        </w:rPr>
        <w:fldChar w:fldCharType="end"/>
      </w:r>
      <w:r w:rsidR="00DC1915" w:rsidRPr="00E252FB">
        <w:rPr>
          <w:rFonts w:cs="Times New Roman"/>
          <w:szCs w:val="24"/>
        </w:rPr>
        <w:t>.</w:t>
      </w:r>
    </w:p>
    <w:p w14:paraId="032167EC" w14:textId="547D21B6" w:rsidR="00D67A7F" w:rsidRPr="00E252FB" w:rsidRDefault="00D67A7F" w:rsidP="00D67A7F">
      <w:pPr>
        <w:rPr>
          <w:rFonts w:cs="Times New Roman"/>
          <w:szCs w:val="24"/>
        </w:rPr>
      </w:pPr>
      <w:r w:rsidRPr="00E252FB">
        <w:rPr>
          <w:rFonts w:cs="Times New Roman"/>
          <w:szCs w:val="24"/>
        </w:rPr>
        <w:t xml:space="preserve">It is important to note that the explanatory variables related to climate and soil come from external databases, as not all plots in our database contained this information. However, this reliance on external databases constitutes a limitation, as already mentioned </w:t>
      </w:r>
      <w:r w:rsidR="00B54466" w:rsidRPr="00E252FB">
        <w:rPr>
          <w:rFonts w:cs="Times New Roman"/>
        </w:rPr>
        <w:fldChar w:fldCharType="begin"/>
      </w:r>
      <w:r w:rsidR="00B54466" w:rsidRPr="00E252FB">
        <w:rPr>
          <w:rFonts w:cs="Times New Roman"/>
        </w:rPr>
        <w:instrText xml:space="preserve"> ADDIN ZOTERO_ITEM CSL_CITATION {"citationID":"1u9yBaId","properties":{"formattedCitation":"(Rutgers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B54466" w:rsidRPr="00E252FB">
        <w:rPr>
          <w:rFonts w:cs="Times New Roman"/>
        </w:rPr>
        <w:fldChar w:fldCharType="separate"/>
      </w:r>
      <w:r w:rsidR="00B54466" w:rsidRPr="00E252FB">
        <w:rPr>
          <w:rFonts w:cs="Times New Roman"/>
        </w:rPr>
        <w:t>Rutgers et al. (2016)</w:t>
      </w:r>
      <w:r w:rsidR="00B54466" w:rsidRPr="00E252FB">
        <w:rPr>
          <w:rFonts w:cs="Times New Roman"/>
        </w:rPr>
        <w:fldChar w:fldCharType="end"/>
      </w:r>
      <w:r w:rsidR="00B54466" w:rsidRPr="00E252FB">
        <w:rPr>
          <w:rFonts w:cs="Times New Roman"/>
          <w:szCs w:val="24"/>
        </w:rPr>
        <w:t xml:space="preserve"> and </w:t>
      </w:r>
      <w:r w:rsidR="00B54466" w:rsidRPr="00E252FB">
        <w:rPr>
          <w:rFonts w:cs="Times New Roman"/>
          <w:szCs w:val="24"/>
        </w:rPr>
        <w:fldChar w:fldCharType="begin"/>
      </w:r>
      <w:r w:rsidR="00B54466" w:rsidRPr="00E252FB">
        <w:rPr>
          <w:rFonts w:cs="Times New Roman"/>
          <w:szCs w:val="24"/>
        </w:rPr>
        <w:instrText xml:space="preserve"> ADDIN ZOTERO_ITEM CSL_CITATION {"citationID":"5iMCjz3h","properties":{"formattedCitation":"(Salako et al., 2023)","plainCitation":"(Salako et al., 2023)","dontUpdate":true,"noteIndex":0},"citationItems":[{"id":987,"uris":["http://zotero.org/users/7119014/items/C9DXIQDG"],"itemData":{"id":987,"type":"article-journal","abstract":"Identifying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00B54466" w:rsidRPr="00E252FB">
        <w:rPr>
          <w:rFonts w:cs="Times New Roman"/>
          <w:szCs w:val="24"/>
        </w:rPr>
        <w:fldChar w:fldCharType="separate"/>
      </w:r>
      <w:r w:rsidR="00B54466" w:rsidRPr="00E252FB">
        <w:rPr>
          <w:rFonts w:cs="Times New Roman"/>
        </w:rPr>
        <w:t xml:space="preserve"> Salako et al. (2023)</w:t>
      </w:r>
      <w:r w:rsidR="00B54466" w:rsidRPr="00E252FB">
        <w:rPr>
          <w:rFonts w:cs="Times New Roman"/>
          <w:szCs w:val="24"/>
        </w:rPr>
        <w:fldChar w:fldCharType="end"/>
      </w:r>
      <w:r w:rsidRPr="00E252FB">
        <w:rPr>
          <w:rFonts w:cs="Times New Roman"/>
          <w:szCs w:val="24"/>
        </w:rPr>
        <w:t>. Indeed, the quality of the data used during model training greatly influences their performance. Nevertheless, we chose not to use external databases for land use because this information was well documented in our database. This choice avoids any temporal gap between earthworm observations and land uses, which may change over the years.</w:t>
      </w:r>
      <w:r w:rsidR="00B54466" w:rsidRPr="00E252FB">
        <w:rPr>
          <w:rFonts w:cs="Times New Roman"/>
          <w:szCs w:val="24"/>
        </w:rPr>
        <w:t xml:space="preserve"> </w:t>
      </w:r>
      <w:r w:rsidRPr="00E252FB">
        <w:rPr>
          <w:rFonts w:cs="Times New Roman"/>
          <w:szCs w:val="24"/>
        </w:rPr>
        <w:t xml:space="preserve">Another limitation of our study lies in the restricted selection of land use types. We only used six types of Level 3 land use defined by Corine Land Cover. Other land use types were not included due to the lack of available data. Additionally, we could not distinguish between deciduous forests, coniferous forests, and mixed forests. Therefore, we grouped these three types of forests under a single land use type: "Forest" (all types). This decision was made considering that land use has a significant impact on earthworm populations, as highlighted by </w:t>
      </w:r>
      <w:r w:rsidR="00B54466" w:rsidRPr="00E252FB">
        <w:rPr>
          <w:rFonts w:cs="Times New Roman"/>
          <w:szCs w:val="24"/>
        </w:rPr>
        <w:fldChar w:fldCharType="begin"/>
      </w:r>
      <w:r w:rsidR="00B54466" w:rsidRPr="00E252FB">
        <w:rPr>
          <w:rFonts w:cs="Times New Roman"/>
          <w:szCs w:val="24"/>
        </w:rPr>
        <w:instrText xml:space="preserve"> ADDIN ZOTERO_ITEM CSL_CITATION {"citationID":"KcVKRir0","properties":{"formattedCitation":"(Spurgeon et al., 2013)","plainCitation":"(Spurgeon et al., 2013)","dontUpdate":true,"noteIndex":0},"citationItems":[{"id":1168,"uris":["http://zotero.org/users/7119014/items/C9KIG43D"],"itemData":{"id":1168,"type":"article-journal","abstract":"Change in land use and management can impact massively on soil ecosystems. Ecosystem engineers and other functional biodiversity in soils can be influenced directly by such change and this in turn can affect key soil functions. Here, we employ meta-analysis to provide a quantitative assessment of the effects of changes in land use and land management across a range of successional/extensification transitions (conventional arable → no or reduced tillage → grassland → wooded land) on community metrics for two functionally important soil taxa, earthworms and fungi. An analysis of the relationships between community change and soil structural properties was also included.","container-title":"BMC Ecology","DOI":"10.1186/1472-6785-13-46","ISSN":"1472-6785","issue":"1","journalAbbreviation":"BMC Ecol","language":"en","page":"46","source":"Springer Link","title":"Land-use and land-management change: relationships with earthworm and fungi communities and soil structural properties","title-short":"Land-use and land-management change","volume":"13","author":[{"family":"Spurgeon","given":"David J."},{"family":"Keith","given":"Aidan M."},{"family":"Schmidt","given":"Olaf"},{"family":"Lammertsma","given":"Dennis R."},{"family":"Faber","given":"Jack H."}],"issued":{"date-parts":[["2013",12,1]]}}}],"schema":"https://github.com/citation-style-language/schema/raw/master/csl-citation.json"} </w:instrText>
      </w:r>
      <w:r w:rsidR="00B54466" w:rsidRPr="00E252FB">
        <w:rPr>
          <w:rFonts w:cs="Times New Roman"/>
          <w:szCs w:val="24"/>
        </w:rPr>
        <w:fldChar w:fldCharType="separate"/>
      </w:r>
      <w:r w:rsidR="00B54466" w:rsidRPr="00E252FB">
        <w:rPr>
          <w:rFonts w:cs="Times New Roman"/>
        </w:rPr>
        <w:t>Spurgeon et al. (2013)</w:t>
      </w:r>
      <w:r w:rsidR="00B54466" w:rsidRPr="00E252FB">
        <w:rPr>
          <w:rFonts w:cs="Times New Roman"/>
          <w:szCs w:val="24"/>
        </w:rPr>
        <w:fldChar w:fldCharType="end"/>
      </w:r>
      <w:r w:rsidR="00B54466" w:rsidRPr="00E252FB">
        <w:rPr>
          <w:rFonts w:cs="Times New Roman"/>
          <w:szCs w:val="24"/>
        </w:rPr>
        <w:t xml:space="preserve">. </w:t>
      </w:r>
      <w:r w:rsidRPr="00E252FB">
        <w:rPr>
          <w:rFonts w:cs="Times New Roman"/>
          <w:szCs w:val="24"/>
        </w:rPr>
        <w:t>We are also aware that our database is unbalanced in terms of sampling, with more observations in the north than in the south, which could explain the low R² for total biomass, especially since some earthworm observations had no biomass.</w:t>
      </w:r>
    </w:p>
    <w:p w14:paraId="23B82C35" w14:textId="36190AAD" w:rsidR="002878AB" w:rsidRPr="00E252FB" w:rsidRDefault="00E93627" w:rsidP="00B511C6">
      <w:pPr>
        <w:pStyle w:val="Heading2"/>
      </w:pPr>
      <w:r w:rsidRPr="00E252FB">
        <w:t>Importance of land use, climate and soil properties</w:t>
      </w:r>
    </w:p>
    <w:p w14:paraId="326680B7" w14:textId="7517D60E" w:rsidR="00EC6911" w:rsidRPr="00E252FB" w:rsidRDefault="00EC6911" w:rsidP="00EC6911">
      <w:pPr>
        <w:rPr>
          <w:rFonts w:cs="Times New Roman"/>
        </w:rPr>
      </w:pPr>
      <w:r w:rsidRPr="00E252FB">
        <w:rPr>
          <w:rFonts w:cs="Times New Roman"/>
        </w:rPr>
        <w:t xml:space="preserve">Our results demonstrate that land use was the most important variable on earthworms. This is consistent with the findings of </w:t>
      </w:r>
      <w:r w:rsidR="0013748F" w:rsidRPr="00E252FB">
        <w:rPr>
          <w:rFonts w:cs="Times New Roman"/>
        </w:rPr>
        <w:fldChar w:fldCharType="begin"/>
      </w:r>
      <w:r w:rsidR="0013748F" w:rsidRPr="00E252FB">
        <w:rPr>
          <w:rFonts w:cs="Times New Roman"/>
        </w:rPr>
        <w:instrText xml:space="preserve"> ADDIN ZOTERO_ITEM CSL_CITATION {"citationID":"izC1DHX7","properties":{"formattedCitation":"(Fourcade &amp; Vercauteren, 2022; Salako et al., 2023)","plainCitation":"(Fourcade &amp; Vercauteren, 2022; Salako et al., 2023)","dontUpdate":true,"noteIndex":0},"citationItems":[{"id":1011,"uris":["http://zotero.org/users/7119014/items/QD53Q9Y6"],"itemData":{"id":1011,"type":"article-journal","abstract":"Aim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0013748F" w:rsidRPr="00E252FB">
        <w:rPr>
          <w:rFonts w:cs="Times New Roman"/>
        </w:rPr>
        <w:fldChar w:fldCharType="separate"/>
      </w:r>
      <w:r w:rsidR="0013748F" w:rsidRPr="00E252FB">
        <w:rPr>
          <w:rFonts w:cs="Times New Roman"/>
        </w:rPr>
        <w:t>Fourcade &amp; Vercauteren (2022) et de Salako et al. (2023)</w:t>
      </w:r>
      <w:r w:rsidR="0013748F" w:rsidRPr="00E252FB">
        <w:rPr>
          <w:rFonts w:cs="Times New Roman"/>
        </w:rPr>
        <w:fldChar w:fldCharType="end"/>
      </w:r>
      <w:r w:rsidRPr="00E252FB">
        <w:rPr>
          <w:rFonts w:cs="Times New Roman"/>
        </w:rPr>
        <w:t xml:space="preserve">, which showed that land use affects the distribution of the earthworm community. Additionally, the study </w:t>
      </w:r>
      <w:r w:rsidRPr="00E252FB">
        <w:rPr>
          <w:rFonts w:cs="Times New Roman"/>
        </w:rPr>
        <w:lastRenderedPageBreak/>
        <w:t xml:space="preserve">conducted by </w:t>
      </w:r>
      <w:r w:rsidR="00D76B6C" w:rsidRPr="00E252FB">
        <w:rPr>
          <w:rFonts w:cs="Times New Roman"/>
        </w:rPr>
        <w:fldChar w:fldCharType="begin"/>
      </w:r>
      <w:r w:rsidR="00D76B6C" w:rsidRPr="00E252FB">
        <w:rPr>
          <w:rFonts w:cs="Times New Roman"/>
        </w:rPr>
        <w:instrText xml:space="preserve"> ADDIN ZOTERO_ITEM CSL_CITATION {"citationID":"Vl9Q8HHC","properties":{"formattedCitation":"(Rutgers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D76B6C" w:rsidRPr="00E252FB">
        <w:rPr>
          <w:rFonts w:cs="Times New Roman"/>
        </w:rPr>
        <w:fldChar w:fldCharType="separate"/>
      </w:r>
      <w:r w:rsidR="00D76B6C" w:rsidRPr="00E252FB">
        <w:rPr>
          <w:rFonts w:cs="Times New Roman"/>
        </w:rPr>
        <w:t>Rutgers et al. (2016)</w:t>
      </w:r>
      <w:r w:rsidR="00D76B6C" w:rsidRPr="00E252FB">
        <w:rPr>
          <w:rFonts w:cs="Times New Roman"/>
        </w:rPr>
        <w:fldChar w:fldCharType="end"/>
      </w:r>
      <w:r w:rsidR="00D76B6C" w:rsidRPr="00E252FB">
        <w:rPr>
          <w:rFonts w:cs="Times New Roman"/>
        </w:rPr>
        <w:t xml:space="preserve"> </w:t>
      </w:r>
      <w:r w:rsidRPr="00E252FB">
        <w:rPr>
          <w:rFonts w:cs="Times New Roman"/>
        </w:rPr>
        <w:t>across Europe also highlighted the importance of land use. All predictive models used in this study predicted positive effects of grasslands (</w:t>
      </w:r>
      <w:proofErr w:type="spellStart"/>
      <w:r w:rsidRPr="00E252FB">
        <w:rPr>
          <w:rFonts w:cs="Times New Roman"/>
        </w:rPr>
        <w:t>Pmo</w:t>
      </w:r>
      <w:proofErr w:type="spellEnd"/>
      <w:r w:rsidRPr="00E252FB">
        <w:rPr>
          <w:rFonts w:cs="Times New Roman"/>
        </w:rPr>
        <w:t xml:space="preserve"> and Nag) on earthworms. This result is in line with known habitat preferences of earthworms </w:t>
      </w:r>
      <w:r w:rsidR="00D76B6C" w:rsidRPr="00E252FB">
        <w:rPr>
          <w:rFonts w:cs="Times New Roman"/>
        </w:rPr>
        <w:fldChar w:fldCharType="begin"/>
      </w:r>
      <w:r w:rsidR="00D76B6C" w:rsidRPr="00E252FB">
        <w:rPr>
          <w:rFonts w:cs="Times New Roman"/>
        </w:rPr>
        <w:instrText xml:space="preserve"> ADDIN ZOTERO_ITEM CSL_CITATION {"citationID":"PxMUqh8U","properties":{"unsorted":true,"formattedCitation":"(Rutgers et al., 2016; Hoeffner et al., 2021)","plainCitation":"(Rutgers et al., 2016; Hoeffner et al., 2021)","noteIndex":0},"citationItems":[{"id":991,"uris":["http://zotero.org/users/7119014/items/UGD4D5CZ"],"itemData":{"id":991,"type":"article-journal","abstract":"Existing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J."},{"family":"Zwart","given":"Dick","dropping-particle":"de"}],"issued":{"date-parts":[["2016",1,1]]}}},{"id":222,"uris":["http://zotero.org/users/7119014/items/FH9X7RHD"],"itemData":{"id":222,"type":"article-journal","abstract":"Earthworms contribute to a wide range of ecosystem services in agriculture. Most studies focusing on impacts of annual crop management on earthworm communities are related to soil tillage, fertilisation or pesticides, while the effect of introducing temporary grassland into an annual crop rotation remains largely unknown. In this context, the aims of the present study were to evaluate effects of (i) introducing grassland into a crop rotation, (ii) grassland duration and (iii) grassland fertilisation on earthworm communities and grassland forage production in a long-term experimental station in western France. Three years of highly fertilised (230 kg ha−1 yr−1 of mineral nitrogen) grassland preceded by three years of annual crop rotation was compared to an annual crop rotation without grassland and to six years of grassland either lightly (30 kg ha−1 yr−1 of mineral nitrogen) or highly (230 kg ha−1 yr−1 of mineral nitrogen) fertilised. Grassland introduction into a crop rotation significantly increased earthworm abundance, biomass, and diversity, especially for anecic species, and improved the functional structure of the earthworm community. Grassland duration and fertilisation increased earthworm abundance and biomass, especially for anecics, without affecting endogeic species and earthworm diversity. Grassland duration did not increase forage production, but the increase in fertilisation did. Three years of highly fertilised grassland significantly increased earthworm abundance and biomass, improved the functional structure of the earthworm community and produced as much forage per year as six years of highly fertilised grassland. Overall, the introduction of grassland into annual crop rotations appears an effective way to rapidly increase earthworm community parameters and, given the important role of earthworms in soils, enhance soil functioning.","container-title":"Applied Soil Ecology","DOI":"10.1016/j.apsoil.2021.103893","ISSN":"0929-1393","journalAbbreviation":"Applied Soil Ecology","language":"en","page":"103893","source":"ScienceDirect","title":"Effects of temporary grassland introduction into annual crop rotations and nitrogen fertilisation on earthworm communities and forage production","volume":"162","author":[{"family":"Hoeffner","given":"Kevin"},{"family":"Hotte","given":"Hoël"},{"family":"Cluzeau","given":"Daniel"},{"family":"Charrier","given":"Xavier"},{"family":"Gastal","given":"François"},{"family":"Pérès","given":"Guénola"}],"issued":{"date-parts":[["2021",6,1]]}}}],"schema":"https://github.com/citation-style-language/schema/raw/master/csl-citation.json"} </w:instrText>
      </w:r>
      <w:r w:rsidR="00D76B6C" w:rsidRPr="00E252FB">
        <w:rPr>
          <w:rFonts w:cs="Times New Roman"/>
        </w:rPr>
        <w:fldChar w:fldCharType="separate"/>
      </w:r>
      <w:r w:rsidR="00D76B6C" w:rsidRPr="00E252FB">
        <w:rPr>
          <w:rFonts w:cs="Times New Roman"/>
        </w:rPr>
        <w:t>(Rutgers et al., 2016; Hoeffner et al., 2021)</w:t>
      </w:r>
      <w:r w:rsidR="00D76B6C" w:rsidRPr="00E252FB">
        <w:rPr>
          <w:rFonts w:cs="Times New Roman"/>
        </w:rPr>
        <w:fldChar w:fldCharType="end"/>
      </w:r>
      <w:r w:rsidR="00D76B6C" w:rsidRPr="00E252FB">
        <w:rPr>
          <w:rFonts w:cs="Times New Roman"/>
        </w:rPr>
        <w:t xml:space="preserve">. </w:t>
      </w:r>
      <w:r w:rsidRPr="00E252FB">
        <w:rPr>
          <w:rFonts w:cs="Times New Roman"/>
        </w:rPr>
        <w:t xml:space="preserve">Furthermore, </w:t>
      </w:r>
      <w:r w:rsidR="00D81194" w:rsidRPr="00E252FB">
        <w:rPr>
          <w:rFonts w:cs="Times New Roman"/>
        </w:rPr>
        <w:fldChar w:fldCharType="begin"/>
      </w:r>
      <w:r w:rsidR="00D81194" w:rsidRPr="00E252FB">
        <w:rPr>
          <w:rFonts w:cs="Times New Roman"/>
        </w:rPr>
        <w:instrText xml:space="preserve"> ADDIN ZOTERO_ITEM CSL_CITATION {"citationID":"Vl9Q8HHC","properties":{"formattedCitation":"(Rutgers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D81194" w:rsidRPr="00E252FB">
        <w:rPr>
          <w:rFonts w:cs="Times New Roman"/>
        </w:rPr>
        <w:fldChar w:fldCharType="separate"/>
      </w:r>
      <w:r w:rsidR="00D81194" w:rsidRPr="00E252FB">
        <w:rPr>
          <w:rFonts w:cs="Times New Roman"/>
        </w:rPr>
        <w:t>Rutgers et al. (2016)</w:t>
      </w:r>
      <w:r w:rsidR="00D81194" w:rsidRPr="00E252FB">
        <w:rPr>
          <w:rFonts w:cs="Times New Roman"/>
        </w:rPr>
        <w:fldChar w:fldCharType="end"/>
      </w:r>
      <w:r w:rsidRPr="00E252FB">
        <w:rPr>
          <w:rFonts w:cs="Times New Roman"/>
        </w:rPr>
        <w:t xml:space="preserve"> demonstrated that earthworm abundance and diversity were closely linked to the presence or absence of certain types of land use such as grasslands, cultivated lands, forests, moorlands, and vineyards. This is because earthworms have certain habitat preferences. In our case, our models predict a high number of earthworms (80 ind./m²), average biomass (40 g/m²), and approximately one to two species in grasslands compared to other land uses. Our models also predicted a negative effect of crops and vineyards. This is coherent because it is known that land use intensity can have a significant impact on earthworm communities </w:t>
      </w:r>
      <w:r w:rsidR="00D76B6C" w:rsidRPr="00E252FB">
        <w:rPr>
          <w:rFonts w:cs="Times New Roman"/>
        </w:rPr>
        <w:fldChar w:fldCharType="begin"/>
      </w:r>
      <w:r w:rsidR="00D76B6C" w:rsidRPr="00E252FB">
        <w:rPr>
          <w:rFonts w:cs="Times New Roman"/>
        </w:rPr>
        <w:instrText xml:space="preserve"> ADDIN ZOTERO_ITEM CSL_CITATION {"citationID":"EdfgblPV","properties":{"formattedCitation":"(Smith et al., 2008; Spurgeon et al., 2013)","plainCitation":"(Smith et al., 2008; Spurgeon et al., 2013)","noteIndex":0},"citationItems":[{"id":1170,"uris":["http://zotero.org/users/7119014/items/LDIXY7EZ"],"itemData":{"id":1170,"type":"article-journal","abstract":"Understanding how communities of important soil invertebrates vary with land use may lead to the development of more sustainable land-use strategies. We assessed the abundance and species composition of earthworm communities across six replicated long-term experimental ecosystems that span a gradient in agricultural land-use intensity. The experimental systems include a conventional row-crop agricultural system, two lower-intensity row-crop systems (no-till and tilled organic input), an early successional old-field system, a 40–60 years old coniferous forest plantation, and an old-growth deciduous forest system. Earthworm populations varied among systems; they were lowest in the most intensively managed row-crop system (107m−2) and coniferous forest (160m−2); intermediate in the old-field (273m−2), no-till (328m−2) and tilled organic (344m−2) cropping systems; and highest in the old-growth deciduous forest system (701m−2). Juvenile Aporrectodea species were the most common earthworms encountered in intensively managed systems; other species made up a larger proportion of the community in less intensively managed systems. Earthworm community biomass and species richness also varied and were lowest in the conventional row-crop system and greatest in the old-growth forest system. These results suggest that both land-use intensity and land-use type are strong drivers of the abundance and composition of earthworm communities in agricultural ecosystems.","container-title":"Soil and Tillage Research","DOI":"10.1016/j.still.2008.04.009","ISSN":"0167-1987","issue":"1","journalAbbreviation":"Soil and Tillage Research","page":"83-88","source":"ScienceDirect","title":"Diversity and abundance of earthworms across an agricultural land-use intensity gradient","volume":"100","author":[{"family":"Smith","given":"Richard G."},{"family":"McSwiney","given":"Claire P."},{"family":"Grandy","given":"A. Stuart"},{"family":"Suwanwaree","given":"Pongthep"},{"family":"Snider","given":"Renate M."},{"family":"Robertson","given":"G. Philip"}],"issued":{"date-parts":[["2008",7,1]]}}},{"id":1168,"uris":["http://zotero.org/users/7119014/items/C9KIG43D"],"itemData":{"id":1168,"type":"article-journal","abstract":"Change in land use and management can impact massively on soil ecosystems. Ecosystem engineers and other functional biodiversity in soils can be influenced directly by such change and this in turn can affect key soil functions. Here, we employ meta-analysis to provide a quantitative assessment of the effects of changes in land use and land management across a range of successional/extensification transitions (conventional arable → no or reduced tillage → grassland → wooded land) on community metrics for two functionally important soil taxa, earthworms and fungi. An analysis of the relationships between community change and soil structural properties was also included.","container-title":"BMC Ecology","DOI":"10.1186/1472-6785-13-46","ISSN":"1472-6785","issue":"1","journalAbbreviation":"BMC Ecol","language":"en","page":"46","source":"Springer Link","title":"Land-use and land-management change: relationships with earthworm and fungi communities and soil structural properties","title-short":"Land-use and land-management change","volume":"13","author":[{"family":"Spurgeon","given":"David J."},{"family":"Keith","given":"Aidan M."},{"family":"Schmidt","given":"Olaf"},{"family":"Lammertsma","given":"Dennis R."},{"family":"Faber","given":"Jack H."}],"issued":{"date-parts":[["2013",12,1]]}}}],"schema":"https://github.com/citation-style-language/schema/raw/master/csl-citation.json"} </w:instrText>
      </w:r>
      <w:r w:rsidR="00D76B6C" w:rsidRPr="00E252FB">
        <w:rPr>
          <w:rFonts w:cs="Times New Roman"/>
        </w:rPr>
        <w:fldChar w:fldCharType="separate"/>
      </w:r>
      <w:r w:rsidR="00D76B6C" w:rsidRPr="00E252FB">
        <w:rPr>
          <w:rFonts w:cs="Times New Roman"/>
        </w:rPr>
        <w:t>(Smith et al., 2008; Spurgeon et al., 2013)</w:t>
      </w:r>
      <w:r w:rsidR="00D76B6C" w:rsidRPr="00E252FB">
        <w:rPr>
          <w:rFonts w:cs="Times New Roman"/>
        </w:rPr>
        <w:fldChar w:fldCharType="end"/>
      </w:r>
      <w:r w:rsidR="00D76B6C" w:rsidRPr="00E252FB">
        <w:rPr>
          <w:rFonts w:cs="Times New Roman"/>
        </w:rPr>
        <w:t>.</w:t>
      </w:r>
    </w:p>
    <w:p w14:paraId="317F8458" w14:textId="77777777" w:rsidR="00105FF1" w:rsidRPr="00E252FB" w:rsidRDefault="00EC6911" w:rsidP="00EC6911">
      <w:pPr>
        <w:rPr>
          <w:rFonts w:cs="Times New Roman"/>
          <w:highlight w:val="yellow"/>
        </w:rPr>
      </w:pPr>
      <w:r w:rsidRPr="00E252FB">
        <w:rPr>
          <w:rFonts w:cs="Times New Roman"/>
          <w:highlight w:val="yellow"/>
        </w:rPr>
        <w:t xml:space="preserve">Our study also revealed that, after land use, spatial variables were the most important, followed by climatic variables, and then soil variables. </w:t>
      </w:r>
    </w:p>
    <w:p w14:paraId="051AFC34" w14:textId="60FBA897" w:rsidR="00EC6911" w:rsidRPr="00E252FB" w:rsidRDefault="00EC6911" w:rsidP="00EC6911">
      <w:pPr>
        <w:rPr>
          <w:rFonts w:cs="Times New Roman"/>
        </w:rPr>
      </w:pPr>
      <w:r w:rsidRPr="00E252FB">
        <w:rPr>
          <w:rFonts w:cs="Times New Roman"/>
          <w:highlight w:val="yellow"/>
        </w:rPr>
        <w:t xml:space="preserve">Indeed, </w:t>
      </w:r>
      <w:proofErr w:type="spellStart"/>
      <w:r w:rsidRPr="00E252FB">
        <w:rPr>
          <w:rFonts w:cs="Times New Roman"/>
          <w:highlight w:val="yellow"/>
        </w:rPr>
        <w:t>CaCO</w:t>
      </w:r>
      <w:proofErr w:type="spellEnd"/>
      <w:r w:rsidRPr="00E252FB">
        <w:rPr>
          <w:rFonts w:cs="Times New Roman"/>
          <w:highlight w:val="yellow"/>
        </w:rPr>
        <w:t xml:space="preserve">₃ had positive effects on earthworms below 10 g·kg⁻¹ and negative effects beyond this threshold. This result could be explained by the fact that low amounts of </w:t>
      </w:r>
      <w:proofErr w:type="spellStart"/>
      <w:r w:rsidRPr="00E252FB">
        <w:rPr>
          <w:rFonts w:cs="Times New Roman"/>
          <w:highlight w:val="yellow"/>
        </w:rPr>
        <w:t>CaCO</w:t>
      </w:r>
      <w:proofErr w:type="spellEnd"/>
      <w:r w:rsidRPr="00E252FB">
        <w:rPr>
          <w:rFonts w:cs="Times New Roman"/>
          <w:highlight w:val="yellow"/>
        </w:rPr>
        <w:t xml:space="preserve">₃ would favor the alkalinization of food and facilitate the passage of food at the level of Morren's glands, while high amounts of </w:t>
      </w:r>
      <w:proofErr w:type="spellStart"/>
      <w:r w:rsidRPr="00E252FB">
        <w:rPr>
          <w:rFonts w:cs="Times New Roman"/>
          <w:highlight w:val="yellow"/>
        </w:rPr>
        <w:t>CaCO</w:t>
      </w:r>
      <w:proofErr w:type="spellEnd"/>
      <w:r w:rsidRPr="00E252FB">
        <w:rPr>
          <w:rFonts w:cs="Times New Roman"/>
          <w:highlight w:val="yellow"/>
        </w:rPr>
        <w:t>₃ would be toxic to earthworms</w:t>
      </w:r>
      <w:r w:rsidRPr="00E252FB">
        <w:rPr>
          <w:rFonts w:cs="Times New Roman"/>
        </w:rPr>
        <w:t>.</w:t>
      </w:r>
    </w:p>
    <w:p w14:paraId="2B029D0F" w14:textId="1FD63ABF" w:rsidR="00F4776C" w:rsidRPr="00E252FB" w:rsidRDefault="0039223D" w:rsidP="00B511C6">
      <w:pPr>
        <w:pStyle w:val="Heading2"/>
      </w:pPr>
      <w:r w:rsidRPr="00E252FB">
        <w:t>I</w:t>
      </w:r>
      <w:r w:rsidR="009A46C5" w:rsidRPr="00E252FB">
        <w:t>nfluences of scale on earthworm biodiversity: climatic and soil factors</w:t>
      </w:r>
    </w:p>
    <w:p w14:paraId="79B927B8" w14:textId="600A319D" w:rsidR="00D82900" w:rsidRPr="00E252FB" w:rsidRDefault="00D82900" w:rsidP="00D82900">
      <w:pPr>
        <w:rPr>
          <w:rFonts w:cs="Times New Roman"/>
        </w:rPr>
      </w:pPr>
      <w:r w:rsidRPr="00E252FB">
        <w:rPr>
          <w:rFonts w:cs="Times New Roman"/>
        </w:rPr>
        <w:t xml:space="preserve">However, according to </w:t>
      </w:r>
      <w:r w:rsidR="009A46C5" w:rsidRPr="00E252FB">
        <w:rPr>
          <w:rFonts w:cs="Times New Roman"/>
        </w:rPr>
        <w:fldChar w:fldCharType="begin"/>
      </w:r>
      <w:r w:rsidR="009A46C5" w:rsidRPr="00E252FB">
        <w:rPr>
          <w:rFonts w:cs="Times New Roman"/>
        </w:rPr>
        <w:instrText xml:space="preserve"> ADDIN ZOTERO_ITEM CSL_CITATION {"citationID":"3ym9OsaW","properties":{"formattedCitation":"(Phillips et al., 2019)","plainCitation":"(Phillips et al., 2019)","dontUpdate":true,"noteIndex":0},"citationItems":[{"id":995,"uris":["http://zotero.org/users/7119014/items/TLDEJM6M"],"itemData":{"id":995,"type":"article-journal","abstract":"Soil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K."},{"family":"Eisenhauer","given":"Nico"}],"issued":{"date-parts":[["2019",10,25]]}}}],"schema":"https://github.com/citation-style-language/schema/raw/master/csl-citation.json"} </w:instrText>
      </w:r>
      <w:r w:rsidR="009A46C5" w:rsidRPr="00E252FB">
        <w:rPr>
          <w:rFonts w:cs="Times New Roman"/>
        </w:rPr>
        <w:fldChar w:fldCharType="separate"/>
      </w:r>
      <w:r w:rsidR="009A46C5" w:rsidRPr="00E252FB">
        <w:rPr>
          <w:rFonts w:cs="Times New Roman"/>
        </w:rPr>
        <w:t>Phillips et al. (2019)</w:t>
      </w:r>
      <w:r w:rsidR="009A46C5" w:rsidRPr="00E252FB">
        <w:rPr>
          <w:rFonts w:cs="Times New Roman"/>
        </w:rPr>
        <w:fldChar w:fldCharType="end"/>
      </w:r>
      <w:r w:rsidR="009A46C5" w:rsidRPr="00E252FB">
        <w:rPr>
          <w:rFonts w:cs="Times New Roman"/>
        </w:rPr>
        <w:t xml:space="preserve">, </w:t>
      </w:r>
      <w:r w:rsidRPr="00E252FB">
        <w:rPr>
          <w:rFonts w:cs="Times New Roman"/>
        </w:rPr>
        <w:t xml:space="preserve">the most influential variables on earthworms are precipitation and annual temperature. Indeed, it seems that the determining factors of earthworm biodiversity depend on the scale </w:t>
      </w:r>
      <w:r w:rsidR="00ED3AB5" w:rsidRPr="00E252FB">
        <w:rPr>
          <w:rFonts w:cs="Times New Roman"/>
        </w:rPr>
        <w:fldChar w:fldCharType="begin"/>
      </w:r>
      <w:r w:rsidR="00ED3AB5" w:rsidRPr="00E252FB">
        <w:rPr>
          <w:rFonts w:cs="Times New Roman"/>
        </w:rPr>
        <w:instrText xml:space="preserve"> ADDIN ZOTERO_ITEM CSL_CITATION {"citationID":"h0tEh4cI","properties":{"formattedCitation":"(Salako et al., 2023)","plainCitation":"(Salako et al., 2023)","noteIndex":0},"citationItems":[{"id":987,"uris":["http://zotero.org/users/7119014/items/C9DXIQDG"],"itemData":{"id":987,"type":"article-journal","abstract":"Identifying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00ED3AB5" w:rsidRPr="00E252FB">
        <w:rPr>
          <w:rFonts w:cs="Times New Roman"/>
        </w:rPr>
        <w:fldChar w:fldCharType="separate"/>
      </w:r>
      <w:r w:rsidR="00ED3AB5" w:rsidRPr="00E252FB">
        <w:rPr>
          <w:rFonts w:cs="Times New Roman"/>
        </w:rPr>
        <w:t>(Salako et al., 2023)</w:t>
      </w:r>
      <w:r w:rsidR="00ED3AB5" w:rsidRPr="00E252FB">
        <w:rPr>
          <w:rFonts w:cs="Times New Roman"/>
        </w:rPr>
        <w:fldChar w:fldCharType="end"/>
      </w:r>
      <w:r w:rsidRPr="00E252FB">
        <w:rPr>
          <w:rFonts w:cs="Times New Roman"/>
        </w:rPr>
        <w:t xml:space="preserve">. Climatic parameters would play a crucial role at the global and continental scales </w:t>
      </w:r>
      <w:r w:rsidR="00ED3AB5" w:rsidRPr="00E252FB">
        <w:rPr>
          <w:rFonts w:cs="Times New Roman"/>
        </w:rPr>
        <w:fldChar w:fldCharType="begin"/>
      </w:r>
      <w:r w:rsidR="00ED3AB5" w:rsidRPr="00E252FB">
        <w:rPr>
          <w:rFonts w:cs="Times New Roman"/>
        </w:rPr>
        <w:instrText xml:space="preserve"> ADDIN ZOTERO_ITEM CSL_CITATION {"citationID":"wTZ1INSl","properties":{"unsorted":true,"formattedCitation":"(Rutgers et al., 2016; Phillips et al., 2019)","plainCitation":"(Rutgers et al., 2016; Phillips et al., 2019)","noteIndex":0},"citationItems":[{"id":991,"uris":["http://zotero.org/users/7119014/items/UGD4D5CZ"],"itemData":{"id":991,"type":"article-journal","abstract":"Existing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K."},{"family":"Eisenhauer","given":"Nico"}],"issued":{"date-parts":[["2019",10,25]]}}}],"schema":"https://github.com/citation-style-language/schema/raw/master/csl-citation.json"} </w:instrText>
      </w:r>
      <w:r w:rsidR="00ED3AB5" w:rsidRPr="00E252FB">
        <w:rPr>
          <w:rFonts w:cs="Times New Roman"/>
        </w:rPr>
        <w:fldChar w:fldCharType="separate"/>
      </w:r>
      <w:r w:rsidR="00ED3AB5" w:rsidRPr="00E252FB">
        <w:rPr>
          <w:rFonts w:cs="Times New Roman"/>
        </w:rPr>
        <w:t>(Rutgers et al., 2016; Phillips et al., 2019)</w:t>
      </w:r>
      <w:r w:rsidR="00ED3AB5" w:rsidRPr="00E252FB">
        <w:rPr>
          <w:rFonts w:cs="Times New Roman"/>
        </w:rPr>
        <w:fldChar w:fldCharType="end"/>
      </w:r>
      <w:r w:rsidR="00ED3AB5" w:rsidRPr="00E252FB">
        <w:rPr>
          <w:rFonts w:cs="Times New Roman"/>
        </w:rPr>
        <w:t xml:space="preserve">, </w:t>
      </w:r>
      <w:r w:rsidRPr="00E252FB">
        <w:rPr>
          <w:rFonts w:cs="Times New Roman"/>
        </w:rPr>
        <w:t xml:space="preserve">while soil-related factors become more important at smaller spatial scales </w:t>
      </w:r>
      <w:r w:rsidR="00ED3AB5" w:rsidRPr="00E252FB">
        <w:rPr>
          <w:rFonts w:cs="Times New Roman"/>
        </w:rPr>
        <w:t xml:space="preserve"> </w:t>
      </w:r>
      <w:r w:rsidR="00ED3AB5" w:rsidRPr="00E252FB">
        <w:rPr>
          <w:rFonts w:cs="Times New Roman"/>
        </w:rPr>
        <w:fldChar w:fldCharType="begin"/>
      </w:r>
      <w:r w:rsidR="00ED3AB5" w:rsidRPr="00E252FB">
        <w:rPr>
          <w:rFonts w:cs="Times New Roman"/>
        </w:rPr>
        <w:instrText xml:space="preserve"> ADDIN ZOTERO_ITEM CSL_CITATION {"citationID":"cq7E2tC3","properties":{"unsorted":true,"formattedCitation":"(Palm et al., 2013; March\\uc0\\u225{}n et al., 2015)","plainCitation":"(Palm et al., 2013; Marchán et al., 2015)","noteIndex":0},"citationItems":[{"id":1100,"uris":["http://zotero.org/users/7119014/items/K3NCUCG4"],"itemData":{"id":1100,"type":"article-journal","abstract":"Species distribution models are useful for identifying driving environmental factors that determine earthworm distributions as well as for predicting earthworm distribution patterns and abundances at different scales. However, due to large efforts in data acquisition, studies on larger scales are rare and often focus on single species or earthworms in general. In this study, we use boosted regression tree models (BRTs) for predicting the distribution of the three functional earthworm types, i.e. anecics, endogeics and epigeics, in an agricultural area in Baden-Württemberg (Southwest Germany). First, we predicted presence and absence and later earthworm abundances, considering predictors depicting land management, topography, and soil conditions as well as biotic interaction by using the abundance of the other functional earthworm types. The final presence-absence models performed reasonably well, with explained deviances between 24 and 51% after crossvalidation. Models for abundances of anecics and endogeics were less successful, since the high small-scale variability and patchiness in earthworm abundance influenced the representativeness of the field measurements. This resulted in a significant model uncertainty, which is practically very difficult to overcome with earthworm sampling campaigns at the catchment scale. Results showed that management practices (i.e. disturbances), topography, soil conditions, and biotic interactions with other earthworm groups are the most relevant predictors for spatial distribution (incidence) patterns of all three functional groups. The response curves and contributions of predictors differ for the three functional earthworm types. Epigeics are also controlled by topographic features, endogeics by soil parameters.","container-title":"Pedobiologia","DOI":"10.1016/j.pedobi.2012.08.007","ISSN":"0031-4056","issue":"1","journalAbbreviation":"Pedobiologia","page":"23-31","source":"ScienceDirect","title":"Modelling distribution patterns of anecic, epigeic and endogeic earthworms at catchment-scale in agro-ecosystems","volume":"56","author":[{"family":"Palm","given":"Juliane"},{"family":"Schaik","given":"N. Loes M. B.","non-dropping-particle":"van"},{"family":"Schröder","given":"Boris"}],"issued":{"date-parts":[["2013",1,10]]}}},{"id":1003,"uris":["http://zotero.org/users/7119014/items/JV52ZV6I"],"itemData":{"id":1003,"type":"article-journal","abstract":"Studies on spatial patterns of distributions of soil dwelling animals have usually relied on soil micro-variables or statistical analyses based on presence/absence data. Geographic Information Systems (GIS) allow easy access to large-scale variables to build species distribution models. In this study, we used MaxEnt to model the distribution of the endogeic earthworm Hormogaster elisae. Significant differences were found between the predicted suitability values of localities where the species was present and those where it was absent, validating the predictive model. Most of the large-scale training variables showed significant correlation with soil micro-variables known to influence the biology of the species, proving the ability of the model to predict (to an extent) soil variables from environmental ones. The methodology could be extended to other soil fauna.","container-title":"Soil Biology and Biochemistry","DOI":"10.1016/j.soilbio.2014.10.023","ISSN":"0038-0717","journalAbbreviation":"Soil Biology and Biochemistry","page":"124-127","source":"ScienceDirect","title":"Predicting soil micro-variables and the distribution of an endogeic earthworm species through a model based on large-scale variables","volume":"81","author":[{"family":"Marchán","given":"Daniel F."},{"family":"Refoyo","given":"Pablo"},{"family":"Novo","given":"Marta"},{"family":"Fernández","given":"Rosa"},{"family":"Trigo","given":"Dolores"},{"family":"Díaz Cosín","given":"Darío J."}],"issued":{"date-parts":[["2015",2,1]]}}}],"schema":"https://github.com/citation-style-language/schema/raw/master/csl-citation.json"} </w:instrText>
      </w:r>
      <w:r w:rsidR="00ED3AB5" w:rsidRPr="00E252FB">
        <w:rPr>
          <w:rFonts w:cs="Times New Roman"/>
        </w:rPr>
        <w:fldChar w:fldCharType="separate"/>
      </w:r>
      <w:r w:rsidR="00ED3AB5" w:rsidRPr="00E252FB">
        <w:rPr>
          <w:rFonts w:cs="Times New Roman"/>
          <w:kern w:val="0"/>
        </w:rPr>
        <w:t>(Palm et al., 2013; Marchán et al., 2015)</w:t>
      </w:r>
      <w:r w:rsidR="00ED3AB5" w:rsidRPr="00E252FB">
        <w:rPr>
          <w:rFonts w:cs="Times New Roman"/>
        </w:rPr>
        <w:fldChar w:fldCharType="end"/>
      </w:r>
      <w:r w:rsidR="00ED3AB5" w:rsidRPr="00E252FB">
        <w:rPr>
          <w:rFonts w:cs="Times New Roman"/>
        </w:rPr>
        <w:t xml:space="preserve">. </w:t>
      </w:r>
      <w:r w:rsidRPr="00E252FB">
        <w:rPr>
          <w:rFonts w:cs="Times New Roman"/>
        </w:rPr>
        <w:t>In our study, the importance of climate was mainly represented by annual precipitation, while calcium carbonate (</w:t>
      </w:r>
      <w:proofErr w:type="spellStart"/>
      <w:r w:rsidRPr="00E252FB">
        <w:rPr>
          <w:rFonts w:cs="Times New Roman"/>
        </w:rPr>
        <w:t>CaCO</w:t>
      </w:r>
      <w:proofErr w:type="spellEnd"/>
      <w:r w:rsidRPr="00E252FB">
        <w:rPr>
          <w:rFonts w:cs="Times New Roman"/>
        </w:rPr>
        <w:t>₃) was the most significant soil variable for earthworms.</w:t>
      </w:r>
    </w:p>
    <w:p w14:paraId="4F35CA09" w14:textId="3EBF7F17" w:rsidR="00D82900" w:rsidRPr="00E252FB" w:rsidRDefault="00D82900" w:rsidP="00ED7B20">
      <w:pPr>
        <w:rPr>
          <w:rFonts w:cs="Times New Roman"/>
        </w:rPr>
      </w:pPr>
      <w:r w:rsidRPr="00E252FB">
        <w:rPr>
          <w:rFonts w:cs="Times New Roman"/>
        </w:rPr>
        <w:t xml:space="preserve">We are aware that there are other variables not included in this study that can strongly influence earthworms. This is the case, for example, of agricultural practices such as tillage </w:t>
      </w:r>
      <w:r w:rsidR="00ED3AB5" w:rsidRPr="00E252FB">
        <w:rPr>
          <w:rFonts w:cs="Times New Roman"/>
        </w:rPr>
        <w:fldChar w:fldCharType="begin"/>
      </w:r>
      <w:r w:rsidR="00ED3AB5" w:rsidRPr="00E252FB">
        <w:rPr>
          <w:rFonts w:cs="Times New Roman"/>
        </w:rPr>
        <w:instrText xml:space="preserve"> ADDIN ZOTERO_ITEM CSL_CITATION {"citationID":"sFB9gHaj","properties":{"formattedCitation":"(Crittenden et al., 2014; Ernst &amp; Emmerling, 2009; Pelosi, Pey, et al., 2014)","plainCitation":"(Crittenden et al., 2014; Ernst &amp; Emmerling, 2009; Pelosi, Pey, et al., 2014)","noteIndex":0},"citationItems":[{"id":205,"uris":["http://zotero.org/users/7119014/items/5MJYLX5J"],"itemData":{"id":205,"type":"article-journal","abstract":"Earthworms play an important role in many soil functions and are affected by soil tillage in agricultural soils. However, effects of tillage on earthworms are often studied without considering species and their interactions with soil properties. Furthermore, many field studies are based on one-time samplings that do not allow for characterisation of temporal variation. The current study monitored the short (up to 53 days) and medium term (up to 4 years) effects of soil tillage on earthworms in conventional and organic farming. Earthworm abundances decreased one and three weeks after mouldboard ploughing in both conventional and organic farming, suggesting direct and indirect mechanisms. However, the medium-term study revealed that earthworm populations in mouldboard ploughing systems recovered by spring. The endogeic species Aporrectodea caliginosa strongly dominated the earthworm community (76%), whereas anecic species remained &lt;1% of all earthworms in all tillage and farming systems over the entire study. In conventional farming, mean total earthworm abundance was not significantly different in reduced tillage (153m−2) than mouldboard ploughing (MP; 130m−2). However, reduced tillage in conventional farming significantly increased the epigeic species Lumbricus rubellus from 0.1m−2 in mouldboard ploughing to 9m−2 averaged over 4 years. Contrastingly, in organic farming mean total earthworm abundance was 45% lower in reduced tillage (297m−2) than MP (430m−2), across all sampling dates over the medium-term study (significant at 3 of 6 sampling dates). Reduced tillage in organic farming decreased A. caliginosa from 304m−2 in mouldboard ploughing to 169m−2 averaged over 4 years (significant at all sampling dates). Multivariate analysis revealed clear separation between farming and tillage systems. Earthworm species abundances, soil moisture, and soil organic matter were positively correlated, whereas earthworm abundances and penetration resistance where negatively correlated. Variability demonstrated between sampling dates highlights the importance of multiple samplings in time to ascertain management effects on earthworms. Findings indicate that a reduction in tillage intensity in conventional farming affects earthworms differently than in organic farming. Differing earthworm species or ecological group response to interactions between soil tillage, crop, and organic matter management in conventional and organic farming has implications for management to maximise soil ecosystem functions.","collection-title":"XVI International Colloquium on Soil Zoology &amp; XIII International Colloquium on Apterygota, Coimbra, 2012 – Selected papers","container-title":"Applied Soil Ecology","DOI":"10.1016/j.apsoil.2014.03.001","ISSN":"0929-1393","journalAbbreviation":"Applied Soil Ecology","language":"en","page":"140-148","source":"ScienceDirect","title":"Effect of tillage on earthworms over short- and medium-term in conventional and organic farming","volume":"83","author":[{"family":"Crittenden","given":"S. J."},{"family":"Eswaramurthy","given":"T."},{"family":"Goede","given":"R. G. M","non-dropping-particle":"de"},{"family":"Brussaard","given":"L."},{"family":"Pulleman","given":"M. M."}],"issued":{"date-parts":[["2014",11,1]]}}},{"id":382,"uris":["http://zotero.org/users/7119014/items/SNNQIYJZ"],"itemData":{"id":382,"type":"article-journal","abstract":"To assess the impact of different types of soil tillage on the density, biomass, and community composition of earthworms, a long-term field study was performed in which soils were tilled in different ways for ten years. This study included five different types of tillage: (i) plough, (ii) grubber, (iii) disc harrow, (iv) mulch sowing, and (v) direct sowing. At the end of the experiment the earthworm density, biomass, and community composition, and the SOC (soil organic carbon) content were determined. The results show that density, biomass, and community composition of earthworm populations varied in relation to the type of soil tillage used. The density of anecic earthworm species decreased when soils were managed by conventional ploughing, relative to reduced tillage practices, whereas conversely the density of endogeic species increased. Additionally, the varying types of soil tillage influenced the abundance and biomass of different earthworm species in different ways. The density of Aporrectodea caliginosa was positively influenced by ploughing, whereas Aporrectodea longa, Lumbricus castaneus, and Satchellius mammalis showed a positive relationship to the grubber and Allolobophora chlorotica to direct sowing. We attribute these changes to modifications in the vertical distribution of SOC and varying potentials for mechanical damage of earthworms by tillage. A decrease in tillage intensity modified the vertical SOC distribution in the topsoil and consequently revealed positive effects on earthworm biodiversity, thus sustaining soil functioning.","container-title":"European Journal of Soil Biology","DOI":"10.1016/j.ejsobi.2009.02.002","ISSN":"1164-5563","issue":"3","journalAbbreviation":"European Journal of Soil Biology","language":"en","page":"247-251","source":"ScienceDirect","title":"Impact of five different tillage systems on soil organic carbon content and the density, biomass, and community composition of earthworms after a ten year period","volume":"45","author":[{"family":"Ernst","given":"Gregor"},{"family":"Emmerling","given":"Christoph"}],"issued":{"date-parts":[["2009",5,1]]}}},{"id":169,"uris":["http://zotero.org/users/7119014/items/RI5P2L7I"],"itemData":{"id":169,"type":"article-journal","abstract":"Alternative cropping systems such as conservation agriculture have been implemented to limit the harmful effects of intensive conventional cropping systems. Conservation agriculture is known to modify the structural diversity of earthworm communities, but no data have been reported so far on their functional diversity. Structural and functional indices of community were used to study the effects of different soil tillage intensity on earthworm diversity in arable soils. Field data were collected in four agricultural trials across France representing different soiland climatic conditions. Three types of soil tillage were assessed: plowing, superficial tillage and direct seeding. Earthworm abundance, species richness and ecomorphological group abundance were investigated. Seven functional traits, i.e. body length, body mass/length ratio, epithelium type, cocoon diameter, typhlosolis type, carbon preferences and vertical distribution, were selected according to their hypothesized link with mechanisms of tillage impact. Functional diversity indices were then computed. Soil tillage intensity decreased functional diversity and modified the functional trait profile within the earthworm community whereas neither structural diversity (species number) nor abundance changed with tillage intensity. Differences between plowing and direct seeding were significant in each trial, and superficial tillage often showed intermediate trait values. Regarding ecomorphological groups, anecic abundance was positively influenced by a decrease in soil tillage, contrary to epigeic and endogeic earthworms that showed no response. Tillage acts as an environmental filter, and decreasing its intensity caused a lesser convergence of traits and thus higher functional trait diversity. We demonstrated that a trait-based approach better permitted comparisons of community responses across sites than species number or abundance.","collection-title":"XVI International Colloquium on Soil Zoology &amp; XIII International Colloquium on Apterygota, Coimbra, 2012 – Selected papers","container-title":"Applied Soil Ecology","DOI":"10.1016/j.apsoil.2013.10.005","ISSN":"0929-1393","journalAbbreviation":"Applied Soil Ecology","language":"en","page":"79-87","source":"ScienceDirect","title":"Reducing tillage in cultivated fields increases earthworm functional diversity","volume":"83","author":[{"family":"Pelosi","given":"Céline"},{"family":"Pey","given":"B."},{"family":"Hedde","given":"M."},{"family":"Caro","given":"G."},{"family":"Capowiez","given":"Y."},{"family":"Guernion","given":"M."},{"family":"Peigné","given":"J."},{"family":"Piron","given":"D."},{"family":"Bertrand","given":"M."},{"family":"Cluzeau","given":"D."}],"issued":{"date-parts":[["2014",11,1]]}}}],"schema":"https://github.com/citation-style-language/schema/raw/master/csl-citation.json"} </w:instrText>
      </w:r>
      <w:r w:rsidR="00ED3AB5" w:rsidRPr="00E252FB">
        <w:rPr>
          <w:rFonts w:cs="Times New Roman"/>
        </w:rPr>
        <w:fldChar w:fldCharType="separate"/>
      </w:r>
      <w:r w:rsidR="00ED3AB5" w:rsidRPr="00E252FB">
        <w:rPr>
          <w:rFonts w:cs="Times New Roman"/>
        </w:rPr>
        <w:t>(Crittenden et al., 2014; Ernst &amp; Emmerling, 2009; Pelosi, Pey, et al., 2014)</w:t>
      </w:r>
      <w:r w:rsidR="00ED3AB5" w:rsidRPr="00E252FB">
        <w:rPr>
          <w:rFonts w:cs="Times New Roman"/>
        </w:rPr>
        <w:fldChar w:fldCharType="end"/>
      </w:r>
      <w:r w:rsidR="00ED3AB5" w:rsidRPr="00E252FB">
        <w:rPr>
          <w:rFonts w:cs="Times New Roman"/>
        </w:rPr>
        <w:t xml:space="preserve">, </w:t>
      </w:r>
      <w:r w:rsidR="00ED7B20" w:rsidRPr="00E252FB">
        <w:rPr>
          <w:rFonts w:cs="Times New Roman"/>
        </w:rPr>
        <w:t xml:space="preserve">pesticides </w:t>
      </w:r>
      <w:r w:rsidR="00ED3AB5" w:rsidRPr="00E252FB">
        <w:rPr>
          <w:rFonts w:cs="Times New Roman"/>
        </w:rPr>
        <w:fldChar w:fldCharType="begin"/>
      </w:r>
      <w:r w:rsidR="00ED3AB5" w:rsidRPr="00E252FB">
        <w:rPr>
          <w:rFonts w:cs="Times New Roman"/>
        </w:rPr>
        <w:instrText xml:space="preserve"> ADDIN ZOTERO_ITEM CSL_CITATION {"citationID":"rrYnEelv","properties":{"unsorted":true,"formattedCitation":"(Pelosi, Barot, et al., 2014; Maggi &amp; Tang, 2021)","plainCitation":"(Pelosi, Barot, et al., 2014; Maggi &amp; Tang, 2021)","noteIndex":0},"citationItems":[{"id":170,"uris":["http://zotero.org/users/7119014/items/7SPP57M6"],"itemData":{"id":170,"type":"article-journal","container-title":"Agronomy for Sustainable Development","DOI":"10.1007/s13593-013-0151-z","ISSN":"1774-0746, 1773-0155","issue":"1","journalAbbreviation":"Agron. Sustain. Dev.","language":"en","page":"199-228","source":"DOI.org (Crossref)","title":"Pesticides and earthworms. A review","volume":"34","author":[{"family":"Pelosi","given":"Céline"},{"family":"Barot","given":"Sébastien"},{"family":"Capowiez","given":"Yvan"},{"family":"Hedde","given":"Mickaël"},{"family":"Vandenbulcke","given":"Franck"}],"issued":{"date-parts":[["2014",1]]}}},{"id":183,"uris":["http://zotero.org/users/7119014/items/DNKFTLXX"],"itemData":{"id":183,"type":"article-journal","abstract":"Pesticides are potent chemical agents for protecting crops and agricultural production but can have secondary adverse effects on soil biodiversity that can propagate through all dimensions of soil security. Earthworms are among the most important actors in making soil healthy because they facilitate nutrient turnover, improve aeration, facilitate water infiltration into the root zone, and control soil-borne diseases. However, earthworms have been shown to be affected by the presence of pesticide residue, with a median survival to some highly toxic active substances concentrations as small as 4 mg/kg-soil. Here we have used the estimated pesticide residue of 87 active ingredients in nine different cropping systems globally, and we have developed the corresponding dose-response curve of earthworms to estimate the percent earthworm population decline and its global distribution caused by residues in the top soil. We found that vegetable and fruits, and orchards and grapes cropping systems are leading to the greatest percent decline in earthworms population in some areas of South America, and East and South East Asia. The decline in soybean, rice, and orchards and grape in boreal regions were the greatest. The maximum decline across the cropping systems ranged between 10 and 20% in about 1.2% of the agricultural locations under consideration, but it was less than 1% in about 66% of agricultural locations. These findings call for further scrutiny of the contamination by pesticide residue in soil and long-term consequences on soil security.","container-title":"Soil Security","DOI":"10.1016/j.soisec.2021.100014","ISSN":"2667-0062","journalAbbreviation":"Soil Security","language":"en","page":"100014","source":"ScienceDirect","title":"Estimated decline in global earthworm population size caused by pesticide residue in soil","volume":"5","author":[{"family":"Maggi","given":"Federico"},{"family":"Tang","given":"Fiona H. M."}],"issued":{"date-parts":[["2021",12,1]]}}}],"schema":"https://github.com/citation-style-language/schema/raw/master/csl-citation.json"} </w:instrText>
      </w:r>
      <w:r w:rsidR="00ED3AB5" w:rsidRPr="00E252FB">
        <w:rPr>
          <w:rFonts w:cs="Times New Roman"/>
        </w:rPr>
        <w:fldChar w:fldCharType="separate"/>
      </w:r>
      <w:r w:rsidR="00ED3AB5" w:rsidRPr="00E252FB">
        <w:rPr>
          <w:rFonts w:cs="Times New Roman"/>
        </w:rPr>
        <w:t>(Pelosi, Barot, et al., 2014; Maggi &amp; Tang, 2021)</w:t>
      </w:r>
      <w:r w:rsidR="00ED3AB5" w:rsidRPr="00E252FB">
        <w:rPr>
          <w:rFonts w:cs="Times New Roman"/>
        </w:rPr>
        <w:fldChar w:fldCharType="end"/>
      </w:r>
      <w:r w:rsidR="00ED3AB5" w:rsidRPr="00E252FB">
        <w:rPr>
          <w:rFonts w:cs="Times New Roman"/>
        </w:rPr>
        <w:t xml:space="preserve"> </w:t>
      </w:r>
      <w:r w:rsidR="00ED7B20" w:rsidRPr="00E252FB">
        <w:rPr>
          <w:rFonts w:cs="Times New Roman"/>
        </w:rPr>
        <w:t xml:space="preserve">and fertilization </w:t>
      </w:r>
      <w:r w:rsidR="00ED3AB5" w:rsidRPr="00E252FB">
        <w:rPr>
          <w:rFonts w:cs="Times New Roman"/>
        </w:rPr>
        <w:fldChar w:fldCharType="begin"/>
      </w:r>
      <w:r w:rsidR="00ED3AB5" w:rsidRPr="00E252FB">
        <w:rPr>
          <w:rFonts w:cs="Times New Roman"/>
        </w:rPr>
        <w:instrText xml:space="preserve"> ADDIN ZOTERO_ITEM CSL_CITATION {"citationID":"2E76yN5Y","properties":{"formattedCitation":"(Leroy et al., 2008; Niswati et al., 2022)","plainCitation":"(Leroy et al., 2008; Niswati et al., 2022)","noteIndex":0},"citationItems":[{"id":375,"uris":["http://zotero.org/users/7119014/items/28RKXWVQ"],"itemData":{"id":375,"type":"article-journal","abstract":"We conducted a replicated field plot experiment to investigate the influence of five exogenous organic materials (farmyard manure, cattle slurry and three types of compost), as well as mineral fertilization and two unfertilized control treatments (with and without a crop) on the number, biomass and species composition of earthworms (Lumbricidae) in an arable soil. A crucial feature of the experimental design was that the same mass of exogenous organic C was applied in each of the five organic treatments (1500–4000kgCha−1), making it possible to interpret observed effects in terms of the quality of the organic amendments. Earthworms were sampled twice per year using a combination of mustard extraction and handsorting. Two and a half years after the first of four organic matter applications, the farmyard manure and cattle slurry treatments had the largest earthworm abundance of about 800–900individualsm−2 with 120–140gbiomassm−2. The unamended controls had the smallest earthworm number (about 150individualsm−2), while the three compost treatments had intermediate values (400–500individualsm−2). Since the mass of exogenous organic C applied was the same in the five organic treatments and since final soil organic C contents under these treatments were statistically similar (p&gt;0.05), we hypothesize that the observed large differences in earthworm abundance between the farmyard manure and cattle slurry treatments on the one hand and the three compost treatments on the other hand were caused by differences in the chemical properties, and hence nutritional value for earthworms, of the applied amendments. We propose that manure and slurry provided earthworms with larger amounts of available C sources for direct consumption (including polysaccharides and proteinaceous materials) than the composted organic materials which were more humified and stabilized as a result of extended microbial aerobic degradation.","container-title":"Pedobiologia","DOI":"10.1016/j.pedobi.2008.07.001","ISSN":"0031-4056","issue":"2","journalAbbreviation":"Pedobiologia","language":"en","page":"139-150","source":"ScienceDirect","title":"Earthworm population dynamics as influenced by the quality of exogenous organic matter","volume":"52","author":[{"family":"Leroy","given":"Ben L. M."},{"family":"Schmidt","given":"Olaf"},{"family":"Van den Bossche","given":"Annemie"},{"family":"Reheul","given":"Dirk"},{"family":"Moens","given":"Maurice"}],"issued":{"date-parts":[["2008",10,10]]}}},{"id":146,"uris":["http://zotero.org/users/7119014/items/LDTEBQ3C"],"itemData":{"id":146,"type":"article-journal","abstract":"Long-term tillage and fertilization system have a strong impact on earthworms biomass and abundance in agriculture soils, however, enumerating their influence on mungbean plantation remains little studied. The purpose of this research was to study the effect of continous tillage and fertilization and their interaction on earthworms biomass and abundance under mungbean plantations. Two factors of treatments consisted of tillage system (minimum tillage and intensive tillage) and fertilization (without fertilization and fertilization by NPK (15:15:15) + chicken manure) what has been done since the first (2017) to sixth planting season (2020). The handsorting method was conducted at vegetative maximum and harvest time of mungbeans. The results show that the abundance and biomass of earthworms are significantly higher in minimum tillage compared to intensive tillage as well as fertilization compare to without fertilization. The greatest earthworms biomass and abundance were found in the maximum vegetative of mungbean. The interaction effect occurred at the maximum vegetative observation, namely in intensive tillage, there was no effect of fertilization, on the contrary, at minimum tillage, fertilization increased the abundance and biomass of earthworms. As a consequence, our results indicate that minimum tillage and fertilization significantly improve soil biological quality.","container-title":"IOP Conference Series: Earth and Environmental Science","DOI":"10.1088/1755-1315/1018/1/012012","ISSN":"1755-1315","issue":"1","journalAbbreviation":"IOP Conf. Ser.: Earth Environ. Sci.","language":"en","note":"publisher: IOP Publishing","page":"012012","source":"Institute of Physics","title":"Abundance and biomass of earthworm as affected by long-term different types of soil tillage and fertilization on mung bean plantation at Ultisols","volume":"1018","author":[{"family":"Niswati","given":"A."},{"literal":"Liyana"},{"family":"Prasetyo","given":"D."},{"family":"Lumbanraja","given":"J."}],"issued":{"date-parts":[["2022",4]]}}}],"schema":"https://github.com/citation-style-language/schema/raw/master/csl-citation.json"} </w:instrText>
      </w:r>
      <w:r w:rsidR="00ED3AB5" w:rsidRPr="00E252FB">
        <w:rPr>
          <w:rFonts w:cs="Times New Roman"/>
        </w:rPr>
        <w:fldChar w:fldCharType="separate"/>
      </w:r>
      <w:r w:rsidR="00ED3AB5" w:rsidRPr="00E252FB">
        <w:rPr>
          <w:rFonts w:cs="Times New Roman"/>
        </w:rPr>
        <w:t>(Leroy et al., 2008; Niswati et al., 2022)</w:t>
      </w:r>
      <w:r w:rsidR="00ED3AB5" w:rsidRPr="00E252FB">
        <w:rPr>
          <w:rFonts w:cs="Times New Roman"/>
        </w:rPr>
        <w:fldChar w:fldCharType="end"/>
      </w:r>
      <w:r w:rsidR="00ED7B20" w:rsidRPr="00E252FB">
        <w:rPr>
          <w:rFonts w:cs="Times New Roman"/>
        </w:rPr>
        <w:t>,</w:t>
      </w:r>
      <w:r w:rsidRPr="00E252FB">
        <w:rPr>
          <w:rFonts w:cs="Times New Roman"/>
        </w:rPr>
        <w:t xml:space="preserve"> which are well </w:t>
      </w:r>
      <w:r w:rsidRPr="00E252FB">
        <w:rPr>
          <w:rFonts w:cs="Times New Roman"/>
        </w:rPr>
        <w:lastRenderedPageBreak/>
        <w:t xml:space="preserve">known for their impact on earthworms. However, these variables related to agricultural practices are not available in the form of high-resolution maps at the scale of metropolitan France. Therefore, we did not include them in our models, which would hinder the production of maps based on model predictions. In summary, although we are not able to consider all potential factors influencing earthworm distribution, our study includes a large number of the most important environmental variables known to affect earthworms </w:t>
      </w:r>
      <w:r w:rsidR="00ED7B20" w:rsidRPr="00E252FB">
        <w:rPr>
          <w:rFonts w:cs="Times New Roman"/>
          <w:szCs w:val="24"/>
        </w:rPr>
        <w:fldChar w:fldCharType="begin"/>
      </w:r>
      <w:r w:rsidR="00ED7B20" w:rsidRPr="00E252FB">
        <w:rPr>
          <w:rFonts w:cs="Times New Roman"/>
          <w:szCs w:val="24"/>
        </w:rPr>
        <w:instrText xml:space="preserve"> ADDIN ZOTERO_ITEM CSL_CITATION {"citationID":"RLQC8RDr","properties":{"formattedCitation":"(Edwards &amp; Arancon, 2022)","plainCitation":"(Edwards &amp; Arancon, 2022)","noteIndex":0},"citationItems":[{"id":1026,"uris":["http://zotero.org/users/7119014/items/3BZSAW6Y"],"itemData":{"id":1026,"type":"book","event-place":"New York, NY","ISBN":"978-0-387-74942-6","language":"en","note":"DOI: 10.1007/978-0-387-74943-3","publisher":"Springer US","publisher-place":"New York, NY","source":"DOI.org (Crossref)","title":"Biology and Ecology of Earthworms","URL":"https://link.springer.com/10.1007/978-0-387-74943-3","author":[{"family":"Edwards","given":"Clive A."},{"family":"Arancon","given":"Norman Q."}],"accessed":{"date-parts":[["2024",1,18]]},"issued":{"date-parts":[["2022"]]}}}],"schema":"https://github.com/citation-style-language/schema/raw/master/csl-citation.json"} </w:instrText>
      </w:r>
      <w:r w:rsidR="00ED7B20" w:rsidRPr="00E252FB">
        <w:rPr>
          <w:rFonts w:cs="Times New Roman"/>
          <w:szCs w:val="24"/>
        </w:rPr>
        <w:fldChar w:fldCharType="separate"/>
      </w:r>
      <w:r w:rsidR="00ED7B20" w:rsidRPr="00E252FB">
        <w:rPr>
          <w:rFonts w:cs="Times New Roman"/>
        </w:rPr>
        <w:t>(Edwards &amp; Arancon, 2022)</w:t>
      </w:r>
      <w:r w:rsidR="00ED7B20" w:rsidRPr="00E252FB">
        <w:rPr>
          <w:rFonts w:cs="Times New Roman"/>
          <w:szCs w:val="24"/>
        </w:rPr>
        <w:fldChar w:fldCharType="end"/>
      </w:r>
      <w:r w:rsidR="00ED7B20" w:rsidRPr="00E252FB">
        <w:rPr>
          <w:rFonts w:cs="Times New Roman"/>
          <w:szCs w:val="24"/>
        </w:rPr>
        <w:t>.</w:t>
      </w:r>
    </w:p>
    <w:p w14:paraId="108FDC2C" w14:textId="6D0D673D" w:rsidR="00D82900" w:rsidRPr="00E252FB" w:rsidRDefault="00D82900" w:rsidP="00D82900">
      <w:pPr>
        <w:rPr>
          <w:rFonts w:cs="Times New Roman"/>
        </w:rPr>
      </w:pPr>
      <w:r w:rsidRPr="00E252FB">
        <w:rPr>
          <w:rFonts w:cs="Times New Roman"/>
        </w:rPr>
        <w:t xml:space="preserve">Our models predicted an average taxonomic richness of 5 species per plot, with a maximum of 10 species. These predictions fall within the range of intermediate values, in accordance with previous studies. Indeed, </w:t>
      </w:r>
      <w:r w:rsidR="009C037C" w:rsidRPr="00E252FB">
        <w:rPr>
          <w:rFonts w:cs="Times New Roman"/>
        </w:rPr>
        <w:fldChar w:fldCharType="begin"/>
      </w:r>
      <w:r w:rsidR="009C037C" w:rsidRPr="00E252FB">
        <w:rPr>
          <w:rFonts w:cs="Times New Roman"/>
        </w:rPr>
        <w:instrText xml:space="preserve"> ADDIN ZOTERO_ITEM CSL_CITATION {"citationID":"xHLUojFL","properties":{"unsorted":true,"formattedCitation":"(Phillips et al., 2019; Fourcade &amp; Vercauteren, 2022)","plainCitation":"(Phillips et al., 2019; Fourcade &amp; Vercauteren, 2022)","dontUpdate":true,"noteIndex":0},"citationItems":[{"id":995,"uris":["http://zotero.org/users/7119014/items/TLDEJM6M"],"itemData":{"id":995,"type":"article-journal","abstract":"Soil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change","volume":"28","author":[{"family":"Fourcade","given":"Yoan"},{"family":"Vercauteren","given":"Mathias"}],"issued":{"date-parts":[["2022"]]}}}],"schema":"https://github.com/citation-style-language/schema/raw/master/csl-citation.json"} </w:instrText>
      </w:r>
      <w:r w:rsidR="009C037C" w:rsidRPr="00E252FB">
        <w:rPr>
          <w:rFonts w:cs="Times New Roman"/>
        </w:rPr>
        <w:fldChar w:fldCharType="separate"/>
      </w:r>
      <w:r w:rsidR="009C037C" w:rsidRPr="00E252FB">
        <w:rPr>
          <w:rFonts w:cs="Times New Roman"/>
        </w:rPr>
        <w:t>Phillips et al. (2019) et Fourcade &amp; Vercauteren (2022)</w:t>
      </w:r>
      <w:r w:rsidR="009C037C" w:rsidRPr="00E252FB">
        <w:rPr>
          <w:rFonts w:cs="Times New Roman"/>
        </w:rPr>
        <w:fldChar w:fldCharType="end"/>
      </w:r>
      <w:r w:rsidR="009C037C" w:rsidRPr="00E252FB">
        <w:rPr>
          <w:rFonts w:cs="Times New Roman"/>
        </w:rPr>
        <w:t xml:space="preserve"> </w:t>
      </w:r>
      <w:r w:rsidRPr="00E252FB">
        <w:rPr>
          <w:rFonts w:cs="Times New Roman"/>
        </w:rPr>
        <w:t xml:space="preserve"> reported a maximum richness of 6 species per plot. </w:t>
      </w:r>
      <w:r w:rsidR="0005728F" w:rsidRPr="00E252FB">
        <w:rPr>
          <w:rFonts w:cs="Times New Roman"/>
        </w:rPr>
        <w:fldChar w:fldCharType="begin"/>
      </w:r>
      <w:r w:rsidR="0005728F" w:rsidRPr="00E252FB">
        <w:rPr>
          <w:rFonts w:cs="Times New Roman"/>
        </w:rPr>
        <w:instrText xml:space="preserve"> ADDIN ZOTERO_ITEM CSL_CITATION {"citationID":"oypvltAK","properties":{"formattedCitation":"(Rutgers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05728F" w:rsidRPr="00E252FB">
        <w:rPr>
          <w:rFonts w:cs="Times New Roman"/>
        </w:rPr>
        <w:fldChar w:fldCharType="separate"/>
      </w:r>
      <w:r w:rsidR="0005728F" w:rsidRPr="00E252FB">
        <w:rPr>
          <w:rFonts w:cs="Times New Roman"/>
        </w:rPr>
        <w:t>Rutgers et al. (2016)</w:t>
      </w:r>
      <w:r w:rsidR="0005728F" w:rsidRPr="00E252FB">
        <w:rPr>
          <w:rFonts w:cs="Times New Roman"/>
        </w:rPr>
        <w:fldChar w:fldCharType="end"/>
      </w:r>
      <w:r w:rsidR="0005728F" w:rsidRPr="00E252FB">
        <w:rPr>
          <w:rFonts w:cs="Times New Roman"/>
        </w:rPr>
        <w:t xml:space="preserve"> </w:t>
      </w:r>
      <w:r w:rsidRPr="00E252FB">
        <w:rPr>
          <w:rFonts w:cs="Times New Roman"/>
        </w:rPr>
        <w:t xml:space="preserve">observed up to 7 species per plot, while </w:t>
      </w:r>
      <w:r w:rsidR="0083047A" w:rsidRPr="00E252FB">
        <w:rPr>
          <w:rFonts w:cs="Times New Roman"/>
        </w:rPr>
        <w:fldChar w:fldCharType="begin"/>
      </w:r>
      <w:r w:rsidR="0083047A" w:rsidRPr="00E252FB">
        <w:rPr>
          <w:rFonts w:cs="Times New Roman"/>
        </w:rPr>
        <w:instrText xml:space="preserve"> ADDIN ZOTERO_ITEM CSL_CITATION {"citationID":"l3gQ97lR","properties":{"formattedCitation":"(Zeiss et al., 2024)","plainCitation":"(Zeiss et al., 2024)","dontUpdate":true,"noteIndex":0},"citationItems":[{"id":1155,"uris":["http://zotero.org/users/7119014/items/QY5LCK2X"],"itemData":{"id":1155,"type":"article-journal","abstract":"Belowground biodiversity distribution does not necessarily reflect aboveground biodiversity patterns, but maps of soil biodiversity remain scarce because of limited data availability. Earthworms belong to the most thoroughly studied soil organisms and—in their role as ecosystem engineers—have a significant impact on ecosystem functioning. We used species distribution modeling (SDMs) and available data sets to map the spatial distribution of commonly observed (i.e., frequently recorded) earthworm species (Annelida, Oligochaeta) across Europe under current and future climate conditions. First, we predicted potential species distributions with commonly used models (i.e., MaxEnt and Biomod) and estimated total species richness (i.e., number of species in a 5 × 5 km grid cell). Second, we determined how much the different types of protected areas covered predicted earthworm richness and species ranges (i.e., distributions) by estimating the respective proportion of the range area. Earthworm species richness was high in central western Europe and low in northeastern Europe. This pattern was mainly associated with annual mean temperature and precipitation seasonality, but the importance of predictor variables to species occurrences varied among species. The geographical ranges of the majority of the earthworm species were predicted to shift to eastern Europe and partly decrease under future climate scenarios. Predicted current and future ranges were only poorly covered by protected areas, such as national parks. More than 80% of future earthworm ranges were on average not protected at all (mean [SD] = 82.6% [0.04]). Overall, our results emphasize the urgency of considering especially vulnerable earthworm species, as well as other soil organisms, in the design of nature conservation measures.","container-title":"Conservation Biology","DOI":"10.1111/cobi.14187","ISSN":"1523-1739","issue":"2","language":"en","license":"© 2024 The Authors. Conservation Biology published by Wiley Periodicals LLC on behalf of Society for Conservation Biology.","note":"_eprint: https://onlinelibrary.wiley.com/doi/pdf/10.1111/cobi.14187","page":"e14187","source":"Wiley Online Library","title":"Effects of climate on the distribution and conservation of commonly observed European earthworms","volume":"38","author":[{"family":"Zeiss","given":"Romy"},{"family":"Briones","given":"Maria J. I."},{"family":"Mathieu","given":"Jérome"},{"family":"Lomba","given":"Angela"},{"family":"Dahlke","given":"Jessica"},{"family":"Heptner","given":"Laura-Fiona"},{"family":"Salako","given":"Gabriel"},{"family":"Eisenhauer","given":"Nico"},{"family":"Guerra","given":"Carlos A."}],"issued":{"date-parts":[["2024"]]}}}],"schema":"https://github.com/citation-style-language/schema/raw/master/csl-citation.json"} </w:instrText>
      </w:r>
      <w:r w:rsidR="0083047A" w:rsidRPr="00E252FB">
        <w:rPr>
          <w:rFonts w:cs="Times New Roman"/>
        </w:rPr>
        <w:fldChar w:fldCharType="separate"/>
      </w:r>
      <w:r w:rsidR="0083047A" w:rsidRPr="00E252FB">
        <w:rPr>
          <w:rFonts w:cs="Times New Roman"/>
        </w:rPr>
        <w:t>Zeiss et al. (2024)</w:t>
      </w:r>
      <w:r w:rsidR="0083047A" w:rsidRPr="00E252FB">
        <w:rPr>
          <w:rFonts w:cs="Times New Roman"/>
        </w:rPr>
        <w:fldChar w:fldCharType="end"/>
      </w:r>
      <w:r w:rsidRPr="00E252FB">
        <w:rPr>
          <w:rFonts w:cs="Times New Roman"/>
        </w:rPr>
        <w:t xml:space="preserve"> reported richness of up to 18 species. We observed that the earthworm community was more abundant in the northwest and center of the country compared to the east. This result is consistent with the findings of </w:t>
      </w:r>
      <w:r w:rsidR="0083047A" w:rsidRPr="00E252FB">
        <w:rPr>
          <w:rFonts w:cs="Times New Roman"/>
        </w:rPr>
        <w:fldChar w:fldCharType="begin"/>
      </w:r>
      <w:r w:rsidR="0083047A" w:rsidRPr="00E252FB">
        <w:rPr>
          <w:rFonts w:cs="Times New Roman"/>
        </w:rPr>
        <w:instrText xml:space="preserve"> ADDIN ZOTERO_ITEM CSL_CITATION {"citationID":"l3gQ97lR","properties":{"formattedCitation":"(Zeiss et al., 2024)","plainCitation":"(Zeiss et al., 2024)","dontUpdate":true,"noteIndex":0},"citationItems":[{"id":1155,"uris":["http://zotero.org/users/7119014/items/QY5LCK2X"],"itemData":{"id":1155,"type":"article-journal","abstract":"Belowground biodiversity distribution does not necessarily reflect aboveground biodiversity patterns, but maps of soil biodiversity remain scarce because of limited data availability. Earthworms belong to the most thoroughly studied soil organisms and—in their role as ecosystem engineers—have a significant impact on ecosystem functioning. We used species distribution modeling (SDMs) and available data sets to map the spatial distribution of commonly observed (i.e., frequently recorded) earthworm species (Annelida, Oligochaeta) across Europe under current and future climate conditions. First, we predicted potential species distributions with commonly used models (i.e., MaxEnt and Biomod) and estimated total species richness (i.e., number of species in a 5 × 5 km grid cell). Second, we determined how much the different types of protected areas covered predicted earthworm richness and species ranges (i.e., distributions) by estimating the respective proportion of the range area. Earthworm species richness was high in central western Europe and low in northeastern Europe. This pattern was mainly associated with annual mean temperature and precipitation seasonality, but the importance of predictor variables to species occurrences varied among species. The geographical ranges of the majority of the earthworm species were predicted to shift to eastern Europe and partly decrease under future climate scenarios. Predicted current and future ranges were only poorly covered by protected areas, such as national parks. More than 80% of future earthworm ranges were on average not protected at all (mean [SD] = 82.6% [0.04]). Overall, our results emphasize the urgency of considering especially vulnerable earthworm species, as well as other soil organisms, in the design of nature conservation measures.","container-title":"Conservation Biology","DOI":"10.1111/cobi.14187","ISSN":"1523-1739","issue":"2","language":"en","license":"© 2024 The Authors. Conservation Biology published by Wiley Periodicals LLC on behalf of Society for Conservation Biology.","note":"_eprint: https://onlinelibrary.wiley.com/doi/pdf/10.1111/cobi.14187","page":"e14187","source":"Wiley Online Library","title":"Effects of climate on the distribution and conservation of commonly observed European earthworms","volume":"38","author":[{"family":"Zeiss","given":"Romy"},{"family":"Briones","given":"Maria J. I."},{"family":"Mathieu","given":"Jérome"},{"family":"Lomba","given":"Angela"},{"family":"Dahlke","given":"Jessica"},{"family":"Heptner","given":"Laura-Fiona"},{"family":"Salako","given":"Gabriel"},{"family":"Eisenhauer","given":"Nico"},{"family":"Guerra","given":"Carlos A."}],"issued":{"date-parts":[["2024"]]}}}],"schema":"https://github.com/citation-style-language/schema/raw/master/csl-citation.json"} </w:instrText>
      </w:r>
      <w:r w:rsidR="0083047A" w:rsidRPr="00E252FB">
        <w:rPr>
          <w:rFonts w:cs="Times New Roman"/>
        </w:rPr>
        <w:fldChar w:fldCharType="separate"/>
      </w:r>
      <w:r w:rsidR="0083047A" w:rsidRPr="00E252FB">
        <w:rPr>
          <w:rFonts w:cs="Times New Roman"/>
        </w:rPr>
        <w:t>Zeiss et al. (2024)</w:t>
      </w:r>
      <w:r w:rsidR="0083047A" w:rsidRPr="00E252FB">
        <w:rPr>
          <w:rFonts w:cs="Times New Roman"/>
        </w:rPr>
        <w:fldChar w:fldCharType="end"/>
      </w:r>
      <w:r w:rsidRPr="00E252FB">
        <w:rPr>
          <w:rFonts w:cs="Times New Roman"/>
        </w:rPr>
        <w:t xml:space="preserve">, who observed that earthworm species richness was high in the west-central part of Europe and low in the northeast. Furthermore, </w:t>
      </w:r>
      <w:r w:rsidR="0005728F" w:rsidRPr="00E252FB">
        <w:rPr>
          <w:rFonts w:cs="Times New Roman"/>
        </w:rPr>
        <w:fldChar w:fldCharType="begin"/>
      </w:r>
      <w:r w:rsidR="0005728F" w:rsidRPr="00E252FB">
        <w:rPr>
          <w:rFonts w:cs="Times New Roman"/>
        </w:rPr>
        <w:instrText xml:space="preserve"> ADDIN ZOTERO_ITEM CSL_CITATION {"citationID":"oypvltAK","properties":{"formattedCitation":"(Rutgers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05728F" w:rsidRPr="00E252FB">
        <w:rPr>
          <w:rFonts w:cs="Times New Roman"/>
        </w:rPr>
        <w:fldChar w:fldCharType="separate"/>
      </w:r>
      <w:r w:rsidR="0005728F" w:rsidRPr="00E252FB">
        <w:rPr>
          <w:rFonts w:cs="Times New Roman"/>
        </w:rPr>
        <w:t>Rutgers et al. (2016)</w:t>
      </w:r>
      <w:r w:rsidR="0005728F" w:rsidRPr="00E252FB">
        <w:rPr>
          <w:rFonts w:cs="Times New Roman"/>
        </w:rPr>
        <w:fldChar w:fldCharType="end"/>
      </w:r>
      <w:r w:rsidRPr="00E252FB">
        <w:rPr>
          <w:rFonts w:cs="Times New Roman"/>
        </w:rPr>
        <w:t xml:space="preserve"> asserts that the large-scale distribution of earthworm densities appears through positive correlations with latitude, longitude, and climatic factors at the European scale. In our study, this result could be explained by differences in land use: more grasslands in the west, while the east is characterized by forests and vineyard plots.</w:t>
      </w:r>
    </w:p>
    <w:p w14:paraId="77FE6A63" w14:textId="03C4BD53" w:rsidR="00D82900" w:rsidRPr="00E252FB" w:rsidRDefault="00D82900" w:rsidP="00D82900">
      <w:pPr>
        <w:rPr>
          <w:rFonts w:cs="Times New Roman"/>
        </w:rPr>
      </w:pPr>
      <w:r w:rsidRPr="00E252FB">
        <w:rPr>
          <w:rFonts w:cs="Times New Roman"/>
        </w:rPr>
        <w:t>We predicted the distribution of earthworms in areas for which we were able to extract model predictors through high-resolution maps, as well as in some additional areas to produce continuous maps. These additional areas were mainly located in plots with land uses that are not input variables of the models. These include highly artificialized areas (industrial or commercial zones, airports), wetlands, water surfaces, or agroforestry territories. The expected distributions of earthworms in these areas were indirectly derived by interpolation and should therefore be interpreted with caution. The maps were created primarily to raise awareness and protect soil biodiversity and associated ecosystem services.</w:t>
      </w:r>
    </w:p>
    <w:p w14:paraId="1E055031" w14:textId="6FFC39F3" w:rsidR="00D3451C" w:rsidRPr="00E252FB" w:rsidRDefault="00AF40D7" w:rsidP="003B6D04">
      <w:pPr>
        <w:pStyle w:val="Heading1"/>
        <w:numPr>
          <w:ilvl w:val="0"/>
          <w:numId w:val="0"/>
        </w:numPr>
        <w:ind w:left="432"/>
        <w:rPr>
          <w:rFonts w:cs="Times New Roman"/>
        </w:rPr>
      </w:pPr>
      <w:r w:rsidRPr="00E252FB">
        <w:rPr>
          <w:rFonts w:cs="Times New Roman"/>
        </w:rPr>
        <w:t>Conclusions</w:t>
      </w:r>
    </w:p>
    <w:p w14:paraId="1FF7CFE6" w14:textId="7FAC6F0C" w:rsidR="00573482" w:rsidRPr="00E252FB" w:rsidRDefault="00E00080" w:rsidP="008830C6">
      <w:pPr>
        <w:rPr>
          <w:rFonts w:cs="Times New Roman"/>
        </w:rPr>
      </w:pPr>
      <w:r w:rsidRPr="00E252FB">
        <w:rPr>
          <w:rFonts w:cs="Times New Roman"/>
          <w:szCs w:val="24"/>
        </w:rPr>
        <w:t xml:space="preserve">In this study, we developed predictive models using a comparative approach between traditional regression models (GLM, GAM) and machine learning algorithms (RF, GBM, and ANN) to </w:t>
      </w:r>
      <w:r w:rsidRPr="00E252FB">
        <w:rPr>
          <w:rFonts w:cs="Times New Roman"/>
          <w:szCs w:val="24"/>
        </w:rPr>
        <w:lastRenderedPageBreak/>
        <w:t>identify the best model for predicting the earthworm community in metropolitan France. Generalized boosted models and random forests showed the best predictive performances. The notable initial results we obtained pertain to the estimated precision of our models, which enable prediction of total biomass with an R² of 0.35 (RMSE = 8.76 g/m²), total abundance with an R² of 0.43 (RMSE = 25 ind./m²), and total taxonomic richness with an R² of 0.59 (RMSE = 1.7 species per plot). Our study highlighted that land use was the most important variable for earthworms, followed by spatial, climatic, and soil variables. Additionally, our study created prediction maps of the earthworm community in France, providing reference data and raising awareness about soil biodiversity protection and associated ecosystem services. To complement this study and obtain a comprehensive overview of the earthworm community in France, it would be relevant to develop additional models to predict species abundance or presence-absence, as well as the abundance and biomass of specific ecological categories of earthworms.</w:t>
      </w:r>
    </w:p>
    <w:p w14:paraId="1FE160DD" w14:textId="77777777" w:rsidR="00C12F5E" w:rsidRPr="00E252FB" w:rsidRDefault="00C12F5E" w:rsidP="008830C6">
      <w:pPr>
        <w:rPr>
          <w:rFonts w:cs="Times New Roman"/>
        </w:rPr>
      </w:pPr>
    </w:p>
    <w:p w14:paraId="35C97BC6" w14:textId="7BF4E2C2" w:rsidR="00C12F5E" w:rsidRPr="00E252FB" w:rsidRDefault="00C12F5E" w:rsidP="008830C6">
      <w:pPr>
        <w:rPr>
          <w:rFonts w:cs="Times New Roman"/>
        </w:rPr>
        <w:sectPr w:rsidR="00C12F5E" w:rsidRPr="00E252FB" w:rsidSect="00537360">
          <w:footerReference w:type="default" r:id="rId14"/>
          <w:footerReference w:type="first" r:id="rId15"/>
          <w:pgSz w:w="12240" w:h="15840"/>
          <w:pgMar w:top="1417" w:right="1417" w:bottom="1417" w:left="1417" w:header="720" w:footer="720" w:gutter="0"/>
          <w:pgNumType w:start="1"/>
          <w:cols w:space="720"/>
          <w:titlePg/>
          <w:docGrid w:linePitch="360"/>
        </w:sectPr>
      </w:pPr>
    </w:p>
    <w:p w14:paraId="5CCE1411" w14:textId="65696791" w:rsidR="00D3451C" w:rsidRPr="00E252FB" w:rsidRDefault="00574DAE" w:rsidP="0042279B">
      <w:pPr>
        <w:pStyle w:val="Heading1"/>
        <w:numPr>
          <w:ilvl w:val="0"/>
          <w:numId w:val="0"/>
        </w:numPr>
        <w:rPr>
          <w:rFonts w:cs="Times New Roman"/>
        </w:rPr>
      </w:pPr>
      <w:r w:rsidRPr="00E252FB">
        <w:rPr>
          <w:rFonts w:cs="Times New Roman"/>
        </w:rPr>
        <w:lastRenderedPageBreak/>
        <w:t>Bibliography</w:t>
      </w:r>
    </w:p>
    <w:p w14:paraId="4DCC00E2" w14:textId="77777777" w:rsidR="00182546" w:rsidRPr="00E252FB" w:rsidRDefault="00F217A6" w:rsidP="00182546">
      <w:pPr>
        <w:pStyle w:val="Bibliography"/>
      </w:pPr>
      <w:r w:rsidRPr="00E252FB">
        <w:fldChar w:fldCharType="begin"/>
      </w:r>
      <w:r w:rsidRPr="00E252FB">
        <w:instrText xml:space="preserve"> ADDIN ZOTERO_BIBL {"uncited":[],"omitted":[],"custom":[]} CSL_BIBLIOGRAPHY </w:instrText>
      </w:r>
      <w:r w:rsidRPr="00E252FB">
        <w:fldChar w:fldCharType="separate"/>
      </w:r>
      <w:r w:rsidR="00182546" w:rsidRPr="00E252FB">
        <w:t xml:space="preserve">Anthony, M. A., Bender, S. F., &amp; van der Heijden, M. G. (2023). Enumerating soil biodiversity. </w:t>
      </w:r>
      <w:r w:rsidR="00182546" w:rsidRPr="00E252FB">
        <w:rPr>
          <w:i/>
          <w:iCs/>
        </w:rPr>
        <w:t>Proceedings of the National Academy of Sciences</w:t>
      </w:r>
      <w:r w:rsidR="00182546" w:rsidRPr="00E252FB">
        <w:t xml:space="preserve">, </w:t>
      </w:r>
      <w:r w:rsidR="00182546" w:rsidRPr="00E252FB">
        <w:rPr>
          <w:i/>
          <w:iCs/>
        </w:rPr>
        <w:t>120</w:t>
      </w:r>
      <w:r w:rsidR="00182546" w:rsidRPr="00E252FB">
        <w:t>(33), e2304663120. https://doi.org/10.1073/pnas.2304663120</w:t>
      </w:r>
    </w:p>
    <w:p w14:paraId="264ABEFC" w14:textId="77777777" w:rsidR="00182546" w:rsidRPr="00E252FB" w:rsidRDefault="00182546" w:rsidP="00182546">
      <w:pPr>
        <w:pStyle w:val="Bibliography"/>
      </w:pPr>
      <w:r w:rsidRPr="00E252FB">
        <w:t xml:space="preserve">Ballabio, C., Lugato, E., Fernández-Ugalde, O., Orgiazzi, A., Jones, A., Borrelli, P., Montanarella, L., &amp; Panagos, P. (2019). Mapping LUCAS topsoil chemical properties at European scale using Gaussian process regression. </w:t>
      </w:r>
      <w:r w:rsidRPr="00E252FB">
        <w:rPr>
          <w:i/>
          <w:iCs/>
        </w:rPr>
        <w:t>Geoderma</w:t>
      </w:r>
      <w:r w:rsidRPr="00E252FB">
        <w:t xml:space="preserve">, </w:t>
      </w:r>
      <w:r w:rsidRPr="00E252FB">
        <w:rPr>
          <w:i/>
          <w:iCs/>
        </w:rPr>
        <w:t>355</w:t>
      </w:r>
      <w:r w:rsidRPr="00E252FB">
        <w:t>, 113912. https://doi.org/10.1016/j.geoderma.2019.113912</w:t>
      </w:r>
    </w:p>
    <w:p w14:paraId="1C8D9E12" w14:textId="77777777" w:rsidR="00182546" w:rsidRPr="00E252FB" w:rsidRDefault="00182546" w:rsidP="00182546">
      <w:pPr>
        <w:pStyle w:val="Bibliography"/>
      </w:pPr>
      <w:r w:rsidRPr="00E252FB">
        <w:t xml:space="preserve">Bardgett, R. D., &amp; Van der Putten, W. H. (2014). Belowground biodiversity and ecosystem functioning. </w:t>
      </w:r>
      <w:r w:rsidRPr="00E252FB">
        <w:rPr>
          <w:i/>
          <w:iCs/>
        </w:rPr>
        <w:t>Nature</w:t>
      </w:r>
      <w:r w:rsidRPr="00E252FB">
        <w:t xml:space="preserve">, </w:t>
      </w:r>
      <w:r w:rsidRPr="00E252FB">
        <w:rPr>
          <w:i/>
          <w:iCs/>
        </w:rPr>
        <w:t>515</w:t>
      </w:r>
      <w:r w:rsidRPr="00E252FB">
        <w:t>(7528), Article 7528. https://doi.org/10.1038/nature13855</w:t>
      </w:r>
    </w:p>
    <w:p w14:paraId="7FF5C7D1" w14:textId="77777777" w:rsidR="00182546" w:rsidRPr="00E252FB" w:rsidRDefault="00182546" w:rsidP="00182546">
      <w:pPr>
        <w:pStyle w:val="Bibliography"/>
      </w:pPr>
      <w:r w:rsidRPr="00E252FB">
        <w:t xml:space="preserve">Bouché, M. B. (1972). </w:t>
      </w:r>
      <w:r w:rsidRPr="00E252FB">
        <w:rPr>
          <w:i/>
          <w:iCs/>
        </w:rPr>
        <w:t>Lombriciens de France. Ecologie et systématique</w:t>
      </w:r>
      <w:r w:rsidRPr="00E252FB">
        <w:t xml:space="preserve"> (Vol. 72‑2, Numéro HS, p. 671 p.). INRA Editions. https://hal.inrae.fr/hal-02859798</w:t>
      </w:r>
    </w:p>
    <w:p w14:paraId="12FF8E5F" w14:textId="77777777" w:rsidR="00182546" w:rsidRPr="00E252FB" w:rsidRDefault="00182546" w:rsidP="00182546">
      <w:pPr>
        <w:pStyle w:val="Bibliography"/>
      </w:pPr>
      <w:r w:rsidRPr="00E252FB">
        <w:t xml:space="preserve">Breiman, L. (2001). Random Forests. </w:t>
      </w:r>
      <w:r w:rsidRPr="00E252FB">
        <w:rPr>
          <w:i/>
          <w:iCs/>
        </w:rPr>
        <w:t>Machine Learning</w:t>
      </w:r>
      <w:r w:rsidRPr="00E252FB">
        <w:t xml:space="preserve">, </w:t>
      </w:r>
      <w:r w:rsidRPr="00E252FB">
        <w:rPr>
          <w:i/>
          <w:iCs/>
        </w:rPr>
        <w:t>45</w:t>
      </w:r>
      <w:r w:rsidRPr="00E252FB">
        <w:t>(1), 5‑32. https://doi.org/10.1023/A:1010933404324</w:t>
      </w:r>
    </w:p>
    <w:p w14:paraId="71058649" w14:textId="77777777" w:rsidR="00182546" w:rsidRPr="00E252FB" w:rsidRDefault="00182546" w:rsidP="00182546">
      <w:pPr>
        <w:pStyle w:val="Bibliography"/>
      </w:pPr>
      <w:r w:rsidRPr="00E252FB">
        <w:t xml:space="preserve">Capowiez, Y., Sammartino, S., &amp; Michel, E. (2014). Burrow systems of endogeic earthworms : Effects of earthworm abundance and consequences for soil water infiltration. </w:t>
      </w:r>
      <w:r w:rsidRPr="00E252FB">
        <w:rPr>
          <w:i/>
          <w:iCs/>
        </w:rPr>
        <w:t>Pedobiologia</w:t>
      </w:r>
      <w:r w:rsidRPr="00E252FB">
        <w:t xml:space="preserve">, </w:t>
      </w:r>
      <w:r w:rsidRPr="00E252FB">
        <w:rPr>
          <w:i/>
          <w:iCs/>
        </w:rPr>
        <w:t>57</w:t>
      </w:r>
      <w:r w:rsidRPr="00E252FB">
        <w:t>(4), 303‑309. https://doi.org/10.1016/j.pedobi.2014.04.001</w:t>
      </w:r>
    </w:p>
    <w:p w14:paraId="7BFD8C10" w14:textId="77777777" w:rsidR="00182546" w:rsidRPr="00E252FB" w:rsidRDefault="00182546" w:rsidP="00182546">
      <w:pPr>
        <w:pStyle w:val="Bibliography"/>
      </w:pPr>
      <w:r w:rsidRPr="00E252FB">
        <w:t xml:space="preserve">Cardinale, B. J., Duffy, J. E., Gonzalez, A., Hooper, D. U., Perrings, C., Venail, P., Narwani, A., Mace, G. M., Tilman, D., Wardle, D. A., Kinzig, A. P., Daily, G. C., Loreau, M., Grace, J. B., Larigauderie, A., Srivastava, D. S., &amp; Naeem, S. (2012). Biodiversity loss and its impact on humanity. </w:t>
      </w:r>
      <w:r w:rsidRPr="00E252FB">
        <w:rPr>
          <w:i/>
          <w:iCs/>
        </w:rPr>
        <w:t>Nature</w:t>
      </w:r>
      <w:r w:rsidRPr="00E252FB">
        <w:t xml:space="preserve">, </w:t>
      </w:r>
      <w:r w:rsidRPr="00E252FB">
        <w:rPr>
          <w:i/>
          <w:iCs/>
        </w:rPr>
        <w:t>486</w:t>
      </w:r>
      <w:r w:rsidRPr="00E252FB">
        <w:t>(7401), Article 7401. https://doi.org/10.1038/nature11148</w:t>
      </w:r>
    </w:p>
    <w:p w14:paraId="48F3313B" w14:textId="77777777" w:rsidR="00182546" w:rsidRPr="00E252FB" w:rsidRDefault="00182546" w:rsidP="00182546">
      <w:pPr>
        <w:pStyle w:val="Bibliography"/>
      </w:pPr>
      <w:r w:rsidRPr="00E252FB">
        <w:t xml:space="preserve">Casalicchio, G., Molnar, C., &amp; Schratz, P. (2024). </w:t>
      </w:r>
      <w:r w:rsidRPr="00E252FB">
        <w:rPr>
          <w:i/>
          <w:iCs/>
        </w:rPr>
        <w:t>iml : Interpretable Machine Learning</w:t>
      </w:r>
      <w:r w:rsidRPr="00E252FB">
        <w:t xml:space="preserve"> (0.11.3) [Logiciel]. https://cran.r-project.org/web/packages/iml/</w:t>
      </w:r>
    </w:p>
    <w:p w14:paraId="34B4822B" w14:textId="77777777" w:rsidR="00182546" w:rsidRPr="00E252FB" w:rsidRDefault="00182546" w:rsidP="00182546">
      <w:pPr>
        <w:pStyle w:val="Bibliography"/>
      </w:pPr>
      <w:r w:rsidRPr="00E252FB">
        <w:lastRenderedPageBreak/>
        <w:t xml:space="preserve">Crittenden, S. J., Eswaramurthy, T., de Goede, R. G. M., Brussaard, L., &amp; Pulleman, M. M. (2014). Effect of tillage on earthworms over short- and medium-term in conventional and organic farming. </w:t>
      </w:r>
      <w:r w:rsidRPr="00E252FB">
        <w:rPr>
          <w:i/>
          <w:iCs/>
        </w:rPr>
        <w:t>Applied Soil Ecology</w:t>
      </w:r>
      <w:r w:rsidRPr="00E252FB">
        <w:t xml:space="preserve">, </w:t>
      </w:r>
      <w:r w:rsidRPr="00E252FB">
        <w:rPr>
          <w:i/>
          <w:iCs/>
        </w:rPr>
        <w:t>83</w:t>
      </w:r>
      <w:r w:rsidRPr="00E252FB">
        <w:t>, 140‑148. https://doi.org/10.1016/j.apsoil.2014.03.001</w:t>
      </w:r>
    </w:p>
    <w:p w14:paraId="0BF28E61" w14:textId="77777777" w:rsidR="00182546" w:rsidRPr="00E252FB" w:rsidRDefault="00182546" w:rsidP="00182546">
      <w:pPr>
        <w:pStyle w:val="Bibliography"/>
      </w:pPr>
      <w:r w:rsidRPr="00E252FB">
        <w:t xml:space="preserve">Cunha, L., Brown, G. G., Stanton, D. W. G., Da Silva, E., Hansel, F. A., Jorge, G., McKey, D., Vidal-Torrado, P., Macedo, R. S., Velasquez, E., James, S. W., Lavelle, P., Kille, P., &amp; Network,  the T. P. de I. (2016). Soil Animals and Pedogenesis : The Role of Earthworms in Anthropogenic Soils. </w:t>
      </w:r>
      <w:r w:rsidRPr="00E252FB">
        <w:rPr>
          <w:i/>
          <w:iCs/>
        </w:rPr>
        <w:t>Soil Science</w:t>
      </w:r>
      <w:r w:rsidRPr="00E252FB">
        <w:t xml:space="preserve">, </w:t>
      </w:r>
      <w:r w:rsidRPr="00E252FB">
        <w:rPr>
          <w:i/>
          <w:iCs/>
        </w:rPr>
        <w:t>181</w:t>
      </w:r>
      <w:r w:rsidRPr="00E252FB">
        <w:t>(3/4), 110‑125. https://doi.org/10.1097/SS.0000000000000144</w:t>
      </w:r>
    </w:p>
    <w:p w14:paraId="734CE225" w14:textId="77777777" w:rsidR="00182546" w:rsidRPr="00E252FB" w:rsidRDefault="00182546" w:rsidP="00182546">
      <w:pPr>
        <w:pStyle w:val="Bibliography"/>
      </w:pPr>
      <w:r w:rsidRPr="00E252FB">
        <w:t xml:space="preserve">Diallo, A., Hoeffner, K., Guillocheau, S., Sorgniard, P., &amp; Cluzeau, D. (2023). Combined effects of annual crop agricultural practices on earthworm communities. </w:t>
      </w:r>
      <w:r w:rsidRPr="00E252FB">
        <w:rPr>
          <w:i/>
          <w:iCs/>
        </w:rPr>
        <w:t>Applied Soil Ecology</w:t>
      </w:r>
      <w:r w:rsidRPr="00E252FB">
        <w:t xml:space="preserve">, </w:t>
      </w:r>
      <w:r w:rsidRPr="00E252FB">
        <w:rPr>
          <w:i/>
          <w:iCs/>
        </w:rPr>
        <w:t>192</w:t>
      </w:r>
      <w:r w:rsidRPr="00E252FB">
        <w:t>, 105073. https://doi.org/10.1016/j.apsoil.2023.105073</w:t>
      </w:r>
    </w:p>
    <w:p w14:paraId="678CAD82" w14:textId="77777777" w:rsidR="00182546" w:rsidRPr="00E252FB" w:rsidRDefault="00182546" w:rsidP="00182546">
      <w:pPr>
        <w:pStyle w:val="Bibliography"/>
      </w:pPr>
      <w:r w:rsidRPr="00E252FB">
        <w:t xml:space="preserve">Edwards, C. A., &amp; Arancon, N. Q. (2022). </w:t>
      </w:r>
      <w:r w:rsidRPr="00E252FB">
        <w:rPr>
          <w:i/>
          <w:iCs/>
        </w:rPr>
        <w:t>Biology and Ecology of Earthworms</w:t>
      </w:r>
      <w:r w:rsidRPr="00E252FB">
        <w:t>. Springer US. https://doi.org/10.1007/978-0-387-74943-3</w:t>
      </w:r>
    </w:p>
    <w:p w14:paraId="1AE94F09" w14:textId="77777777" w:rsidR="00182546" w:rsidRPr="00E252FB" w:rsidRDefault="00182546" w:rsidP="00182546">
      <w:pPr>
        <w:pStyle w:val="Bibliography"/>
      </w:pPr>
      <w:r w:rsidRPr="00E252FB">
        <w:t xml:space="preserve">Elith, J., &amp; Leathwick, J. R. (2009). Species Distribution Models : Ecological Explanation and Prediction Across Space and Time. </w:t>
      </w:r>
      <w:r w:rsidRPr="00E252FB">
        <w:rPr>
          <w:i/>
          <w:iCs/>
        </w:rPr>
        <w:t>Annual Review of Ecology, Evolution, and Systematics</w:t>
      </w:r>
      <w:r w:rsidRPr="00E252FB">
        <w:t xml:space="preserve">, </w:t>
      </w:r>
      <w:r w:rsidRPr="00E252FB">
        <w:rPr>
          <w:i/>
          <w:iCs/>
        </w:rPr>
        <w:t>40</w:t>
      </w:r>
      <w:r w:rsidRPr="00E252FB">
        <w:t>(1), 677‑697. https://doi.org/10.1146/annurev.ecolsys.110308.120159</w:t>
      </w:r>
    </w:p>
    <w:p w14:paraId="0389DAF3" w14:textId="77777777" w:rsidR="00182546" w:rsidRPr="00E252FB" w:rsidRDefault="00182546" w:rsidP="00182546">
      <w:pPr>
        <w:pStyle w:val="Bibliography"/>
      </w:pPr>
      <w:r w:rsidRPr="00E252FB">
        <w:t xml:space="preserve">Ernst, G., &amp; Emmerling, C. (2009). Impact of five different tillage systems on soil organic carbon content and the density, biomass, and community composition of earthworms after a ten year period. </w:t>
      </w:r>
      <w:r w:rsidRPr="00E252FB">
        <w:rPr>
          <w:i/>
          <w:iCs/>
        </w:rPr>
        <w:t>European Journal of Soil Biology</w:t>
      </w:r>
      <w:r w:rsidRPr="00E252FB">
        <w:t xml:space="preserve">, </w:t>
      </w:r>
      <w:r w:rsidRPr="00E252FB">
        <w:rPr>
          <w:i/>
          <w:iCs/>
        </w:rPr>
        <w:t>45</w:t>
      </w:r>
      <w:r w:rsidRPr="00E252FB">
        <w:t>(3), 247‑251. https://doi.org/10.1016/j.ejsobi.2009.02.002</w:t>
      </w:r>
    </w:p>
    <w:p w14:paraId="5AA1451D" w14:textId="77777777" w:rsidR="00182546" w:rsidRPr="00E252FB" w:rsidRDefault="00182546" w:rsidP="00182546">
      <w:pPr>
        <w:pStyle w:val="Bibliography"/>
      </w:pPr>
      <w:r w:rsidRPr="00E252FB">
        <w:t xml:space="preserve">FAO, I. (2020). </w:t>
      </w:r>
      <w:r w:rsidRPr="00E252FB">
        <w:rPr>
          <w:i/>
          <w:iCs/>
        </w:rPr>
        <w:t>State of knowledge of soil biodiversity – Status, challenges and potentialities. Summary for policy makers</w:t>
      </w:r>
      <w:r w:rsidRPr="00E252FB">
        <w:t>. https://policycommons.net/artifacts/1526136/state-of-knowledge-of-soil-biodiversity-status-challenges-and-potentialities/2214245/</w:t>
      </w:r>
    </w:p>
    <w:p w14:paraId="77E54325" w14:textId="77777777" w:rsidR="00182546" w:rsidRPr="00E252FB" w:rsidRDefault="00182546" w:rsidP="00182546">
      <w:pPr>
        <w:pStyle w:val="Bibliography"/>
      </w:pPr>
      <w:r w:rsidRPr="00E252FB">
        <w:lastRenderedPageBreak/>
        <w:t xml:space="preserve">Fourcade, Y., &amp; Vercauteren, M. (2022). Predicted changes in the functional structure of earthworm assemblages in France driven by climate change. </w:t>
      </w:r>
      <w:r w:rsidRPr="00E252FB">
        <w:rPr>
          <w:i/>
          <w:iCs/>
        </w:rPr>
        <w:t>Diversity and Distributions</w:t>
      </w:r>
      <w:r w:rsidRPr="00E252FB">
        <w:t xml:space="preserve">, </w:t>
      </w:r>
      <w:r w:rsidRPr="00E252FB">
        <w:rPr>
          <w:i/>
          <w:iCs/>
        </w:rPr>
        <w:t>28</w:t>
      </w:r>
      <w:r w:rsidRPr="00E252FB">
        <w:t>(5), 1050‑1066. https://doi.org/10.1111/ddi.13505</w:t>
      </w:r>
    </w:p>
    <w:p w14:paraId="314DEBF0" w14:textId="77777777" w:rsidR="00182546" w:rsidRPr="00E252FB" w:rsidRDefault="00182546" w:rsidP="00182546">
      <w:pPr>
        <w:pStyle w:val="Bibliography"/>
      </w:pPr>
      <w:r w:rsidRPr="00E252FB">
        <w:t xml:space="preserve">Gabriac, Q., Ganault, P., Barois, I., Aranda-Delgado, E., Cimetière, E., Cortet, J., Gautier, M., Hedde, M., Marchán, D. F., Reyes, J. C. P., Stokes, A., &amp; Decaëns, T. (2022). </w:t>
      </w:r>
      <w:r w:rsidRPr="00E252FB">
        <w:rPr>
          <w:i/>
          <w:iCs/>
        </w:rPr>
        <w:t>Environmental drivers of earthworm communities along an altitudinal gradient in the French Alps</w:t>
      </w:r>
      <w:r w:rsidRPr="00E252FB">
        <w:t xml:space="preserve"> (p. 2022.10.13.512055). bioRxiv. https://doi.org/10.1101/2022.10.13.512055</w:t>
      </w:r>
    </w:p>
    <w:p w14:paraId="156115A8" w14:textId="77777777" w:rsidR="00182546" w:rsidRPr="00E252FB" w:rsidRDefault="00182546" w:rsidP="00182546">
      <w:pPr>
        <w:pStyle w:val="Bibliography"/>
      </w:pPr>
      <w:r w:rsidRPr="00E252FB">
        <w:t xml:space="preserve">Gardi, C., &amp; Jeffery, S. (2009). </w:t>
      </w:r>
      <w:r w:rsidRPr="00E252FB">
        <w:rPr>
          <w:i/>
          <w:iCs/>
        </w:rPr>
        <w:t>Soil biodiversity</w:t>
      </w:r>
      <w:r w:rsidRPr="00E252FB">
        <w:t>. https://doi.org/10.2788/7831</w:t>
      </w:r>
    </w:p>
    <w:p w14:paraId="48887BBD" w14:textId="77777777" w:rsidR="00182546" w:rsidRPr="00E252FB" w:rsidRDefault="00182546" w:rsidP="00182546">
      <w:pPr>
        <w:pStyle w:val="Bibliography"/>
      </w:pPr>
      <w:r w:rsidRPr="00E252FB">
        <w:t xml:space="preserve">Greg, R., Edwards, D., Kriegler, B., Schroedl, S., Southworth, H., Greenwell, B., Boehmke, B., Cunningham, J., &amp; Developers  (https://github.com/gbm-developers), G. B. M. (2024). </w:t>
      </w:r>
      <w:r w:rsidRPr="00E252FB">
        <w:rPr>
          <w:i/>
          <w:iCs/>
        </w:rPr>
        <w:t>gbm : Generalized Boosted Regression Models</w:t>
      </w:r>
      <w:r w:rsidRPr="00E252FB">
        <w:t xml:space="preserve"> (2.1.9) [Logiciel]. https://cran.r-project.org/web/packages/gbm/index.html</w:t>
      </w:r>
    </w:p>
    <w:p w14:paraId="36FFD3DB" w14:textId="77777777" w:rsidR="00182546" w:rsidRPr="00E252FB" w:rsidRDefault="00182546" w:rsidP="00182546">
      <w:pPr>
        <w:pStyle w:val="Bibliography"/>
      </w:pPr>
      <w:r w:rsidRPr="00E252FB">
        <w:t xml:space="preserve">Groves, C. P. (2022). </w:t>
      </w:r>
      <w:r w:rsidRPr="00E252FB">
        <w:rPr>
          <w:i/>
          <w:iCs/>
        </w:rPr>
        <w:t>Biogeographic region | Definition, Features, Locations, &amp; Facts | Britannica</w:t>
      </w:r>
      <w:r w:rsidRPr="00E252FB">
        <w:t>. https://www.britannica.com/science/biogeographic-region</w:t>
      </w:r>
    </w:p>
    <w:p w14:paraId="0F6F5C5E" w14:textId="77777777" w:rsidR="00182546" w:rsidRPr="00E252FB" w:rsidRDefault="00182546" w:rsidP="00182546">
      <w:pPr>
        <w:pStyle w:val="Bibliography"/>
      </w:pPr>
      <w:r w:rsidRPr="00E252FB">
        <w:t xml:space="preserve">Guisan, A., Thuiller, W., &amp; Zimmermann, N. E. (2017). </w:t>
      </w:r>
      <w:r w:rsidRPr="00E252FB">
        <w:rPr>
          <w:i/>
          <w:iCs/>
        </w:rPr>
        <w:t>Habitat Suitability and Distribution Models : With Applications in R</w:t>
      </w:r>
      <w:r w:rsidRPr="00E252FB">
        <w:t>. Cambridge University Press. https://doi.org/10.1017/9781139028271</w:t>
      </w:r>
    </w:p>
    <w:p w14:paraId="3E373387" w14:textId="77777777" w:rsidR="00182546" w:rsidRPr="00E252FB" w:rsidRDefault="00182546" w:rsidP="00182546">
      <w:pPr>
        <w:pStyle w:val="Bibliography"/>
      </w:pPr>
      <w:r w:rsidRPr="00E252FB">
        <w:t xml:space="preserve">Hijmans, R. J., &amp; Elith, J. (2019). </w:t>
      </w:r>
      <w:r w:rsidRPr="00E252FB">
        <w:rPr>
          <w:i/>
          <w:iCs/>
        </w:rPr>
        <w:t>Spatial Distribution Models</w:t>
      </w:r>
      <w:r w:rsidRPr="00E252FB">
        <w:t>. https://rspatial.org/sdm/SDM.pdf</w:t>
      </w:r>
    </w:p>
    <w:p w14:paraId="66C0906A" w14:textId="77777777" w:rsidR="00182546" w:rsidRPr="00E252FB" w:rsidRDefault="00182546" w:rsidP="00182546">
      <w:pPr>
        <w:pStyle w:val="Bibliography"/>
      </w:pPr>
      <w:r w:rsidRPr="00E252FB">
        <w:t xml:space="preserve">Hoeffner, K., Hotte, H., Cluzeau, D., Charrier, X., Gastal, F., &amp; Pérès, G. (2021). Effects of temporary grassland introduction into annual crop rotations and nitrogen fertilisation on earthworm communities and forage production. </w:t>
      </w:r>
      <w:r w:rsidRPr="00E252FB">
        <w:rPr>
          <w:i/>
          <w:iCs/>
        </w:rPr>
        <w:t>Applied Soil Ecology</w:t>
      </w:r>
      <w:r w:rsidRPr="00E252FB">
        <w:t xml:space="preserve">, </w:t>
      </w:r>
      <w:r w:rsidRPr="00E252FB">
        <w:rPr>
          <w:i/>
          <w:iCs/>
        </w:rPr>
        <w:t>162</w:t>
      </w:r>
      <w:r w:rsidRPr="00E252FB">
        <w:t>, 103893. https://doi.org/10.1016/j.apsoil.2021.103893</w:t>
      </w:r>
    </w:p>
    <w:p w14:paraId="04713290" w14:textId="77777777" w:rsidR="00182546" w:rsidRPr="00E252FB" w:rsidRDefault="00182546" w:rsidP="00182546">
      <w:pPr>
        <w:pStyle w:val="Bibliography"/>
      </w:pPr>
      <w:r w:rsidRPr="00E252FB">
        <w:t xml:space="preserve">Hooper, D. U., Adair, E. C., Cardinale, B. J., Byrnes, J. E. K., Hungate, B. A., Matulich, K. L., Gonzalez, A., Duffy, J. E., Gamfeldt, L., &amp; O’Connor, M. I. (2012). A global synthesis </w:t>
      </w:r>
      <w:r w:rsidRPr="00E252FB">
        <w:lastRenderedPageBreak/>
        <w:t xml:space="preserve">reveals biodiversity loss as a major driver of ecosystem change. </w:t>
      </w:r>
      <w:r w:rsidRPr="00E252FB">
        <w:rPr>
          <w:i/>
          <w:iCs/>
        </w:rPr>
        <w:t>Nature</w:t>
      </w:r>
      <w:r w:rsidRPr="00E252FB">
        <w:t xml:space="preserve">, </w:t>
      </w:r>
      <w:r w:rsidRPr="00E252FB">
        <w:rPr>
          <w:i/>
          <w:iCs/>
        </w:rPr>
        <w:t>486</w:t>
      </w:r>
      <w:r w:rsidRPr="00E252FB">
        <w:t>(7401), Article 7401. https://doi.org/10.1038/nature11118</w:t>
      </w:r>
    </w:p>
    <w:p w14:paraId="05AD820D" w14:textId="77777777" w:rsidR="00182546" w:rsidRPr="00E252FB" w:rsidRDefault="00182546" w:rsidP="00182546">
      <w:pPr>
        <w:pStyle w:val="Bibliography"/>
      </w:pPr>
      <w:r w:rsidRPr="00E252FB">
        <w:t xml:space="preserve">Horrigue, W., Dequiedt, S., Chemidlin Prévost-Bouré, N., Jolivet, C., Saby, N. P. A., Arrouays, D., Bispo, A., Maron, P.-A., &amp; Ranjard, L. (2016). Predictive model of soil molecular microbial biomass. </w:t>
      </w:r>
      <w:r w:rsidRPr="00E252FB">
        <w:rPr>
          <w:i/>
          <w:iCs/>
        </w:rPr>
        <w:t>Ecological Indicators</w:t>
      </w:r>
      <w:r w:rsidRPr="00E252FB">
        <w:t xml:space="preserve">, </w:t>
      </w:r>
      <w:r w:rsidRPr="00E252FB">
        <w:rPr>
          <w:i/>
          <w:iCs/>
        </w:rPr>
        <w:t>64</w:t>
      </w:r>
      <w:r w:rsidRPr="00E252FB">
        <w:t>, 203‑211. https://doi.org/10.1016/j.ecolind.2015.12.004</w:t>
      </w:r>
    </w:p>
    <w:p w14:paraId="6C62E7FD" w14:textId="77777777" w:rsidR="00182546" w:rsidRPr="00E252FB" w:rsidRDefault="00182546" w:rsidP="00182546">
      <w:pPr>
        <w:pStyle w:val="Bibliography"/>
      </w:pPr>
      <w:r w:rsidRPr="00E252FB">
        <w:t xml:space="preserve">Kalinowski, T., Falbel, D., Allaire, J. J., Chollet, F., RStudio, Google, Tang  [ctb, Y., cph, Bijl, W. V. D., Studer, M., &amp; Keydana, S. (2024). </w:t>
      </w:r>
      <w:r w:rsidRPr="00E252FB">
        <w:rPr>
          <w:i/>
          <w:iCs/>
        </w:rPr>
        <w:t>keras : R Interface to « Keras »</w:t>
      </w:r>
      <w:r w:rsidRPr="00E252FB">
        <w:t xml:space="preserve"> (2.15.0) [Logiciel]. https://cran.r-project.org/web/packages/keras/index.html</w:t>
      </w:r>
    </w:p>
    <w:p w14:paraId="296AC8C0" w14:textId="77777777" w:rsidR="00182546" w:rsidRPr="00E252FB" w:rsidRDefault="00182546" w:rsidP="00182546">
      <w:pPr>
        <w:pStyle w:val="Bibliography"/>
      </w:pPr>
      <w:r w:rsidRPr="00E252FB">
        <w:t xml:space="preserve">Karger, D. N., Conrad, O., Böhner, J., Kawohl, T., Kreft, H., Soria-Auza, R. W., Zimmermann, N. E., Linder, H. P., &amp; Kessler, M. (2017). Climatologies at high resolution for the earth’s land surface areas. </w:t>
      </w:r>
      <w:r w:rsidRPr="00E252FB">
        <w:rPr>
          <w:i/>
          <w:iCs/>
        </w:rPr>
        <w:t>Scientific Data</w:t>
      </w:r>
      <w:r w:rsidRPr="00E252FB">
        <w:t xml:space="preserve">, </w:t>
      </w:r>
      <w:r w:rsidRPr="00E252FB">
        <w:rPr>
          <w:i/>
          <w:iCs/>
        </w:rPr>
        <w:t>4</w:t>
      </w:r>
      <w:r w:rsidRPr="00E252FB">
        <w:t>(1), 170122. https://doi.org/10.1038/sdata.2017.122</w:t>
      </w:r>
    </w:p>
    <w:p w14:paraId="00A440B3" w14:textId="77777777" w:rsidR="00182546" w:rsidRPr="00E252FB" w:rsidRDefault="00182546" w:rsidP="00182546">
      <w:pPr>
        <w:pStyle w:val="Bibliography"/>
      </w:pPr>
      <w:r w:rsidRPr="00E252FB">
        <w:t xml:space="preserve">Lavelle, P., Bignell, D., Lepage, M., Wolters, V., Roger, P., Ineson, P., Heal, O. W., &amp; Dhillion, S. (1997). Soil function in a changing world : The role of invertebrate ecosystem engineers. </w:t>
      </w:r>
      <w:r w:rsidRPr="00E252FB">
        <w:rPr>
          <w:i/>
          <w:iCs/>
        </w:rPr>
        <w:t>European Journal of Soil Biology</w:t>
      </w:r>
      <w:r w:rsidRPr="00E252FB">
        <w:t>. https://www.semanticscholar.org/paper/Soil-function-in-a-changing-world%3A-the-role-of-Lavelle-Bignell/363b3c76b7cef2aa2637d1b3a33034ffa41b1dce</w:t>
      </w:r>
    </w:p>
    <w:p w14:paraId="3852C96D" w14:textId="77777777" w:rsidR="00182546" w:rsidRPr="00E252FB" w:rsidRDefault="00182546" w:rsidP="00182546">
      <w:pPr>
        <w:pStyle w:val="Bibliography"/>
      </w:pPr>
      <w:r w:rsidRPr="00E252FB">
        <w:t xml:space="preserve">Leroy, B. L. M., Schmidt, O., Van den Bossche, A., Reheul, D., &amp; Moens, M. (2008). Earthworm population dynamics as influenced by the quality of exogenous organic matter. </w:t>
      </w:r>
      <w:r w:rsidRPr="00E252FB">
        <w:rPr>
          <w:i/>
          <w:iCs/>
        </w:rPr>
        <w:t>Pedobiologia</w:t>
      </w:r>
      <w:r w:rsidRPr="00E252FB">
        <w:t xml:space="preserve">, </w:t>
      </w:r>
      <w:r w:rsidRPr="00E252FB">
        <w:rPr>
          <w:i/>
          <w:iCs/>
        </w:rPr>
        <w:t>52</w:t>
      </w:r>
      <w:r w:rsidRPr="00E252FB">
        <w:t>(2), 139‑150. https://doi.org/10.1016/j.pedobi.2008.07.001</w:t>
      </w:r>
    </w:p>
    <w:p w14:paraId="5B062F7E" w14:textId="77777777" w:rsidR="00182546" w:rsidRPr="00E252FB" w:rsidRDefault="00182546" w:rsidP="00182546">
      <w:pPr>
        <w:pStyle w:val="Bibliography"/>
      </w:pPr>
      <w:r w:rsidRPr="00E252FB">
        <w:t xml:space="preserve">Li, X., &amp; Wang, Y. (2013). Applying various algorithms for species distribution modelling. </w:t>
      </w:r>
      <w:r w:rsidRPr="00E252FB">
        <w:rPr>
          <w:i/>
          <w:iCs/>
        </w:rPr>
        <w:t>Integrative Zoology</w:t>
      </w:r>
      <w:r w:rsidRPr="00E252FB">
        <w:t xml:space="preserve">, </w:t>
      </w:r>
      <w:r w:rsidRPr="00E252FB">
        <w:rPr>
          <w:i/>
          <w:iCs/>
        </w:rPr>
        <w:t>8</w:t>
      </w:r>
      <w:r w:rsidRPr="00E252FB">
        <w:t>(2), 124‑135. https://doi.org/10.1111/1749-4877.12000</w:t>
      </w:r>
    </w:p>
    <w:p w14:paraId="1758D25D" w14:textId="77777777" w:rsidR="00182546" w:rsidRPr="00E252FB" w:rsidRDefault="00182546" w:rsidP="00182546">
      <w:pPr>
        <w:pStyle w:val="Bibliography"/>
      </w:pPr>
      <w:r w:rsidRPr="00E252FB">
        <w:t xml:space="preserve">Maggi, F., &amp; Tang, F. H. M. (2021). Estimated decline in global earthworm population size caused by pesticide residue in soil. </w:t>
      </w:r>
      <w:r w:rsidRPr="00E252FB">
        <w:rPr>
          <w:i/>
          <w:iCs/>
        </w:rPr>
        <w:t>Soil Security</w:t>
      </w:r>
      <w:r w:rsidRPr="00E252FB">
        <w:t xml:space="preserve">, </w:t>
      </w:r>
      <w:r w:rsidRPr="00E252FB">
        <w:rPr>
          <w:i/>
          <w:iCs/>
        </w:rPr>
        <w:t>5</w:t>
      </w:r>
      <w:r w:rsidRPr="00E252FB">
        <w:t>, 100014. https://doi.org/10.1016/j.soisec.2021.100014</w:t>
      </w:r>
    </w:p>
    <w:p w14:paraId="458AE83E" w14:textId="77777777" w:rsidR="00182546" w:rsidRPr="00E252FB" w:rsidRDefault="00182546" w:rsidP="00182546">
      <w:pPr>
        <w:pStyle w:val="Bibliography"/>
      </w:pPr>
      <w:r w:rsidRPr="00E252FB">
        <w:lastRenderedPageBreak/>
        <w:t xml:space="preserve">Marchán, D. F., Csuzdi, C., Decaëns, T., Szederjesi, T., Pizl, V., &amp; Domínguez, J. (2021). The disjunct distribution of relict earthworm genera clarifies the early historical biogeography of the Lumbricidae (Crassiclitellata, Annelida). </w:t>
      </w:r>
      <w:r w:rsidRPr="00E252FB">
        <w:rPr>
          <w:i/>
          <w:iCs/>
        </w:rPr>
        <w:t>Journal of Zoological Systematics and Evolutionary Research</w:t>
      </w:r>
      <w:r w:rsidRPr="00E252FB">
        <w:t xml:space="preserve">, </w:t>
      </w:r>
      <w:r w:rsidRPr="00E252FB">
        <w:rPr>
          <w:i/>
          <w:iCs/>
        </w:rPr>
        <w:t>59</w:t>
      </w:r>
      <w:r w:rsidRPr="00E252FB">
        <w:t>(8), 1703‑1717. https://doi.org/10.1111/jzs.12514</w:t>
      </w:r>
    </w:p>
    <w:p w14:paraId="7CFC5DAC" w14:textId="77777777" w:rsidR="00182546" w:rsidRPr="00E252FB" w:rsidRDefault="00182546" w:rsidP="00182546">
      <w:pPr>
        <w:pStyle w:val="Bibliography"/>
      </w:pPr>
      <w:r w:rsidRPr="00E252FB">
        <w:t xml:space="preserve">Marchán, D. F., &amp; Domínguez, J. (2022). Evaluating the Conservation Status of a North-Western Iberian Earthworm (Compostelandrilus cyaneus) with Insight into Its Genetic Diversity and Ecological Preferences. </w:t>
      </w:r>
      <w:r w:rsidRPr="00E252FB">
        <w:rPr>
          <w:i/>
          <w:iCs/>
        </w:rPr>
        <w:t>Genes</w:t>
      </w:r>
      <w:r w:rsidRPr="00E252FB">
        <w:t xml:space="preserve">, </w:t>
      </w:r>
      <w:r w:rsidRPr="00E252FB">
        <w:rPr>
          <w:i/>
          <w:iCs/>
        </w:rPr>
        <w:t>13</w:t>
      </w:r>
      <w:r w:rsidRPr="00E252FB">
        <w:t>(2), Article 2. https://doi.org/10.3390/genes13020337</w:t>
      </w:r>
    </w:p>
    <w:p w14:paraId="78A296CD" w14:textId="77777777" w:rsidR="00182546" w:rsidRPr="00E252FB" w:rsidRDefault="00182546" w:rsidP="00182546">
      <w:pPr>
        <w:pStyle w:val="Bibliography"/>
      </w:pPr>
      <w:r w:rsidRPr="00E252FB">
        <w:t xml:space="preserve">Marchán, D. F., Refoyo, P., Fernández, R., Novo, M., de Sosa, I., &amp; Díaz Cosín, D. J. (2016). Macroecological inferences on soil fauna through comparative niche modeling : The case of Hormogastridae (Annelida, Oligochaeta). </w:t>
      </w:r>
      <w:r w:rsidRPr="00E252FB">
        <w:rPr>
          <w:i/>
          <w:iCs/>
        </w:rPr>
        <w:t>European Journal of Soil Biology</w:t>
      </w:r>
      <w:r w:rsidRPr="00E252FB">
        <w:t xml:space="preserve">, </w:t>
      </w:r>
      <w:r w:rsidRPr="00E252FB">
        <w:rPr>
          <w:i/>
          <w:iCs/>
        </w:rPr>
        <w:t>75</w:t>
      </w:r>
      <w:r w:rsidRPr="00E252FB">
        <w:t>, 115‑122. https://doi.org/10.1016/j.ejsobi.2016.05.003</w:t>
      </w:r>
    </w:p>
    <w:p w14:paraId="1080387A" w14:textId="77777777" w:rsidR="00182546" w:rsidRPr="00E252FB" w:rsidRDefault="00182546" w:rsidP="00182546">
      <w:pPr>
        <w:pStyle w:val="Bibliography"/>
      </w:pPr>
      <w:r w:rsidRPr="00E252FB">
        <w:t xml:space="preserve">Marchán, D. F., Refoyo, P., Novo, M., Fernández, R., Trigo, D., &amp; Díaz Cosín, D. J. (2015). Predicting soil micro-variables and the distribution of an endogeic earthworm species through a model based on large-scale variables. </w:t>
      </w:r>
      <w:r w:rsidRPr="00E252FB">
        <w:rPr>
          <w:i/>
          <w:iCs/>
        </w:rPr>
        <w:t>Soil Biology and Biochemistry</w:t>
      </w:r>
      <w:r w:rsidRPr="00E252FB">
        <w:t xml:space="preserve">, </w:t>
      </w:r>
      <w:r w:rsidRPr="00E252FB">
        <w:rPr>
          <w:i/>
          <w:iCs/>
        </w:rPr>
        <w:t>81</w:t>
      </w:r>
      <w:r w:rsidRPr="00E252FB">
        <w:t>, 124‑127. https://doi.org/10.1016/j.soilbio.2014.10.023</w:t>
      </w:r>
    </w:p>
    <w:p w14:paraId="2203597E" w14:textId="77777777" w:rsidR="00182546" w:rsidRPr="00E252FB" w:rsidRDefault="00182546" w:rsidP="00182546">
      <w:pPr>
        <w:pStyle w:val="Bibliography"/>
      </w:pPr>
      <w:r w:rsidRPr="00E252FB">
        <w:t xml:space="preserve">Mi, C., Huettmann, F., Guo, Y., Han, X., &amp; Wen, L. (2017). Why choose Random Forest to predict rare species distribution with few samples in large undersampled areas? Three Asian crane species models provide supporting evidence. </w:t>
      </w:r>
      <w:r w:rsidRPr="00E252FB">
        <w:rPr>
          <w:i/>
          <w:iCs/>
        </w:rPr>
        <w:t>PeerJ</w:t>
      </w:r>
      <w:r w:rsidRPr="00E252FB">
        <w:t xml:space="preserve">, </w:t>
      </w:r>
      <w:r w:rsidRPr="00E252FB">
        <w:rPr>
          <w:i/>
          <w:iCs/>
        </w:rPr>
        <w:t>5</w:t>
      </w:r>
      <w:r w:rsidRPr="00E252FB">
        <w:t>, e2849. https://doi.org/10.7717/peerj.2849</w:t>
      </w:r>
    </w:p>
    <w:p w14:paraId="758D00F3" w14:textId="77777777" w:rsidR="00182546" w:rsidRPr="00E252FB" w:rsidRDefault="00182546" w:rsidP="00182546">
      <w:pPr>
        <w:pStyle w:val="Bibliography"/>
      </w:pPr>
      <w:r w:rsidRPr="00E252FB">
        <w:t xml:space="preserve">Niswati, A., Liyana, Prasetyo, D., &amp; Lumbanraja, J. (2022). Abundance and biomass of earthworm as affected by long-term different types of soil tillage and fertilization on mung bean plantation at Ultisols. </w:t>
      </w:r>
      <w:r w:rsidRPr="00E252FB">
        <w:rPr>
          <w:i/>
          <w:iCs/>
        </w:rPr>
        <w:t>IOP Conference Series: Earth and Environmental Science</w:t>
      </w:r>
      <w:r w:rsidRPr="00E252FB">
        <w:t xml:space="preserve">, </w:t>
      </w:r>
      <w:r w:rsidRPr="00E252FB">
        <w:rPr>
          <w:i/>
          <w:iCs/>
        </w:rPr>
        <w:t>1018</w:t>
      </w:r>
      <w:r w:rsidRPr="00E252FB">
        <w:t>(1), 012012. https://doi.org/10.1088/1755-1315/1018/1/012012</w:t>
      </w:r>
    </w:p>
    <w:p w14:paraId="3D6A63BD" w14:textId="77777777" w:rsidR="00182546" w:rsidRPr="00E252FB" w:rsidRDefault="00182546" w:rsidP="00182546">
      <w:pPr>
        <w:pStyle w:val="Bibliography"/>
      </w:pPr>
      <w:r w:rsidRPr="00E252FB">
        <w:lastRenderedPageBreak/>
        <w:t xml:space="preserve">Palm, J., van Schaik, N. L. M. B., &amp; Schröder, B. (2013). Modelling distribution patterns of anecic, epigeic and endogeic earthworms at catchment-scale in agro-ecosystems. </w:t>
      </w:r>
      <w:r w:rsidRPr="00E252FB">
        <w:rPr>
          <w:i/>
          <w:iCs/>
        </w:rPr>
        <w:t>Pedobiologia</w:t>
      </w:r>
      <w:r w:rsidRPr="00E252FB">
        <w:t xml:space="preserve">, </w:t>
      </w:r>
      <w:r w:rsidRPr="00E252FB">
        <w:rPr>
          <w:i/>
          <w:iCs/>
        </w:rPr>
        <w:t>56</w:t>
      </w:r>
      <w:r w:rsidRPr="00E252FB">
        <w:t>(1), 23‑31. https://doi.org/10.1016/j.pedobi.2012.08.007</w:t>
      </w:r>
    </w:p>
    <w:p w14:paraId="35810E12" w14:textId="77777777" w:rsidR="00182546" w:rsidRPr="00E252FB" w:rsidRDefault="00182546" w:rsidP="00182546">
      <w:pPr>
        <w:pStyle w:val="Bibliography"/>
      </w:pPr>
      <w:r w:rsidRPr="00E252FB">
        <w:t xml:space="preserve">Pebesma, E., &amp; Graeler, B. (2023). </w:t>
      </w:r>
      <w:r w:rsidRPr="00E252FB">
        <w:rPr>
          <w:i/>
          <w:iCs/>
        </w:rPr>
        <w:t>gstat : Spatial and Spatio-Temporal Geostatistical Modelling, Prediction and Simulation</w:t>
      </w:r>
      <w:r w:rsidRPr="00E252FB">
        <w:t xml:space="preserve"> (2.1-1) [Logiciel]. https://cran.r-project.org/web/packages/gstat/</w:t>
      </w:r>
    </w:p>
    <w:p w14:paraId="33059C29" w14:textId="77777777" w:rsidR="00182546" w:rsidRPr="00E252FB" w:rsidRDefault="00182546" w:rsidP="00182546">
      <w:pPr>
        <w:pStyle w:val="Bibliography"/>
      </w:pPr>
      <w:r w:rsidRPr="00E252FB">
        <w:t xml:space="preserve">Pelosi, C., Barot, S., Capowiez, Y., Hedde, M., &amp; Vandenbulcke, F. (2014). Pesticides and earthworms. A review. </w:t>
      </w:r>
      <w:r w:rsidRPr="00E252FB">
        <w:rPr>
          <w:i/>
          <w:iCs/>
        </w:rPr>
        <w:t>Agronomy for Sustainable Development</w:t>
      </w:r>
      <w:r w:rsidRPr="00E252FB">
        <w:t xml:space="preserve">, </w:t>
      </w:r>
      <w:r w:rsidRPr="00E252FB">
        <w:rPr>
          <w:i/>
          <w:iCs/>
        </w:rPr>
        <w:t>34</w:t>
      </w:r>
      <w:r w:rsidRPr="00E252FB">
        <w:t>(1), 199‑228. https://doi.org/10.1007/s13593-013-0151-z</w:t>
      </w:r>
    </w:p>
    <w:p w14:paraId="79449FA4" w14:textId="77777777" w:rsidR="00182546" w:rsidRPr="00E252FB" w:rsidRDefault="00182546" w:rsidP="00182546">
      <w:pPr>
        <w:pStyle w:val="Bibliography"/>
      </w:pPr>
      <w:r w:rsidRPr="00E252FB">
        <w:t xml:space="preserve">Pelosi, C., Pey, B., Hedde, M., Caro, G., Capowiez, Y., Guernion, M., Peigné, J., Piron, D., Bertrand, M., &amp; Cluzeau, D. (2014). Reducing tillage in cultivated fields increases earthworm functional diversity. </w:t>
      </w:r>
      <w:r w:rsidRPr="00E252FB">
        <w:rPr>
          <w:i/>
          <w:iCs/>
        </w:rPr>
        <w:t>Applied Soil Ecology</w:t>
      </w:r>
      <w:r w:rsidRPr="00E252FB">
        <w:t xml:space="preserve">, </w:t>
      </w:r>
      <w:r w:rsidRPr="00E252FB">
        <w:rPr>
          <w:i/>
          <w:iCs/>
        </w:rPr>
        <w:t>83</w:t>
      </w:r>
      <w:r w:rsidRPr="00E252FB">
        <w:t>, 79‑87. https://doi.org/10.1016/j.apsoil.2013.10.005</w:t>
      </w:r>
    </w:p>
    <w:p w14:paraId="58AD531C" w14:textId="77777777" w:rsidR="00182546" w:rsidRPr="00E252FB" w:rsidRDefault="00182546" w:rsidP="00182546">
      <w:pPr>
        <w:pStyle w:val="Bibliography"/>
      </w:pPr>
      <w:r w:rsidRPr="00E252FB">
        <w:t xml:space="preserve">Phillips, H. R. P., Guerra, C. A., Bartz, M. L. C., Briones, M. J. I., Brown, G., Crowther, T. W., Ferlian, O., Gongalsky, K. B., van den Hoogen, J., Krebs, J., Orgiazzi, A., Routh, D., Schwarz, B., Bach, E. M., Bennett, J. M., Brose, U., Decaëns, T., König-Ries, B., Loreau, M., … Eisenhauer, N. (2019). Global distribution of earthworm diversity. </w:t>
      </w:r>
      <w:r w:rsidRPr="00E252FB">
        <w:rPr>
          <w:i/>
          <w:iCs/>
        </w:rPr>
        <w:t>Science</w:t>
      </w:r>
      <w:r w:rsidRPr="00E252FB">
        <w:t xml:space="preserve">, </w:t>
      </w:r>
      <w:r w:rsidRPr="00E252FB">
        <w:rPr>
          <w:i/>
          <w:iCs/>
        </w:rPr>
        <w:t>366</w:t>
      </w:r>
      <w:r w:rsidRPr="00E252FB">
        <w:t>(6464), 480‑485. https://doi.org/10.1126/science.aax4851</w:t>
      </w:r>
    </w:p>
    <w:p w14:paraId="0C5A2ED2" w14:textId="77777777" w:rsidR="00182546" w:rsidRPr="00E252FB" w:rsidRDefault="00182546" w:rsidP="00182546">
      <w:pPr>
        <w:pStyle w:val="Bibliography"/>
      </w:pPr>
      <w:r w:rsidRPr="00E252FB">
        <w:t xml:space="preserve">R Core Team. (2023). </w:t>
      </w:r>
      <w:r w:rsidRPr="00E252FB">
        <w:rPr>
          <w:i/>
          <w:iCs/>
        </w:rPr>
        <w:t>A language and environment for statistical computing</w:t>
      </w:r>
      <w:r w:rsidRPr="00E252FB">
        <w:t xml:space="preserve"> (R.4.3.0) [Logiciel]. R Foundation for Statistical Computing. URL https://www.R-project.org/.</w:t>
      </w:r>
    </w:p>
    <w:p w14:paraId="7AC2D300" w14:textId="77777777" w:rsidR="00182546" w:rsidRPr="00E252FB" w:rsidRDefault="00182546" w:rsidP="00182546">
      <w:pPr>
        <w:pStyle w:val="Bibliography"/>
      </w:pPr>
      <w:r w:rsidRPr="00E252FB">
        <w:t xml:space="preserve">Roman Dobarco, M., Bourennane, H., Arrouays, D., Saby, N., Cousin, I., &amp; Manuel, M. P. (2022). </w:t>
      </w:r>
      <w:r w:rsidRPr="00E252FB">
        <w:rPr>
          <w:i/>
          <w:iCs/>
        </w:rPr>
        <w:t>Propriétés de granulométrie (argile, limons, sables) et d’éléments grossiers pour la France métropolitaine au pas de 90 m</w:t>
      </w:r>
      <w:r w:rsidRPr="00E252FB">
        <w:t xml:space="preserve"> [jeu de données]. Portail Data INRAE. https://doi.org/10.57745/N4E4NE</w:t>
      </w:r>
    </w:p>
    <w:p w14:paraId="1F25A75B" w14:textId="77777777" w:rsidR="00182546" w:rsidRPr="00E252FB" w:rsidRDefault="00182546" w:rsidP="00182546">
      <w:pPr>
        <w:pStyle w:val="Bibliography"/>
      </w:pPr>
      <w:r w:rsidRPr="00E252FB">
        <w:lastRenderedPageBreak/>
        <w:t xml:space="preserve">Rutgers, M., Orgiazzi, A., Gardi, C., Römbke, J., Jänsch, S., Keith, A. M., Neilson, R., Boag, B., Schmidt, O., Murchie, A. K., Blackshaw, R. P., Pérès, G., Cluzeau, D., Guernion, M., Briones, M. J. I., Rodeiro, J., Piñeiro, R., Cosín, D. J. D., Sousa, J. P., … Zwart, D. de. (2016). Mapping earthworm communities in Europe. </w:t>
      </w:r>
      <w:r w:rsidRPr="00E252FB">
        <w:rPr>
          <w:i/>
          <w:iCs/>
        </w:rPr>
        <w:t>Applied Soil Ecology</w:t>
      </w:r>
      <w:r w:rsidRPr="00E252FB">
        <w:t xml:space="preserve">, </w:t>
      </w:r>
      <w:r w:rsidRPr="00E252FB">
        <w:rPr>
          <w:i/>
          <w:iCs/>
        </w:rPr>
        <w:t>97</w:t>
      </w:r>
      <w:r w:rsidRPr="00E252FB">
        <w:t>, 98‑111. https://doi.org/10.1016/j.apsoil.2015.08.015</w:t>
      </w:r>
    </w:p>
    <w:p w14:paraId="02920762" w14:textId="77777777" w:rsidR="00182546" w:rsidRPr="00E252FB" w:rsidRDefault="00182546" w:rsidP="00182546">
      <w:pPr>
        <w:pStyle w:val="Bibliography"/>
      </w:pPr>
      <w:r w:rsidRPr="00E252FB">
        <w:t xml:space="preserve">Salako, G., Russell, D. J., Stucke, A., &amp; Eberhardt, E. (2023). Assessment of multiple model algorithms to predict earthworm geographic distribution  range and biodiversity in Germany : Implications for soil-monitoring and species-conservation needs. </w:t>
      </w:r>
      <w:r w:rsidRPr="00E252FB">
        <w:rPr>
          <w:i/>
          <w:iCs/>
        </w:rPr>
        <w:t>Biodiversity and Conservation</w:t>
      </w:r>
      <w:r w:rsidRPr="00E252FB">
        <w:t xml:space="preserve">, </w:t>
      </w:r>
      <w:r w:rsidRPr="00E252FB">
        <w:rPr>
          <w:i/>
          <w:iCs/>
        </w:rPr>
        <w:t>32</w:t>
      </w:r>
      <w:r w:rsidRPr="00E252FB">
        <w:t>(7), 2365‑2394. https://doi.org/10.1007/s10531-023-02608-9</w:t>
      </w:r>
    </w:p>
    <w:p w14:paraId="3731EC5B" w14:textId="77777777" w:rsidR="00182546" w:rsidRPr="00E252FB" w:rsidRDefault="00182546" w:rsidP="00182546">
      <w:pPr>
        <w:pStyle w:val="Bibliography"/>
      </w:pPr>
      <w:r w:rsidRPr="00E252FB">
        <w:t xml:space="preserve">Sharma, D. K., Tomar, S., &amp; Chakraborty, D. (2017). Role of earthworm in improving soil structure and functioning. </w:t>
      </w:r>
      <w:r w:rsidRPr="00E252FB">
        <w:rPr>
          <w:i/>
          <w:iCs/>
        </w:rPr>
        <w:t>Current Science</w:t>
      </w:r>
      <w:r w:rsidRPr="00E252FB">
        <w:t xml:space="preserve">, </w:t>
      </w:r>
      <w:r w:rsidRPr="00E252FB">
        <w:rPr>
          <w:i/>
          <w:iCs/>
        </w:rPr>
        <w:t>113</w:t>
      </w:r>
      <w:r w:rsidRPr="00E252FB">
        <w:t>(6), 1064‑1071.</w:t>
      </w:r>
    </w:p>
    <w:p w14:paraId="114529EB" w14:textId="77777777" w:rsidR="00182546" w:rsidRPr="00E252FB" w:rsidRDefault="00182546" w:rsidP="00182546">
      <w:pPr>
        <w:pStyle w:val="Bibliography"/>
      </w:pPr>
      <w:r w:rsidRPr="00E252FB">
        <w:t xml:space="preserve">Smith, R. G., McSwiney, C. P., Grandy, A. S., Suwanwaree, P., Snider, R. M., &amp; Robertson, G. P. (2008). Diversity and abundance of earthworms across an agricultural land-use intensity gradient. </w:t>
      </w:r>
      <w:r w:rsidRPr="00E252FB">
        <w:rPr>
          <w:i/>
          <w:iCs/>
        </w:rPr>
        <w:t>Soil and Tillage Research</w:t>
      </w:r>
      <w:r w:rsidRPr="00E252FB">
        <w:t xml:space="preserve">, </w:t>
      </w:r>
      <w:r w:rsidRPr="00E252FB">
        <w:rPr>
          <w:i/>
          <w:iCs/>
        </w:rPr>
        <w:t>100</w:t>
      </w:r>
      <w:r w:rsidRPr="00E252FB">
        <w:t>(1), 83‑88. https://doi.org/10.1016/j.still.2008.04.009</w:t>
      </w:r>
    </w:p>
    <w:p w14:paraId="2565D219" w14:textId="77777777" w:rsidR="00182546" w:rsidRPr="00E252FB" w:rsidRDefault="00182546" w:rsidP="00182546">
      <w:pPr>
        <w:pStyle w:val="Bibliography"/>
      </w:pPr>
      <w:r w:rsidRPr="00E252FB">
        <w:t xml:space="preserve">Spurgeon, D. J., Keith, A. M., Schmidt, O., Lammertsma, D. R., &amp; Faber, J. H. (2013). Land-use and land-management change : Relationships with earthworm and fungi communities and soil structural properties. </w:t>
      </w:r>
      <w:r w:rsidRPr="00E252FB">
        <w:rPr>
          <w:i/>
          <w:iCs/>
        </w:rPr>
        <w:t>BMC Ecology</w:t>
      </w:r>
      <w:r w:rsidRPr="00E252FB">
        <w:t xml:space="preserve">, </w:t>
      </w:r>
      <w:r w:rsidRPr="00E252FB">
        <w:rPr>
          <w:i/>
          <w:iCs/>
        </w:rPr>
        <w:t>13</w:t>
      </w:r>
      <w:r w:rsidRPr="00E252FB">
        <w:t>(1), 46. https://doi.org/10.1186/1472-6785-13-46</w:t>
      </w:r>
    </w:p>
    <w:p w14:paraId="4E39C5A0" w14:textId="77777777" w:rsidR="00182546" w:rsidRPr="00E252FB" w:rsidRDefault="00182546" w:rsidP="00182546">
      <w:pPr>
        <w:pStyle w:val="Bibliography"/>
      </w:pPr>
      <w:r w:rsidRPr="00E252FB">
        <w:t xml:space="preserve">Turbé, A., Toni, A., Benito, P., Lavelle, P., Lavelle, P., Camacho, N., Putten, W., Labouze, E., &amp; Mudgal, S. (2010). Soil biodiversity : Functions, threats and tools for policy makers. </w:t>
      </w:r>
      <w:r w:rsidRPr="00E252FB">
        <w:rPr>
          <w:i/>
          <w:iCs/>
        </w:rPr>
        <w:t>Report for European Commission</w:t>
      </w:r>
      <w:r w:rsidRPr="00E252FB">
        <w:t>.</w:t>
      </w:r>
    </w:p>
    <w:p w14:paraId="195F5BFA" w14:textId="77777777" w:rsidR="00182546" w:rsidRPr="00E252FB" w:rsidRDefault="00182546" w:rsidP="00182546">
      <w:pPr>
        <w:pStyle w:val="Bibliography"/>
      </w:pPr>
      <w:r w:rsidRPr="00E252FB">
        <w:lastRenderedPageBreak/>
        <w:t xml:space="preserve">Valavi, R., Elith, J., Lahoz-Monfort, J. J., &amp; Guillera-Arroita, G. (2021). Modelling species presence-only data with random forests. </w:t>
      </w:r>
      <w:r w:rsidRPr="00E252FB">
        <w:rPr>
          <w:i/>
          <w:iCs/>
        </w:rPr>
        <w:t>Ecography</w:t>
      </w:r>
      <w:r w:rsidRPr="00E252FB">
        <w:t xml:space="preserve">, </w:t>
      </w:r>
      <w:r w:rsidRPr="00E252FB">
        <w:rPr>
          <w:i/>
          <w:iCs/>
        </w:rPr>
        <w:t>44</w:t>
      </w:r>
      <w:r w:rsidRPr="00E252FB">
        <w:t>(12), 1731‑1742. https://doi.org/10.1111/ecog.05615</w:t>
      </w:r>
    </w:p>
    <w:p w14:paraId="7A5838EB" w14:textId="77777777" w:rsidR="00182546" w:rsidRPr="00E252FB" w:rsidRDefault="00182546" w:rsidP="00182546">
      <w:pPr>
        <w:pStyle w:val="Bibliography"/>
      </w:pPr>
      <w:r w:rsidRPr="00E252FB">
        <w:t xml:space="preserve">Van Groenigen, J. W., Lubbers, I. M., Vos, H. M. J., Brown, G. G., De Deyn, G. B., &amp; van Groenigen, K. J. (2014). Earthworms increase plant production : A meta-analysis. </w:t>
      </w:r>
      <w:r w:rsidRPr="00E252FB">
        <w:rPr>
          <w:i/>
          <w:iCs/>
        </w:rPr>
        <w:t>Scientific Reports</w:t>
      </w:r>
      <w:r w:rsidRPr="00E252FB">
        <w:t xml:space="preserve">, </w:t>
      </w:r>
      <w:r w:rsidRPr="00E252FB">
        <w:rPr>
          <w:i/>
          <w:iCs/>
        </w:rPr>
        <w:t>4</w:t>
      </w:r>
      <w:r w:rsidRPr="00E252FB">
        <w:t>(1), Article 1. https://doi.org/10.1038/srep06365</w:t>
      </w:r>
    </w:p>
    <w:p w14:paraId="258C8AEE" w14:textId="77777777" w:rsidR="00182546" w:rsidRPr="00E252FB" w:rsidRDefault="00182546" w:rsidP="00182546">
      <w:pPr>
        <w:pStyle w:val="Bibliography"/>
      </w:pPr>
      <w:r w:rsidRPr="00E252FB">
        <w:t xml:space="preserve">Van Groenigen, J. W., Van Groenigen, K. J., Koopmans, G. F., Stokkermans, L., Vos, H. M. J., &amp; Lubbers, I. M. (2019). How fertile are earthworm casts? A meta-analysis. </w:t>
      </w:r>
      <w:r w:rsidRPr="00E252FB">
        <w:rPr>
          <w:i/>
          <w:iCs/>
        </w:rPr>
        <w:t>Geoderma</w:t>
      </w:r>
      <w:r w:rsidRPr="00E252FB">
        <w:t xml:space="preserve">, </w:t>
      </w:r>
      <w:r w:rsidRPr="00E252FB">
        <w:rPr>
          <w:i/>
          <w:iCs/>
        </w:rPr>
        <w:t>338</w:t>
      </w:r>
      <w:r w:rsidRPr="00E252FB">
        <w:t>, 525‑535. https://doi.org/10.1016/j.geoderma.2018.11.001</w:t>
      </w:r>
    </w:p>
    <w:p w14:paraId="1BBA942B" w14:textId="77777777" w:rsidR="00182546" w:rsidRPr="00E252FB" w:rsidRDefault="00182546" w:rsidP="00182546">
      <w:pPr>
        <w:pStyle w:val="Bibliography"/>
      </w:pPr>
      <w:r w:rsidRPr="00E252FB">
        <w:t xml:space="preserve">Vaughan, I. P., &amp; Ormerod, S. J. (2005). The continuing challenges of testing species distribution models. </w:t>
      </w:r>
      <w:r w:rsidRPr="00E252FB">
        <w:rPr>
          <w:i/>
          <w:iCs/>
        </w:rPr>
        <w:t>Journal of Applied Ecology</w:t>
      </w:r>
      <w:r w:rsidRPr="00E252FB">
        <w:t xml:space="preserve">, </w:t>
      </w:r>
      <w:r w:rsidRPr="00E252FB">
        <w:rPr>
          <w:i/>
          <w:iCs/>
        </w:rPr>
        <w:t>42</w:t>
      </w:r>
      <w:r w:rsidRPr="00E252FB">
        <w:t>(4), 720‑730. https://doi.org/10.1111/j.1365-2664.2005.01052.x</w:t>
      </w:r>
    </w:p>
    <w:p w14:paraId="5FD308F1" w14:textId="77777777" w:rsidR="00182546" w:rsidRPr="00E252FB" w:rsidRDefault="00182546" w:rsidP="00182546">
      <w:pPr>
        <w:pStyle w:val="Bibliography"/>
      </w:pPr>
      <w:r w:rsidRPr="00E252FB">
        <w:t xml:space="preserve">Wood, S. (2023). </w:t>
      </w:r>
      <w:r w:rsidRPr="00E252FB">
        <w:rPr>
          <w:i/>
          <w:iCs/>
        </w:rPr>
        <w:t>mgcv : Mixed GAM Computation Vehicle with Automatic Smoothness Estimation</w:t>
      </w:r>
      <w:r w:rsidRPr="00E252FB">
        <w:t xml:space="preserve"> (1.9-1) [Logiciel]. https://cran.r-project.org/web/packages/mgcv/index.html</w:t>
      </w:r>
    </w:p>
    <w:p w14:paraId="3E0ADECA" w14:textId="77777777" w:rsidR="00182546" w:rsidRPr="00E252FB" w:rsidRDefault="00182546" w:rsidP="00182546">
      <w:pPr>
        <w:pStyle w:val="Bibliography"/>
      </w:pPr>
      <w:r w:rsidRPr="00E252FB">
        <w:t xml:space="preserve">Yiu, T. (2021, septembre 29). </w:t>
      </w:r>
      <w:r w:rsidRPr="00E252FB">
        <w:rPr>
          <w:i/>
          <w:iCs/>
        </w:rPr>
        <w:t>Understanding Random Forest</w:t>
      </w:r>
      <w:r w:rsidRPr="00E252FB">
        <w:t>. Medium. https://towardsdatascience.com/understanding-random-forest-58381e0602d2</w:t>
      </w:r>
    </w:p>
    <w:p w14:paraId="4211D209" w14:textId="77777777" w:rsidR="00182546" w:rsidRPr="00E252FB" w:rsidRDefault="00182546" w:rsidP="00182546">
      <w:pPr>
        <w:pStyle w:val="Bibliography"/>
      </w:pPr>
      <w:r w:rsidRPr="00E252FB">
        <w:t xml:space="preserve">Zeiss, R., Briones, M. J. I., Mathieu, J., Lomba, A., Dahlke, J., Heptner, L.-F., Salako, G., Eisenhauer, N., &amp; Guerra, C. A. (2024). Effects of climate on the distribution and conservation of commonly observed European earthworms. </w:t>
      </w:r>
      <w:r w:rsidRPr="00E252FB">
        <w:rPr>
          <w:i/>
          <w:iCs/>
        </w:rPr>
        <w:t>Conservation Biology</w:t>
      </w:r>
      <w:r w:rsidRPr="00E252FB">
        <w:t xml:space="preserve">, </w:t>
      </w:r>
      <w:r w:rsidRPr="00E252FB">
        <w:rPr>
          <w:i/>
          <w:iCs/>
        </w:rPr>
        <w:t>38</w:t>
      </w:r>
      <w:r w:rsidRPr="00E252FB">
        <w:t>(2), e14187. https://doi.org/10.1111/cobi.14187</w:t>
      </w:r>
    </w:p>
    <w:p w14:paraId="40B37744" w14:textId="77777777" w:rsidR="00182546" w:rsidRPr="00E252FB" w:rsidRDefault="00182546" w:rsidP="00182546">
      <w:pPr>
        <w:pStyle w:val="Bibliography"/>
      </w:pPr>
      <w:r w:rsidRPr="00E252FB">
        <w:t xml:space="preserve">Zurell, D., Franklin, J., König, C., Bouchet, P. J., Dormann, C. F., Elith, J., Fandos, G., Feng, X., Guillera-Arroita, G., Guisan, A., Lahoz-Monfort, J. J., Leitão, P. J., Park, D. S., Peterson, A. T., Rapacciuolo, G., Schmatz, D. R., Schröder, B., Serra-Diaz, J. M., Thuiller, W., … </w:t>
      </w:r>
      <w:r w:rsidRPr="00E252FB">
        <w:lastRenderedPageBreak/>
        <w:t xml:space="preserve">Merow, C. (2020). A standard protocol for reporting species distribution models. </w:t>
      </w:r>
      <w:r w:rsidRPr="00E252FB">
        <w:rPr>
          <w:i/>
          <w:iCs/>
        </w:rPr>
        <w:t>Ecography</w:t>
      </w:r>
      <w:r w:rsidRPr="00E252FB">
        <w:t xml:space="preserve">, </w:t>
      </w:r>
      <w:r w:rsidRPr="00E252FB">
        <w:rPr>
          <w:i/>
          <w:iCs/>
        </w:rPr>
        <w:t>43</w:t>
      </w:r>
      <w:r w:rsidRPr="00E252FB">
        <w:t>(9), 1261‑1277. https://doi.org/10.1111/ecog.04960</w:t>
      </w:r>
    </w:p>
    <w:p w14:paraId="1BE34802" w14:textId="40401D55" w:rsidR="0042279B" w:rsidRPr="00E252FB" w:rsidRDefault="00F217A6" w:rsidP="0042279B">
      <w:pPr>
        <w:tabs>
          <w:tab w:val="left" w:pos="1490"/>
        </w:tabs>
        <w:rPr>
          <w:rFonts w:cs="Times New Roman"/>
        </w:rPr>
      </w:pPr>
      <w:r w:rsidRPr="00E252FB">
        <w:rPr>
          <w:rFonts w:cs="Times New Roman"/>
        </w:rPr>
        <w:fldChar w:fldCharType="end"/>
      </w:r>
    </w:p>
    <w:p w14:paraId="48D8E880" w14:textId="77777777" w:rsidR="0042279B" w:rsidRPr="00E252FB" w:rsidRDefault="0042279B" w:rsidP="0042279B">
      <w:pPr>
        <w:tabs>
          <w:tab w:val="left" w:pos="1490"/>
        </w:tabs>
        <w:rPr>
          <w:rFonts w:cs="Times New Roman"/>
        </w:rPr>
      </w:pPr>
    </w:p>
    <w:p w14:paraId="07111EE4" w14:textId="77777777" w:rsidR="0042279B" w:rsidRPr="00E252FB" w:rsidRDefault="0042279B" w:rsidP="0042279B">
      <w:pPr>
        <w:tabs>
          <w:tab w:val="left" w:pos="1490"/>
        </w:tabs>
        <w:rPr>
          <w:rFonts w:cs="Times New Roman"/>
        </w:rPr>
        <w:sectPr w:rsidR="0042279B" w:rsidRPr="00E252FB" w:rsidSect="00537360">
          <w:pgSz w:w="12240" w:h="15840"/>
          <w:pgMar w:top="1417" w:right="1417" w:bottom="1417" w:left="1417" w:header="720" w:footer="720" w:gutter="0"/>
          <w:pgNumType w:start="1"/>
          <w:cols w:space="720"/>
          <w:titlePg/>
          <w:docGrid w:linePitch="360"/>
        </w:sectPr>
      </w:pPr>
    </w:p>
    <w:p w14:paraId="5A659F49" w14:textId="77777777" w:rsidR="00EF46EC" w:rsidRPr="00E252FB" w:rsidRDefault="00D3451C" w:rsidP="0042279B">
      <w:pPr>
        <w:pStyle w:val="Heading1"/>
        <w:numPr>
          <w:ilvl w:val="0"/>
          <w:numId w:val="0"/>
        </w:numPr>
        <w:rPr>
          <w:rFonts w:cs="Times New Roman"/>
        </w:rPr>
      </w:pPr>
      <w:r w:rsidRPr="00E252FB">
        <w:rPr>
          <w:rFonts w:cs="Times New Roman"/>
        </w:rPr>
        <w:lastRenderedPageBreak/>
        <w:t>Annexes</w:t>
      </w:r>
    </w:p>
    <w:p w14:paraId="31B10F5B" w14:textId="77777777" w:rsidR="00701B38" w:rsidRPr="00E252FB" w:rsidRDefault="00701B38" w:rsidP="00812890">
      <w:pPr>
        <w:rPr>
          <w:rFonts w:cs="Times New Roman"/>
        </w:rPr>
      </w:pPr>
    </w:p>
    <w:p w14:paraId="4ED84187" w14:textId="77777777" w:rsidR="00701B38" w:rsidRPr="00E252FB" w:rsidRDefault="00701B38" w:rsidP="00812890">
      <w:pPr>
        <w:rPr>
          <w:rFonts w:cs="Times New Roman"/>
        </w:rPr>
      </w:pPr>
    </w:p>
    <w:tbl>
      <w:tblPr>
        <w:tblW w:w="7320" w:type="dxa"/>
        <w:tblCellMar>
          <w:left w:w="70" w:type="dxa"/>
          <w:right w:w="70" w:type="dxa"/>
        </w:tblCellMar>
        <w:tblLook w:val="04A0" w:firstRow="1" w:lastRow="0" w:firstColumn="1" w:lastColumn="0" w:noHBand="0" w:noVBand="1"/>
      </w:tblPr>
      <w:tblGrid>
        <w:gridCol w:w="1340"/>
        <w:gridCol w:w="2040"/>
        <w:gridCol w:w="794"/>
        <w:gridCol w:w="1046"/>
        <w:gridCol w:w="260"/>
        <w:gridCol w:w="794"/>
        <w:gridCol w:w="1046"/>
      </w:tblGrid>
      <w:tr w:rsidR="006A37F5" w:rsidRPr="00E252FB" w14:paraId="256581E1" w14:textId="77777777" w:rsidTr="006A37F5">
        <w:trPr>
          <w:trHeight w:val="312"/>
        </w:trPr>
        <w:tc>
          <w:tcPr>
            <w:tcW w:w="1340" w:type="dxa"/>
            <w:vMerge w:val="restart"/>
            <w:tcBorders>
              <w:top w:val="single" w:sz="4" w:space="0" w:color="auto"/>
              <w:left w:val="nil"/>
              <w:bottom w:val="single" w:sz="4" w:space="0" w:color="000000"/>
              <w:right w:val="nil"/>
            </w:tcBorders>
            <w:shd w:val="clear" w:color="auto" w:fill="auto"/>
            <w:noWrap/>
            <w:vAlign w:val="center"/>
            <w:hideMark/>
          </w:tcPr>
          <w:p w14:paraId="78E5B4DC"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Algorithms</w:t>
            </w:r>
          </w:p>
        </w:tc>
        <w:tc>
          <w:tcPr>
            <w:tcW w:w="2040" w:type="dxa"/>
            <w:vMerge w:val="restart"/>
            <w:tcBorders>
              <w:top w:val="single" w:sz="4" w:space="0" w:color="auto"/>
              <w:left w:val="nil"/>
              <w:bottom w:val="single" w:sz="4" w:space="0" w:color="000000"/>
              <w:right w:val="nil"/>
            </w:tcBorders>
            <w:shd w:val="clear" w:color="auto" w:fill="auto"/>
            <w:vAlign w:val="center"/>
            <w:hideMark/>
          </w:tcPr>
          <w:p w14:paraId="1F5842E0"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Response variables</w:t>
            </w:r>
          </w:p>
        </w:tc>
        <w:tc>
          <w:tcPr>
            <w:tcW w:w="1840" w:type="dxa"/>
            <w:gridSpan w:val="2"/>
            <w:tcBorders>
              <w:top w:val="single" w:sz="4" w:space="0" w:color="auto"/>
              <w:left w:val="nil"/>
              <w:bottom w:val="single" w:sz="4" w:space="0" w:color="auto"/>
              <w:right w:val="nil"/>
            </w:tcBorders>
            <w:shd w:val="clear" w:color="auto" w:fill="auto"/>
            <w:noWrap/>
            <w:vAlign w:val="center"/>
            <w:hideMark/>
          </w:tcPr>
          <w:p w14:paraId="180A5508"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proofErr w:type="spellStart"/>
            <w:r w:rsidRPr="00E252FB">
              <w:rPr>
                <w:rFonts w:ascii="Calibri" w:eastAsia="Times New Roman" w:hAnsi="Calibri" w:cs="Calibri"/>
                <w:b/>
                <w:bCs/>
                <w:color w:val="000000"/>
                <w:kern w:val="0"/>
                <w:szCs w:val="24"/>
                <w:lang w:eastAsia="fr-FR"/>
                <w14:ligatures w14:val="none"/>
              </w:rPr>
              <w:t>LandWorm</w:t>
            </w:r>
            <w:proofErr w:type="spellEnd"/>
          </w:p>
        </w:tc>
        <w:tc>
          <w:tcPr>
            <w:tcW w:w="260" w:type="dxa"/>
            <w:tcBorders>
              <w:top w:val="single" w:sz="4" w:space="0" w:color="auto"/>
              <w:left w:val="nil"/>
              <w:bottom w:val="nil"/>
              <w:right w:val="nil"/>
            </w:tcBorders>
            <w:shd w:val="clear" w:color="auto" w:fill="auto"/>
            <w:noWrap/>
            <w:vAlign w:val="center"/>
            <w:hideMark/>
          </w:tcPr>
          <w:p w14:paraId="5F6CDC96"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 </w:t>
            </w:r>
          </w:p>
        </w:tc>
        <w:tc>
          <w:tcPr>
            <w:tcW w:w="1840" w:type="dxa"/>
            <w:gridSpan w:val="2"/>
            <w:tcBorders>
              <w:top w:val="single" w:sz="4" w:space="0" w:color="auto"/>
              <w:left w:val="nil"/>
              <w:bottom w:val="nil"/>
              <w:right w:val="nil"/>
            </w:tcBorders>
            <w:shd w:val="clear" w:color="auto" w:fill="auto"/>
            <w:noWrap/>
            <w:vAlign w:val="center"/>
            <w:hideMark/>
          </w:tcPr>
          <w:p w14:paraId="6E5747AC"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proofErr w:type="spellStart"/>
            <w:r w:rsidRPr="00E252FB">
              <w:rPr>
                <w:rFonts w:ascii="Calibri" w:eastAsia="Times New Roman" w:hAnsi="Calibri" w:cs="Calibri"/>
                <w:b/>
                <w:bCs/>
                <w:color w:val="000000"/>
                <w:kern w:val="0"/>
                <w:szCs w:val="24"/>
                <w:lang w:eastAsia="fr-FR"/>
                <w14:ligatures w14:val="none"/>
              </w:rPr>
              <w:t>EcoBioSoil</w:t>
            </w:r>
            <w:proofErr w:type="spellEnd"/>
          </w:p>
        </w:tc>
      </w:tr>
      <w:tr w:rsidR="006A37F5" w:rsidRPr="00E252FB" w14:paraId="0E175424" w14:textId="77777777" w:rsidTr="006A37F5">
        <w:trPr>
          <w:trHeight w:val="384"/>
        </w:trPr>
        <w:tc>
          <w:tcPr>
            <w:tcW w:w="1340" w:type="dxa"/>
            <w:vMerge/>
            <w:tcBorders>
              <w:top w:val="single" w:sz="4" w:space="0" w:color="auto"/>
              <w:left w:val="nil"/>
              <w:bottom w:val="single" w:sz="4" w:space="0" w:color="000000"/>
              <w:right w:val="nil"/>
            </w:tcBorders>
            <w:vAlign w:val="center"/>
            <w:hideMark/>
          </w:tcPr>
          <w:p w14:paraId="423459E6" w14:textId="77777777" w:rsidR="006A37F5" w:rsidRPr="00E252FB" w:rsidRDefault="006A37F5" w:rsidP="006A37F5">
            <w:pPr>
              <w:spacing w:after="0" w:line="240" w:lineRule="auto"/>
              <w:jc w:val="left"/>
              <w:rPr>
                <w:rFonts w:ascii="Calibri" w:eastAsia="Times New Roman" w:hAnsi="Calibri" w:cs="Calibri"/>
                <w:b/>
                <w:bCs/>
                <w:color w:val="000000"/>
                <w:kern w:val="0"/>
                <w:szCs w:val="24"/>
                <w:lang w:eastAsia="fr-FR"/>
                <w14:ligatures w14:val="none"/>
              </w:rPr>
            </w:pPr>
          </w:p>
        </w:tc>
        <w:tc>
          <w:tcPr>
            <w:tcW w:w="2040" w:type="dxa"/>
            <w:vMerge/>
            <w:tcBorders>
              <w:top w:val="single" w:sz="4" w:space="0" w:color="auto"/>
              <w:left w:val="nil"/>
              <w:bottom w:val="single" w:sz="4" w:space="0" w:color="000000"/>
              <w:right w:val="nil"/>
            </w:tcBorders>
            <w:vAlign w:val="center"/>
            <w:hideMark/>
          </w:tcPr>
          <w:p w14:paraId="6D699921" w14:textId="77777777" w:rsidR="006A37F5" w:rsidRPr="00E252FB" w:rsidRDefault="006A37F5" w:rsidP="006A37F5">
            <w:pPr>
              <w:spacing w:after="0" w:line="240" w:lineRule="auto"/>
              <w:jc w:val="left"/>
              <w:rPr>
                <w:rFonts w:ascii="Calibri" w:eastAsia="Times New Roman" w:hAnsi="Calibri" w:cs="Calibri"/>
                <w:b/>
                <w:bCs/>
                <w:color w:val="000000"/>
                <w:kern w:val="0"/>
                <w:szCs w:val="24"/>
                <w:lang w:eastAsia="fr-FR"/>
                <w14:ligatures w14:val="none"/>
              </w:rPr>
            </w:pPr>
          </w:p>
        </w:tc>
        <w:tc>
          <w:tcPr>
            <w:tcW w:w="794" w:type="dxa"/>
            <w:tcBorders>
              <w:top w:val="nil"/>
              <w:left w:val="nil"/>
              <w:bottom w:val="single" w:sz="4" w:space="0" w:color="auto"/>
              <w:right w:val="nil"/>
            </w:tcBorders>
            <w:shd w:val="clear" w:color="auto" w:fill="auto"/>
            <w:noWrap/>
            <w:vAlign w:val="center"/>
            <w:hideMark/>
          </w:tcPr>
          <w:p w14:paraId="07247942"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R²</w:t>
            </w:r>
          </w:p>
        </w:tc>
        <w:tc>
          <w:tcPr>
            <w:tcW w:w="1046" w:type="dxa"/>
            <w:tcBorders>
              <w:top w:val="nil"/>
              <w:left w:val="nil"/>
              <w:bottom w:val="single" w:sz="4" w:space="0" w:color="auto"/>
              <w:right w:val="nil"/>
            </w:tcBorders>
            <w:shd w:val="clear" w:color="auto" w:fill="auto"/>
            <w:noWrap/>
            <w:vAlign w:val="center"/>
            <w:hideMark/>
          </w:tcPr>
          <w:p w14:paraId="1D4C8C9B"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RMSE</w:t>
            </w:r>
          </w:p>
        </w:tc>
        <w:tc>
          <w:tcPr>
            <w:tcW w:w="260" w:type="dxa"/>
            <w:tcBorders>
              <w:top w:val="single" w:sz="4" w:space="0" w:color="auto"/>
              <w:left w:val="nil"/>
              <w:bottom w:val="single" w:sz="4" w:space="0" w:color="auto"/>
              <w:right w:val="nil"/>
            </w:tcBorders>
            <w:shd w:val="clear" w:color="auto" w:fill="auto"/>
            <w:noWrap/>
            <w:vAlign w:val="center"/>
            <w:hideMark/>
          </w:tcPr>
          <w:p w14:paraId="1CBACF8E"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 </w:t>
            </w:r>
          </w:p>
        </w:tc>
        <w:tc>
          <w:tcPr>
            <w:tcW w:w="794" w:type="dxa"/>
            <w:tcBorders>
              <w:top w:val="single" w:sz="4" w:space="0" w:color="auto"/>
              <w:left w:val="nil"/>
              <w:bottom w:val="single" w:sz="4" w:space="0" w:color="auto"/>
              <w:right w:val="nil"/>
            </w:tcBorders>
            <w:shd w:val="clear" w:color="auto" w:fill="auto"/>
            <w:noWrap/>
            <w:vAlign w:val="center"/>
            <w:hideMark/>
          </w:tcPr>
          <w:p w14:paraId="45B94BBC"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R²</w:t>
            </w:r>
          </w:p>
        </w:tc>
        <w:tc>
          <w:tcPr>
            <w:tcW w:w="1046" w:type="dxa"/>
            <w:tcBorders>
              <w:top w:val="single" w:sz="4" w:space="0" w:color="auto"/>
              <w:left w:val="nil"/>
              <w:bottom w:val="single" w:sz="4" w:space="0" w:color="auto"/>
              <w:right w:val="nil"/>
            </w:tcBorders>
            <w:shd w:val="clear" w:color="auto" w:fill="auto"/>
            <w:noWrap/>
            <w:vAlign w:val="center"/>
            <w:hideMark/>
          </w:tcPr>
          <w:p w14:paraId="709B3A45"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RMSE</w:t>
            </w:r>
          </w:p>
        </w:tc>
      </w:tr>
      <w:tr w:rsidR="006A37F5" w:rsidRPr="00E252FB" w14:paraId="744DBAD4" w14:textId="77777777" w:rsidTr="006A37F5">
        <w:trPr>
          <w:trHeight w:val="312"/>
        </w:trPr>
        <w:tc>
          <w:tcPr>
            <w:tcW w:w="1340" w:type="dxa"/>
            <w:tcBorders>
              <w:top w:val="nil"/>
              <w:left w:val="nil"/>
              <w:bottom w:val="nil"/>
              <w:right w:val="nil"/>
            </w:tcBorders>
            <w:shd w:val="clear" w:color="auto" w:fill="auto"/>
            <w:noWrap/>
            <w:vAlign w:val="center"/>
            <w:hideMark/>
          </w:tcPr>
          <w:p w14:paraId="3003B249"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GLM</w:t>
            </w:r>
          </w:p>
        </w:tc>
        <w:tc>
          <w:tcPr>
            <w:tcW w:w="2040" w:type="dxa"/>
            <w:vMerge w:val="restart"/>
            <w:tcBorders>
              <w:top w:val="nil"/>
              <w:left w:val="nil"/>
              <w:bottom w:val="nil"/>
              <w:right w:val="nil"/>
            </w:tcBorders>
            <w:shd w:val="clear" w:color="auto" w:fill="auto"/>
            <w:noWrap/>
            <w:vAlign w:val="center"/>
            <w:hideMark/>
          </w:tcPr>
          <w:p w14:paraId="18DB5FC2"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Abundance</w:t>
            </w:r>
          </w:p>
        </w:tc>
        <w:tc>
          <w:tcPr>
            <w:tcW w:w="794" w:type="dxa"/>
            <w:tcBorders>
              <w:top w:val="nil"/>
              <w:left w:val="nil"/>
              <w:bottom w:val="nil"/>
              <w:right w:val="nil"/>
            </w:tcBorders>
            <w:shd w:val="clear" w:color="auto" w:fill="auto"/>
            <w:noWrap/>
            <w:vAlign w:val="center"/>
            <w:hideMark/>
          </w:tcPr>
          <w:p w14:paraId="32F542A9"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0.22</w:t>
            </w:r>
          </w:p>
        </w:tc>
        <w:tc>
          <w:tcPr>
            <w:tcW w:w="1046" w:type="dxa"/>
            <w:tcBorders>
              <w:top w:val="nil"/>
              <w:left w:val="nil"/>
              <w:bottom w:val="nil"/>
              <w:right w:val="nil"/>
            </w:tcBorders>
            <w:shd w:val="clear" w:color="auto" w:fill="auto"/>
            <w:noWrap/>
            <w:vAlign w:val="center"/>
            <w:hideMark/>
          </w:tcPr>
          <w:p w14:paraId="060B152E"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34.57</w:t>
            </w:r>
          </w:p>
        </w:tc>
        <w:tc>
          <w:tcPr>
            <w:tcW w:w="260" w:type="dxa"/>
            <w:tcBorders>
              <w:top w:val="nil"/>
              <w:left w:val="nil"/>
              <w:bottom w:val="nil"/>
              <w:right w:val="nil"/>
            </w:tcBorders>
            <w:shd w:val="clear" w:color="auto" w:fill="auto"/>
            <w:noWrap/>
            <w:vAlign w:val="center"/>
            <w:hideMark/>
          </w:tcPr>
          <w:p w14:paraId="723839A2"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7207F755"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0.25</w:t>
            </w:r>
          </w:p>
        </w:tc>
        <w:tc>
          <w:tcPr>
            <w:tcW w:w="1046" w:type="dxa"/>
            <w:tcBorders>
              <w:top w:val="nil"/>
              <w:left w:val="nil"/>
              <w:bottom w:val="nil"/>
              <w:right w:val="nil"/>
            </w:tcBorders>
            <w:shd w:val="clear" w:color="auto" w:fill="auto"/>
            <w:noWrap/>
            <w:vAlign w:val="center"/>
            <w:hideMark/>
          </w:tcPr>
          <w:p w14:paraId="36A85EE8"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33.99</w:t>
            </w:r>
          </w:p>
        </w:tc>
      </w:tr>
      <w:tr w:rsidR="006A37F5" w:rsidRPr="00E252FB" w14:paraId="495E754C" w14:textId="77777777" w:rsidTr="006A37F5">
        <w:trPr>
          <w:trHeight w:val="312"/>
        </w:trPr>
        <w:tc>
          <w:tcPr>
            <w:tcW w:w="1340" w:type="dxa"/>
            <w:tcBorders>
              <w:top w:val="nil"/>
              <w:left w:val="nil"/>
              <w:bottom w:val="nil"/>
              <w:right w:val="nil"/>
            </w:tcBorders>
            <w:shd w:val="clear" w:color="auto" w:fill="auto"/>
            <w:noWrap/>
            <w:vAlign w:val="center"/>
            <w:hideMark/>
          </w:tcPr>
          <w:p w14:paraId="65053AF8"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GAM</w:t>
            </w:r>
          </w:p>
        </w:tc>
        <w:tc>
          <w:tcPr>
            <w:tcW w:w="2040" w:type="dxa"/>
            <w:vMerge/>
            <w:tcBorders>
              <w:top w:val="nil"/>
              <w:left w:val="nil"/>
              <w:bottom w:val="nil"/>
              <w:right w:val="nil"/>
            </w:tcBorders>
            <w:vAlign w:val="center"/>
            <w:hideMark/>
          </w:tcPr>
          <w:p w14:paraId="14B421ED" w14:textId="77777777" w:rsidR="006A37F5" w:rsidRPr="00E252FB"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5D862ECD"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0.26</w:t>
            </w:r>
          </w:p>
        </w:tc>
        <w:tc>
          <w:tcPr>
            <w:tcW w:w="1046" w:type="dxa"/>
            <w:tcBorders>
              <w:top w:val="nil"/>
              <w:left w:val="nil"/>
              <w:bottom w:val="nil"/>
              <w:right w:val="nil"/>
            </w:tcBorders>
            <w:shd w:val="clear" w:color="auto" w:fill="auto"/>
            <w:noWrap/>
            <w:vAlign w:val="center"/>
            <w:hideMark/>
          </w:tcPr>
          <w:p w14:paraId="7FBE6707"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33.06</w:t>
            </w:r>
          </w:p>
        </w:tc>
        <w:tc>
          <w:tcPr>
            <w:tcW w:w="260" w:type="dxa"/>
            <w:tcBorders>
              <w:top w:val="nil"/>
              <w:left w:val="nil"/>
              <w:bottom w:val="nil"/>
              <w:right w:val="nil"/>
            </w:tcBorders>
            <w:shd w:val="clear" w:color="auto" w:fill="auto"/>
            <w:noWrap/>
            <w:vAlign w:val="center"/>
            <w:hideMark/>
          </w:tcPr>
          <w:p w14:paraId="468381B6"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3E13FADC"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0.27</w:t>
            </w:r>
          </w:p>
        </w:tc>
        <w:tc>
          <w:tcPr>
            <w:tcW w:w="1046" w:type="dxa"/>
            <w:tcBorders>
              <w:top w:val="nil"/>
              <w:left w:val="nil"/>
              <w:bottom w:val="nil"/>
              <w:right w:val="nil"/>
            </w:tcBorders>
            <w:shd w:val="clear" w:color="auto" w:fill="auto"/>
            <w:noWrap/>
            <w:vAlign w:val="center"/>
            <w:hideMark/>
          </w:tcPr>
          <w:p w14:paraId="1F8B984D"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32.72</w:t>
            </w:r>
          </w:p>
        </w:tc>
      </w:tr>
      <w:tr w:rsidR="006A37F5" w:rsidRPr="00E252FB" w14:paraId="56CCDE27" w14:textId="77777777" w:rsidTr="006A37F5">
        <w:trPr>
          <w:trHeight w:val="312"/>
        </w:trPr>
        <w:tc>
          <w:tcPr>
            <w:tcW w:w="1340" w:type="dxa"/>
            <w:tcBorders>
              <w:top w:val="nil"/>
              <w:left w:val="nil"/>
              <w:bottom w:val="nil"/>
              <w:right w:val="nil"/>
            </w:tcBorders>
            <w:shd w:val="clear" w:color="auto" w:fill="auto"/>
            <w:noWrap/>
            <w:vAlign w:val="center"/>
            <w:hideMark/>
          </w:tcPr>
          <w:p w14:paraId="47C6CEB5"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RF</w:t>
            </w:r>
          </w:p>
        </w:tc>
        <w:tc>
          <w:tcPr>
            <w:tcW w:w="2040" w:type="dxa"/>
            <w:vMerge/>
            <w:tcBorders>
              <w:top w:val="nil"/>
              <w:left w:val="nil"/>
              <w:bottom w:val="nil"/>
              <w:right w:val="nil"/>
            </w:tcBorders>
            <w:vAlign w:val="center"/>
            <w:hideMark/>
          </w:tcPr>
          <w:p w14:paraId="30F4D763" w14:textId="77777777" w:rsidR="006A37F5" w:rsidRPr="00E252FB"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3BF7BE71"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0.43</w:t>
            </w:r>
          </w:p>
        </w:tc>
        <w:tc>
          <w:tcPr>
            <w:tcW w:w="1046" w:type="dxa"/>
            <w:tcBorders>
              <w:top w:val="nil"/>
              <w:left w:val="nil"/>
              <w:bottom w:val="nil"/>
              <w:right w:val="nil"/>
            </w:tcBorders>
            <w:shd w:val="clear" w:color="auto" w:fill="auto"/>
            <w:noWrap/>
            <w:vAlign w:val="center"/>
            <w:hideMark/>
          </w:tcPr>
          <w:p w14:paraId="2A51C7D9"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25.20</w:t>
            </w:r>
          </w:p>
        </w:tc>
        <w:tc>
          <w:tcPr>
            <w:tcW w:w="260" w:type="dxa"/>
            <w:tcBorders>
              <w:top w:val="nil"/>
              <w:left w:val="nil"/>
              <w:bottom w:val="nil"/>
              <w:right w:val="nil"/>
            </w:tcBorders>
            <w:shd w:val="clear" w:color="auto" w:fill="auto"/>
            <w:noWrap/>
            <w:vAlign w:val="center"/>
            <w:hideMark/>
          </w:tcPr>
          <w:p w14:paraId="1E6C9EA9"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480F702B"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0.41</w:t>
            </w:r>
          </w:p>
        </w:tc>
        <w:tc>
          <w:tcPr>
            <w:tcW w:w="1046" w:type="dxa"/>
            <w:tcBorders>
              <w:top w:val="nil"/>
              <w:left w:val="nil"/>
              <w:bottom w:val="nil"/>
              <w:right w:val="nil"/>
            </w:tcBorders>
            <w:shd w:val="clear" w:color="auto" w:fill="auto"/>
            <w:noWrap/>
            <w:vAlign w:val="center"/>
            <w:hideMark/>
          </w:tcPr>
          <w:p w14:paraId="134EF2FF"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28.83</w:t>
            </w:r>
          </w:p>
        </w:tc>
      </w:tr>
      <w:tr w:rsidR="006A37F5" w:rsidRPr="00E252FB" w14:paraId="5CD63BC6" w14:textId="77777777" w:rsidTr="006A37F5">
        <w:trPr>
          <w:trHeight w:val="312"/>
        </w:trPr>
        <w:tc>
          <w:tcPr>
            <w:tcW w:w="1340" w:type="dxa"/>
            <w:tcBorders>
              <w:top w:val="nil"/>
              <w:left w:val="nil"/>
              <w:bottom w:val="nil"/>
              <w:right w:val="nil"/>
            </w:tcBorders>
            <w:shd w:val="clear" w:color="auto" w:fill="auto"/>
            <w:noWrap/>
            <w:vAlign w:val="center"/>
            <w:hideMark/>
          </w:tcPr>
          <w:p w14:paraId="0C735CE1"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GBM</w:t>
            </w:r>
          </w:p>
        </w:tc>
        <w:tc>
          <w:tcPr>
            <w:tcW w:w="2040" w:type="dxa"/>
            <w:vMerge/>
            <w:tcBorders>
              <w:top w:val="nil"/>
              <w:left w:val="nil"/>
              <w:bottom w:val="nil"/>
              <w:right w:val="nil"/>
            </w:tcBorders>
            <w:vAlign w:val="center"/>
            <w:hideMark/>
          </w:tcPr>
          <w:p w14:paraId="40BEEDFE" w14:textId="77777777" w:rsidR="006A37F5" w:rsidRPr="00E252FB"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77BD0356"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0.43</w:t>
            </w:r>
          </w:p>
        </w:tc>
        <w:tc>
          <w:tcPr>
            <w:tcW w:w="1046" w:type="dxa"/>
            <w:tcBorders>
              <w:top w:val="nil"/>
              <w:left w:val="nil"/>
              <w:bottom w:val="nil"/>
              <w:right w:val="nil"/>
            </w:tcBorders>
            <w:shd w:val="clear" w:color="auto" w:fill="auto"/>
            <w:noWrap/>
            <w:vAlign w:val="center"/>
            <w:hideMark/>
          </w:tcPr>
          <w:p w14:paraId="2935E0D2"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25.30</w:t>
            </w:r>
          </w:p>
        </w:tc>
        <w:tc>
          <w:tcPr>
            <w:tcW w:w="260" w:type="dxa"/>
            <w:tcBorders>
              <w:top w:val="nil"/>
              <w:left w:val="nil"/>
              <w:bottom w:val="nil"/>
              <w:right w:val="nil"/>
            </w:tcBorders>
            <w:shd w:val="clear" w:color="auto" w:fill="auto"/>
            <w:noWrap/>
            <w:vAlign w:val="center"/>
            <w:hideMark/>
          </w:tcPr>
          <w:p w14:paraId="12FEA565"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4E1BC3A5"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0.4</w:t>
            </w:r>
          </w:p>
        </w:tc>
        <w:tc>
          <w:tcPr>
            <w:tcW w:w="1046" w:type="dxa"/>
            <w:tcBorders>
              <w:top w:val="nil"/>
              <w:left w:val="nil"/>
              <w:bottom w:val="nil"/>
              <w:right w:val="nil"/>
            </w:tcBorders>
            <w:shd w:val="clear" w:color="auto" w:fill="auto"/>
            <w:noWrap/>
            <w:vAlign w:val="center"/>
            <w:hideMark/>
          </w:tcPr>
          <w:p w14:paraId="1A2D7460"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27.46</w:t>
            </w:r>
          </w:p>
        </w:tc>
      </w:tr>
      <w:tr w:rsidR="006A37F5" w:rsidRPr="00E252FB" w14:paraId="13A2919F" w14:textId="77777777" w:rsidTr="006A37F5">
        <w:trPr>
          <w:trHeight w:val="312"/>
        </w:trPr>
        <w:tc>
          <w:tcPr>
            <w:tcW w:w="1340" w:type="dxa"/>
            <w:tcBorders>
              <w:top w:val="nil"/>
              <w:left w:val="nil"/>
              <w:bottom w:val="nil"/>
              <w:right w:val="nil"/>
            </w:tcBorders>
            <w:shd w:val="clear" w:color="auto" w:fill="auto"/>
            <w:noWrap/>
            <w:vAlign w:val="center"/>
            <w:hideMark/>
          </w:tcPr>
          <w:p w14:paraId="21BFFDEA"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ANN</w:t>
            </w:r>
          </w:p>
        </w:tc>
        <w:tc>
          <w:tcPr>
            <w:tcW w:w="2040" w:type="dxa"/>
            <w:vMerge/>
            <w:tcBorders>
              <w:top w:val="nil"/>
              <w:left w:val="nil"/>
              <w:bottom w:val="nil"/>
              <w:right w:val="nil"/>
            </w:tcBorders>
            <w:vAlign w:val="center"/>
            <w:hideMark/>
          </w:tcPr>
          <w:p w14:paraId="5D7CAB76" w14:textId="77777777" w:rsidR="006A37F5" w:rsidRPr="00E252FB"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12CAA337"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0.35</w:t>
            </w:r>
          </w:p>
        </w:tc>
        <w:tc>
          <w:tcPr>
            <w:tcW w:w="1046" w:type="dxa"/>
            <w:tcBorders>
              <w:top w:val="nil"/>
              <w:left w:val="nil"/>
              <w:bottom w:val="nil"/>
              <w:right w:val="nil"/>
            </w:tcBorders>
            <w:shd w:val="clear" w:color="auto" w:fill="auto"/>
            <w:noWrap/>
            <w:vAlign w:val="center"/>
            <w:hideMark/>
          </w:tcPr>
          <w:p w14:paraId="02E42430"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28.94</w:t>
            </w:r>
          </w:p>
        </w:tc>
        <w:tc>
          <w:tcPr>
            <w:tcW w:w="260" w:type="dxa"/>
            <w:tcBorders>
              <w:top w:val="nil"/>
              <w:left w:val="nil"/>
              <w:bottom w:val="nil"/>
              <w:right w:val="nil"/>
            </w:tcBorders>
            <w:shd w:val="clear" w:color="auto" w:fill="auto"/>
            <w:noWrap/>
            <w:vAlign w:val="center"/>
            <w:hideMark/>
          </w:tcPr>
          <w:p w14:paraId="054D098D"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77741DF8"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0.25</w:t>
            </w:r>
          </w:p>
        </w:tc>
        <w:tc>
          <w:tcPr>
            <w:tcW w:w="1046" w:type="dxa"/>
            <w:tcBorders>
              <w:top w:val="nil"/>
              <w:left w:val="nil"/>
              <w:bottom w:val="nil"/>
              <w:right w:val="nil"/>
            </w:tcBorders>
            <w:shd w:val="clear" w:color="auto" w:fill="auto"/>
            <w:noWrap/>
            <w:vAlign w:val="center"/>
            <w:hideMark/>
          </w:tcPr>
          <w:p w14:paraId="3CAEA952"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34.22</w:t>
            </w:r>
          </w:p>
        </w:tc>
      </w:tr>
      <w:tr w:rsidR="006A37F5" w:rsidRPr="00E252FB" w14:paraId="550F416B" w14:textId="77777777" w:rsidTr="006A37F5">
        <w:trPr>
          <w:trHeight w:val="201"/>
        </w:trPr>
        <w:tc>
          <w:tcPr>
            <w:tcW w:w="1340" w:type="dxa"/>
            <w:tcBorders>
              <w:top w:val="nil"/>
              <w:left w:val="nil"/>
              <w:bottom w:val="nil"/>
              <w:right w:val="nil"/>
            </w:tcBorders>
            <w:shd w:val="clear" w:color="auto" w:fill="auto"/>
            <w:noWrap/>
            <w:vAlign w:val="center"/>
            <w:hideMark/>
          </w:tcPr>
          <w:p w14:paraId="5EB94AA4"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2040" w:type="dxa"/>
            <w:tcBorders>
              <w:top w:val="nil"/>
              <w:left w:val="nil"/>
              <w:bottom w:val="nil"/>
              <w:right w:val="nil"/>
            </w:tcBorders>
            <w:shd w:val="clear" w:color="auto" w:fill="auto"/>
            <w:noWrap/>
            <w:vAlign w:val="center"/>
            <w:hideMark/>
          </w:tcPr>
          <w:p w14:paraId="0571532B" w14:textId="77777777" w:rsidR="006A37F5" w:rsidRPr="00E252FB" w:rsidRDefault="006A37F5" w:rsidP="006A37F5">
            <w:pPr>
              <w:spacing w:after="0" w:line="240" w:lineRule="auto"/>
              <w:jc w:val="center"/>
              <w:rPr>
                <w:rFonts w:eastAsia="Times New Roman" w:cs="Times New Roman"/>
                <w:kern w:val="0"/>
                <w:sz w:val="20"/>
                <w:szCs w:val="20"/>
                <w:lang w:eastAsia="fr-FR"/>
                <w14:ligatures w14:val="none"/>
              </w:rPr>
            </w:pPr>
          </w:p>
        </w:tc>
        <w:tc>
          <w:tcPr>
            <w:tcW w:w="794" w:type="dxa"/>
            <w:tcBorders>
              <w:top w:val="nil"/>
              <w:left w:val="nil"/>
              <w:bottom w:val="nil"/>
              <w:right w:val="nil"/>
            </w:tcBorders>
            <w:shd w:val="clear" w:color="auto" w:fill="auto"/>
            <w:noWrap/>
            <w:vAlign w:val="center"/>
            <w:hideMark/>
          </w:tcPr>
          <w:p w14:paraId="67904713" w14:textId="77777777" w:rsidR="006A37F5" w:rsidRPr="00E252FB" w:rsidRDefault="006A37F5" w:rsidP="006A37F5">
            <w:pPr>
              <w:spacing w:after="0" w:line="240" w:lineRule="auto"/>
              <w:jc w:val="center"/>
              <w:rPr>
                <w:rFonts w:eastAsia="Times New Roman" w:cs="Times New Roman"/>
                <w:kern w:val="0"/>
                <w:sz w:val="20"/>
                <w:szCs w:val="20"/>
                <w:lang w:eastAsia="fr-FR"/>
                <w14:ligatures w14:val="none"/>
              </w:rPr>
            </w:pPr>
          </w:p>
        </w:tc>
        <w:tc>
          <w:tcPr>
            <w:tcW w:w="1046" w:type="dxa"/>
            <w:tcBorders>
              <w:top w:val="nil"/>
              <w:left w:val="nil"/>
              <w:bottom w:val="nil"/>
              <w:right w:val="nil"/>
            </w:tcBorders>
            <w:shd w:val="clear" w:color="auto" w:fill="auto"/>
            <w:noWrap/>
            <w:vAlign w:val="center"/>
            <w:hideMark/>
          </w:tcPr>
          <w:p w14:paraId="2503956C" w14:textId="77777777" w:rsidR="006A37F5" w:rsidRPr="00E252FB" w:rsidRDefault="006A37F5" w:rsidP="006A37F5">
            <w:pPr>
              <w:spacing w:after="0" w:line="240" w:lineRule="auto"/>
              <w:jc w:val="center"/>
              <w:rPr>
                <w:rFonts w:eastAsia="Times New Roman" w:cs="Times New Roman"/>
                <w:kern w:val="0"/>
                <w:sz w:val="20"/>
                <w:szCs w:val="20"/>
                <w:lang w:eastAsia="fr-FR"/>
                <w14:ligatures w14:val="none"/>
              </w:rPr>
            </w:pPr>
          </w:p>
        </w:tc>
        <w:tc>
          <w:tcPr>
            <w:tcW w:w="260" w:type="dxa"/>
            <w:tcBorders>
              <w:top w:val="nil"/>
              <w:left w:val="nil"/>
              <w:bottom w:val="nil"/>
              <w:right w:val="nil"/>
            </w:tcBorders>
            <w:shd w:val="clear" w:color="auto" w:fill="auto"/>
            <w:noWrap/>
            <w:vAlign w:val="center"/>
            <w:hideMark/>
          </w:tcPr>
          <w:p w14:paraId="15880AD5" w14:textId="77777777" w:rsidR="006A37F5" w:rsidRPr="00E252FB" w:rsidRDefault="006A37F5" w:rsidP="006A37F5">
            <w:pPr>
              <w:spacing w:after="0" w:line="240" w:lineRule="auto"/>
              <w:jc w:val="center"/>
              <w:rPr>
                <w:rFonts w:eastAsia="Times New Roman" w:cs="Times New Roman"/>
                <w:kern w:val="0"/>
                <w:sz w:val="20"/>
                <w:szCs w:val="20"/>
                <w:lang w:eastAsia="fr-FR"/>
                <w14:ligatures w14:val="none"/>
              </w:rPr>
            </w:pPr>
          </w:p>
        </w:tc>
        <w:tc>
          <w:tcPr>
            <w:tcW w:w="794" w:type="dxa"/>
            <w:tcBorders>
              <w:top w:val="nil"/>
              <w:left w:val="nil"/>
              <w:bottom w:val="nil"/>
              <w:right w:val="nil"/>
            </w:tcBorders>
            <w:shd w:val="clear" w:color="auto" w:fill="auto"/>
            <w:noWrap/>
            <w:vAlign w:val="center"/>
            <w:hideMark/>
          </w:tcPr>
          <w:p w14:paraId="1F144281" w14:textId="77777777" w:rsidR="006A37F5" w:rsidRPr="00E252FB" w:rsidRDefault="006A37F5" w:rsidP="006A37F5">
            <w:pPr>
              <w:spacing w:after="0" w:line="240" w:lineRule="auto"/>
              <w:jc w:val="center"/>
              <w:rPr>
                <w:rFonts w:eastAsia="Times New Roman" w:cs="Times New Roman"/>
                <w:kern w:val="0"/>
                <w:sz w:val="20"/>
                <w:szCs w:val="20"/>
                <w:lang w:eastAsia="fr-FR"/>
                <w14:ligatures w14:val="none"/>
              </w:rPr>
            </w:pPr>
          </w:p>
        </w:tc>
        <w:tc>
          <w:tcPr>
            <w:tcW w:w="1046" w:type="dxa"/>
            <w:tcBorders>
              <w:top w:val="nil"/>
              <w:left w:val="nil"/>
              <w:bottom w:val="nil"/>
              <w:right w:val="nil"/>
            </w:tcBorders>
            <w:shd w:val="clear" w:color="auto" w:fill="auto"/>
            <w:noWrap/>
            <w:vAlign w:val="center"/>
            <w:hideMark/>
          </w:tcPr>
          <w:p w14:paraId="67482062" w14:textId="77777777" w:rsidR="006A37F5" w:rsidRPr="00E252FB" w:rsidRDefault="006A37F5" w:rsidP="006A37F5">
            <w:pPr>
              <w:spacing w:after="0" w:line="240" w:lineRule="auto"/>
              <w:jc w:val="center"/>
              <w:rPr>
                <w:rFonts w:eastAsia="Times New Roman" w:cs="Times New Roman"/>
                <w:kern w:val="0"/>
                <w:sz w:val="20"/>
                <w:szCs w:val="20"/>
                <w:lang w:eastAsia="fr-FR"/>
                <w14:ligatures w14:val="none"/>
              </w:rPr>
            </w:pPr>
          </w:p>
        </w:tc>
      </w:tr>
      <w:tr w:rsidR="006A37F5" w:rsidRPr="00E252FB" w14:paraId="348625E4" w14:textId="77777777" w:rsidTr="006A37F5">
        <w:trPr>
          <w:trHeight w:val="312"/>
        </w:trPr>
        <w:tc>
          <w:tcPr>
            <w:tcW w:w="1340" w:type="dxa"/>
            <w:tcBorders>
              <w:top w:val="nil"/>
              <w:left w:val="nil"/>
              <w:bottom w:val="nil"/>
              <w:right w:val="nil"/>
            </w:tcBorders>
            <w:shd w:val="clear" w:color="auto" w:fill="auto"/>
            <w:noWrap/>
            <w:vAlign w:val="center"/>
            <w:hideMark/>
          </w:tcPr>
          <w:p w14:paraId="454D7C57"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GLM</w:t>
            </w:r>
          </w:p>
        </w:tc>
        <w:tc>
          <w:tcPr>
            <w:tcW w:w="2040" w:type="dxa"/>
            <w:vMerge w:val="restart"/>
            <w:tcBorders>
              <w:top w:val="nil"/>
              <w:left w:val="nil"/>
              <w:bottom w:val="nil"/>
              <w:right w:val="nil"/>
            </w:tcBorders>
            <w:shd w:val="clear" w:color="auto" w:fill="auto"/>
            <w:noWrap/>
            <w:vAlign w:val="center"/>
            <w:hideMark/>
          </w:tcPr>
          <w:p w14:paraId="48A7E09C"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Biomass</w:t>
            </w:r>
          </w:p>
        </w:tc>
        <w:tc>
          <w:tcPr>
            <w:tcW w:w="794" w:type="dxa"/>
            <w:tcBorders>
              <w:top w:val="nil"/>
              <w:left w:val="nil"/>
              <w:bottom w:val="nil"/>
              <w:right w:val="nil"/>
            </w:tcBorders>
            <w:shd w:val="clear" w:color="auto" w:fill="auto"/>
            <w:noWrap/>
            <w:vAlign w:val="center"/>
            <w:hideMark/>
          </w:tcPr>
          <w:p w14:paraId="6B6093B1"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0.23</w:t>
            </w:r>
          </w:p>
        </w:tc>
        <w:tc>
          <w:tcPr>
            <w:tcW w:w="1046" w:type="dxa"/>
            <w:tcBorders>
              <w:top w:val="nil"/>
              <w:left w:val="nil"/>
              <w:bottom w:val="nil"/>
              <w:right w:val="nil"/>
            </w:tcBorders>
            <w:shd w:val="clear" w:color="auto" w:fill="auto"/>
            <w:noWrap/>
            <w:vAlign w:val="center"/>
            <w:hideMark/>
          </w:tcPr>
          <w:p w14:paraId="730ED107"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10.69</w:t>
            </w:r>
          </w:p>
        </w:tc>
        <w:tc>
          <w:tcPr>
            <w:tcW w:w="260" w:type="dxa"/>
            <w:tcBorders>
              <w:top w:val="nil"/>
              <w:left w:val="nil"/>
              <w:bottom w:val="nil"/>
              <w:right w:val="nil"/>
            </w:tcBorders>
            <w:shd w:val="clear" w:color="auto" w:fill="auto"/>
            <w:noWrap/>
            <w:vAlign w:val="center"/>
            <w:hideMark/>
          </w:tcPr>
          <w:p w14:paraId="1A75F0C2"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39A1F5A7"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0.22</w:t>
            </w:r>
          </w:p>
        </w:tc>
        <w:tc>
          <w:tcPr>
            <w:tcW w:w="1046" w:type="dxa"/>
            <w:tcBorders>
              <w:top w:val="nil"/>
              <w:left w:val="nil"/>
              <w:bottom w:val="nil"/>
              <w:right w:val="nil"/>
            </w:tcBorders>
            <w:shd w:val="clear" w:color="auto" w:fill="auto"/>
            <w:noWrap/>
            <w:vAlign w:val="center"/>
            <w:hideMark/>
          </w:tcPr>
          <w:p w14:paraId="1559E3D5"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10.76</w:t>
            </w:r>
          </w:p>
        </w:tc>
      </w:tr>
      <w:tr w:rsidR="006A37F5" w:rsidRPr="00E252FB" w14:paraId="149D43C4" w14:textId="77777777" w:rsidTr="006A37F5">
        <w:trPr>
          <w:trHeight w:val="312"/>
        </w:trPr>
        <w:tc>
          <w:tcPr>
            <w:tcW w:w="1340" w:type="dxa"/>
            <w:tcBorders>
              <w:top w:val="nil"/>
              <w:left w:val="nil"/>
              <w:bottom w:val="nil"/>
              <w:right w:val="nil"/>
            </w:tcBorders>
            <w:shd w:val="clear" w:color="auto" w:fill="auto"/>
            <w:noWrap/>
            <w:vAlign w:val="center"/>
            <w:hideMark/>
          </w:tcPr>
          <w:p w14:paraId="1968688F"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GAM</w:t>
            </w:r>
          </w:p>
        </w:tc>
        <w:tc>
          <w:tcPr>
            <w:tcW w:w="2040" w:type="dxa"/>
            <w:vMerge/>
            <w:tcBorders>
              <w:top w:val="nil"/>
              <w:left w:val="nil"/>
              <w:bottom w:val="nil"/>
              <w:right w:val="nil"/>
            </w:tcBorders>
            <w:vAlign w:val="center"/>
            <w:hideMark/>
          </w:tcPr>
          <w:p w14:paraId="557FE96D" w14:textId="77777777" w:rsidR="006A37F5" w:rsidRPr="00E252FB"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272ACC45"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0.24</w:t>
            </w:r>
          </w:p>
        </w:tc>
        <w:tc>
          <w:tcPr>
            <w:tcW w:w="1046" w:type="dxa"/>
            <w:tcBorders>
              <w:top w:val="nil"/>
              <w:left w:val="nil"/>
              <w:bottom w:val="nil"/>
              <w:right w:val="nil"/>
            </w:tcBorders>
            <w:shd w:val="clear" w:color="auto" w:fill="auto"/>
            <w:noWrap/>
            <w:vAlign w:val="center"/>
            <w:hideMark/>
          </w:tcPr>
          <w:p w14:paraId="2FEB4C75"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10.50</w:t>
            </w:r>
          </w:p>
        </w:tc>
        <w:tc>
          <w:tcPr>
            <w:tcW w:w="260" w:type="dxa"/>
            <w:tcBorders>
              <w:top w:val="nil"/>
              <w:left w:val="nil"/>
              <w:bottom w:val="nil"/>
              <w:right w:val="nil"/>
            </w:tcBorders>
            <w:shd w:val="clear" w:color="auto" w:fill="auto"/>
            <w:noWrap/>
            <w:vAlign w:val="center"/>
            <w:hideMark/>
          </w:tcPr>
          <w:p w14:paraId="70E0F2BA"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00CCBBB1"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0.25</w:t>
            </w:r>
          </w:p>
        </w:tc>
        <w:tc>
          <w:tcPr>
            <w:tcW w:w="1046" w:type="dxa"/>
            <w:tcBorders>
              <w:top w:val="nil"/>
              <w:left w:val="nil"/>
              <w:bottom w:val="nil"/>
              <w:right w:val="nil"/>
            </w:tcBorders>
            <w:shd w:val="clear" w:color="auto" w:fill="auto"/>
            <w:noWrap/>
            <w:vAlign w:val="center"/>
            <w:hideMark/>
          </w:tcPr>
          <w:p w14:paraId="49491AFD"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10.30</w:t>
            </w:r>
          </w:p>
        </w:tc>
      </w:tr>
      <w:tr w:rsidR="006A37F5" w:rsidRPr="00E252FB" w14:paraId="7147C1D2" w14:textId="77777777" w:rsidTr="006A37F5">
        <w:trPr>
          <w:trHeight w:val="312"/>
        </w:trPr>
        <w:tc>
          <w:tcPr>
            <w:tcW w:w="1340" w:type="dxa"/>
            <w:tcBorders>
              <w:top w:val="nil"/>
              <w:left w:val="nil"/>
              <w:bottom w:val="nil"/>
              <w:right w:val="nil"/>
            </w:tcBorders>
            <w:shd w:val="clear" w:color="auto" w:fill="auto"/>
            <w:noWrap/>
            <w:vAlign w:val="center"/>
            <w:hideMark/>
          </w:tcPr>
          <w:p w14:paraId="703D6BB3"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RF</w:t>
            </w:r>
          </w:p>
        </w:tc>
        <w:tc>
          <w:tcPr>
            <w:tcW w:w="2040" w:type="dxa"/>
            <w:vMerge/>
            <w:tcBorders>
              <w:top w:val="nil"/>
              <w:left w:val="nil"/>
              <w:bottom w:val="nil"/>
              <w:right w:val="nil"/>
            </w:tcBorders>
            <w:vAlign w:val="center"/>
            <w:hideMark/>
          </w:tcPr>
          <w:p w14:paraId="7F59A663" w14:textId="77777777" w:rsidR="006A37F5" w:rsidRPr="00E252FB"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2D51279E"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0.35</w:t>
            </w:r>
          </w:p>
        </w:tc>
        <w:tc>
          <w:tcPr>
            <w:tcW w:w="1046" w:type="dxa"/>
            <w:tcBorders>
              <w:top w:val="nil"/>
              <w:left w:val="nil"/>
              <w:bottom w:val="nil"/>
              <w:right w:val="nil"/>
            </w:tcBorders>
            <w:shd w:val="clear" w:color="auto" w:fill="auto"/>
            <w:noWrap/>
            <w:vAlign w:val="center"/>
            <w:hideMark/>
          </w:tcPr>
          <w:p w14:paraId="1D69916C"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8.76</w:t>
            </w:r>
          </w:p>
        </w:tc>
        <w:tc>
          <w:tcPr>
            <w:tcW w:w="260" w:type="dxa"/>
            <w:tcBorders>
              <w:top w:val="nil"/>
              <w:left w:val="nil"/>
              <w:bottom w:val="nil"/>
              <w:right w:val="nil"/>
            </w:tcBorders>
            <w:shd w:val="clear" w:color="auto" w:fill="auto"/>
            <w:noWrap/>
            <w:vAlign w:val="center"/>
            <w:hideMark/>
          </w:tcPr>
          <w:p w14:paraId="75FC9879"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76725BA8"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0.34</w:t>
            </w:r>
          </w:p>
        </w:tc>
        <w:tc>
          <w:tcPr>
            <w:tcW w:w="1046" w:type="dxa"/>
            <w:tcBorders>
              <w:top w:val="nil"/>
              <w:left w:val="nil"/>
              <w:bottom w:val="nil"/>
              <w:right w:val="nil"/>
            </w:tcBorders>
            <w:shd w:val="clear" w:color="auto" w:fill="auto"/>
            <w:noWrap/>
            <w:vAlign w:val="center"/>
            <w:hideMark/>
          </w:tcPr>
          <w:p w14:paraId="1C33260F"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9.24</w:t>
            </w:r>
          </w:p>
        </w:tc>
      </w:tr>
      <w:tr w:rsidR="006A37F5" w:rsidRPr="00E252FB" w14:paraId="00AAD9E2" w14:textId="77777777" w:rsidTr="006A37F5">
        <w:trPr>
          <w:trHeight w:val="312"/>
        </w:trPr>
        <w:tc>
          <w:tcPr>
            <w:tcW w:w="1340" w:type="dxa"/>
            <w:tcBorders>
              <w:top w:val="nil"/>
              <w:left w:val="nil"/>
              <w:bottom w:val="nil"/>
              <w:right w:val="nil"/>
            </w:tcBorders>
            <w:shd w:val="clear" w:color="auto" w:fill="auto"/>
            <w:noWrap/>
            <w:vAlign w:val="center"/>
            <w:hideMark/>
          </w:tcPr>
          <w:p w14:paraId="68E39437"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GBM</w:t>
            </w:r>
          </w:p>
        </w:tc>
        <w:tc>
          <w:tcPr>
            <w:tcW w:w="2040" w:type="dxa"/>
            <w:vMerge/>
            <w:tcBorders>
              <w:top w:val="nil"/>
              <w:left w:val="nil"/>
              <w:bottom w:val="nil"/>
              <w:right w:val="nil"/>
            </w:tcBorders>
            <w:vAlign w:val="center"/>
            <w:hideMark/>
          </w:tcPr>
          <w:p w14:paraId="7DB9F6CA" w14:textId="77777777" w:rsidR="006A37F5" w:rsidRPr="00E252FB"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623DAA67"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0.32</w:t>
            </w:r>
          </w:p>
        </w:tc>
        <w:tc>
          <w:tcPr>
            <w:tcW w:w="1046" w:type="dxa"/>
            <w:tcBorders>
              <w:top w:val="nil"/>
              <w:left w:val="nil"/>
              <w:bottom w:val="nil"/>
              <w:right w:val="nil"/>
            </w:tcBorders>
            <w:shd w:val="clear" w:color="auto" w:fill="auto"/>
            <w:noWrap/>
            <w:vAlign w:val="center"/>
            <w:hideMark/>
          </w:tcPr>
          <w:p w14:paraId="72BF178B"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9.30</w:t>
            </w:r>
          </w:p>
        </w:tc>
        <w:tc>
          <w:tcPr>
            <w:tcW w:w="260" w:type="dxa"/>
            <w:tcBorders>
              <w:top w:val="nil"/>
              <w:left w:val="nil"/>
              <w:bottom w:val="nil"/>
              <w:right w:val="nil"/>
            </w:tcBorders>
            <w:shd w:val="clear" w:color="auto" w:fill="auto"/>
            <w:noWrap/>
            <w:vAlign w:val="center"/>
            <w:hideMark/>
          </w:tcPr>
          <w:p w14:paraId="27F71F71"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4E7DF3EA"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0.32</w:t>
            </w:r>
          </w:p>
        </w:tc>
        <w:tc>
          <w:tcPr>
            <w:tcW w:w="1046" w:type="dxa"/>
            <w:tcBorders>
              <w:top w:val="nil"/>
              <w:left w:val="nil"/>
              <w:bottom w:val="nil"/>
              <w:right w:val="nil"/>
            </w:tcBorders>
            <w:shd w:val="clear" w:color="auto" w:fill="auto"/>
            <w:noWrap/>
            <w:vAlign w:val="center"/>
            <w:hideMark/>
          </w:tcPr>
          <w:p w14:paraId="510324E2"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9.36</w:t>
            </w:r>
          </w:p>
        </w:tc>
      </w:tr>
      <w:tr w:rsidR="006A37F5" w:rsidRPr="00E252FB" w14:paraId="0A8F2972" w14:textId="77777777" w:rsidTr="006A37F5">
        <w:trPr>
          <w:trHeight w:val="312"/>
        </w:trPr>
        <w:tc>
          <w:tcPr>
            <w:tcW w:w="1340" w:type="dxa"/>
            <w:tcBorders>
              <w:top w:val="nil"/>
              <w:left w:val="nil"/>
              <w:bottom w:val="nil"/>
              <w:right w:val="nil"/>
            </w:tcBorders>
            <w:shd w:val="clear" w:color="auto" w:fill="auto"/>
            <w:noWrap/>
            <w:vAlign w:val="center"/>
            <w:hideMark/>
          </w:tcPr>
          <w:p w14:paraId="3575562B"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ANN</w:t>
            </w:r>
          </w:p>
        </w:tc>
        <w:tc>
          <w:tcPr>
            <w:tcW w:w="2040" w:type="dxa"/>
            <w:vMerge/>
            <w:tcBorders>
              <w:top w:val="nil"/>
              <w:left w:val="nil"/>
              <w:bottom w:val="nil"/>
              <w:right w:val="nil"/>
            </w:tcBorders>
            <w:vAlign w:val="center"/>
            <w:hideMark/>
          </w:tcPr>
          <w:p w14:paraId="717789C2" w14:textId="77777777" w:rsidR="006A37F5" w:rsidRPr="00E252FB"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11ECD07D"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0.27</w:t>
            </w:r>
          </w:p>
        </w:tc>
        <w:tc>
          <w:tcPr>
            <w:tcW w:w="1046" w:type="dxa"/>
            <w:tcBorders>
              <w:top w:val="nil"/>
              <w:left w:val="nil"/>
              <w:bottom w:val="nil"/>
              <w:right w:val="nil"/>
            </w:tcBorders>
            <w:shd w:val="clear" w:color="auto" w:fill="auto"/>
            <w:noWrap/>
            <w:vAlign w:val="center"/>
            <w:hideMark/>
          </w:tcPr>
          <w:p w14:paraId="45070C5F"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10.50</w:t>
            </w:r>
          </w:p>
        </w:tc>
        <w:tc>
          <w:tcPr>
            <w:tcW w:w="260" w:type="dxa"/>
            <w:tcBorders>
              <w:top w:val="nil"/>
              <w:left w:val="nil"/>
              <w:bottom w:val="nil"/>
              <w:right w:val="nil"/>
            </w:tcBorders>
            <w:shd w:val="clear" w:color="auto" w:fill="auto"/>
            <w:noWrap/>
            <w:vAlign w:val="center"/>
            <w:hideMark/>
          </w:tcPr>
          <w:p w14:paraId="3A7284DC"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565FB86C"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0.32</w:t>
            </w:r>
          </w:p>
        </w:tc>
        <w:tc>
          <w:tcPr>
            <w:tcW w:w="1046" w:type="dxa"/>
            <w:tcBorders>
              <w:top w:val="nil"/>
              <w:left w:val="nil"/>
              <w:bottom w:val="nil"/>
              <w:right w:val="nil"/>
            </w:tcBorders>
            <w:shd w:val="clear" w:color="auto" w:fill="auto"/>
            <w:noWrap/>
            <w:vAlign w:val="center"/>
            <w:hideMark/>
          </w:tcPr>
          <w:p w14:paraId="3132F288"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9.64</w:t>
            </w:r>
          </w:p>
        </w:tc>
      </w:tr>
      <w:tr w:rsidR="006A37F5" w:rsidRPr="00E252FB" w14:paraId="1E4471A8" w14:textId="77777777" w:rsidTr="006A37F5">
        <w:trPr>
          <w:trHeight w:val="201"/>
        </w:trPr>
        <w:tc>
          <w:tcPr>
            <w:tcW w:w="1340" w:type="dxa"/>
            <w:tcBorders>
              <w:top w:val="nil"/>
              <w:left w:val="nil"/>
              <w:bottom w:val="nil"/>
              <w:right w:val="nil"/>
            </w:tcBorders>
            <w:shd w:val="clear" w:color="auto" w:fill="auto"/>
            <w:noWrap/>
            <w:vAlign w:val="center"/>
            <w:hideMark/>
          </w:tcPr>
          <w:p w14:paraId="3135AC51"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2040" w:type="dxa"/>
            <w:tcBorders>
              <w:top w:val="nil"/>
              <w:left w:val="nil"/>
              <w:bottom w:val="nil"/>
              <w:right w:val="nil"/>
            </w:tcBorders>
            <w:shd w:val="clear" w:color="auto" w:fill="auto"/>
            <w:noWrap/>
            <w:vAlign w:val="center"/>
            <w:hideMark/>
          </w:tcPr>
          <w:p w14:paraId="73207837" w14:textId="77777777" w:rsidR="006A37F5" w:rsidRPr="00E252FB" w:rsidRDefault="006A37F5" w:rsidP="006A37F5">
            <w:pPr>
              <w:spacing w:after="0" w:line="240" w:lineRule="auto"/>
              <w:jc w:val="center"/>
              <w:rPr>
                <w:rFonts w:eastAsia="Times New Roman" w:cs="Times New Roman"/>
                <w:kern w:val="0"/>
                <w:sz w:val="20"/>
                <w:szCs w:val="20"/>
                <w:lang w:eastAsia="fr-FR"/>
                <w14:ligatures w14:val="none"/>
              </w:rPr>
            </w:pPr>
          </w:p>
        </w:tc>
        <w:tc>
          <w:tcPr>
            <w:tcW w:w="794" w:type="dxa"/>
            <w:tcBorders>
              <w:top w:val="nil"/>
              <w:left w:val="nil"/>
              <w:bottom w:val="nil"/>
              <w:right w:val="nil"/>
            </w:tcBorders>
            <w:shd w:val="clear" w:color="auto" w:fill="auto"/>
            <w:noWrap/>
            <w:vAlign w:val="center"/>
            <w:hideMark/>
          </w:tcPr>
          <w:p w14:paraId="3FB0B930" w14:textId="77777777" w:rsidR="006A37F5" w:rsidRPr="00E252FB" w:rsidRDefault="006A37F5" w:rsidP="006A37F5">
            <w:pPr>
              <w:spacing w:after="0" w:line="240" w:lineRule="auto"/>
              <w:jc w:val="center"/>
              <w:rPr>
                <w:rFonts w:eastAsia="Times New Roman" w:cs="Times New Roman"/>
                <w:kern w:val="0"/>
                <w:sz w:val="20"/>
                <w:szCs w:val="20"/>
                <w:lang w:eastAsia="fr-FR"/>
                <w14:ligatures w14:val="none"/>
              </w:rPr>
            </w:pPr>
          </w:p>
        </w:tc>
        <w:tc>
          <w:tcPr>
            <w:tcW w:w="1046" w:type="dxa"/>
            <w:tcBorders>
              <w:top w:val="nil"/>
              <w:left w:val="nil"/>
              <w:bottom w:val="nil"/>
              <w:right w:val="nil"/>
            </w:tcBorders>
            <w:shd w:val="clear" w:color="auto" w:fill="auto"/>
            <w:noWrap/>
            <w:vAlign w:val="center"/>
            <w:hideMark/>
          </w:tcPr>
          <w:p w14:paraId="79BD2CCB" w14:textId="77777777" w:rsidR="006A37F5" w:rsidRPr="00E252FB" w:rsidRDefault="006A37F5" w:rsidP="006A37F5">
            <w:pPr>
              <w:spacing w:after="0" w:line="240" w:lineRule="auto"/>
              <w:jc w:val="center"/>
              <w:rPr>
                <w:rFonts w:eastAsia="Times New Roman" w:cs="Times New Roman"/>
                <w:kern w:val="0"/>
                <w:sz w:val="20"/>
                <w:szCs w:val="20"/>
                <w:lang w:eastAsia="fr-FR"/>
                <w14:ligatures w14:val="none"/>
              </w:rPr>
            </w:pPr>
          </w:p>
        </w:tc>
        <w:tc>
          <w:tcPr>
            <w:tcW w:w="260" w:type="dxa"/>
            <w:tcBorders>
              <w:top w:val="nil"/>
              <w:left w:val="nil"/>
              <w:bottom w:val="nil"/>
              <w:right w:val="nil"/>
            </w:tcBorders>
            <w:shd w:val="clear" w:color="auto" w:fill="auto"/>
            <w:noWrap/>
            <w:vAlign w:val="center"/>
            <w:hideMark/>
          </w:tcPr>
          <w:p w14:paraId="696C5716" w14:textId="77777777" w:rsidR="006A37F5" w:rsidRPr="00E252FB" w:rsidRDefault="006A37F5" w:rsidP="006A37F5">
            <w:pPr>
              <w:spacing w:after="0" w:line="240" w:lineRule="auto"/>
              <w:jc w:val="center"/>
              <w:rPr>
                <w:rFonts w:eastAsia="Times New Roman" w:cs="Times New Roman"/>
                <w:kern w:val="0"/>
                <w:sz w:val="20"/>
                <w:szCs w:val="20"/>
                <w:lang w:eastAsia="fr-FR"/>
                <w14:ligatures w14:val="none"/>
              </w:rPr>
            </w:pPr>
          </w:p>
        </w:tc>
        <w:tc>
          <w:tcPr>
            <w:tcW w:w="794" w:type="dxa"/>
            <w:tcBorders>
              <w:top w:val="nil"/>
              <w:left w:val="nil"/>
              <w:bottom w:val="nil"/>
              <w:right w:val="nil"/>
            </w:tcBorders>
            <w:shd w:val="clear" w:color="auto" w:fill="auto"/>
            <w:noWrap/>
            <w:vAlign w:val="center"/>
            <w:hideMark/>
          </w:tcPr>
          <w:p w14:paraId="7C55E432" w14:textId="77777777" w:rsidR="006A37F5" w:rsidRPr="00E252FB" w:rsidRDefault="006A37F5" w:rsidP="006A37F5">
            <w:pPr>
              <w:spacing w:after="0" w:line="240" w:lineRule="auto"/>
              <w:jc w:val="center"/>
              <w:rPr>
                <w:rFonts w:eastAsia="Times New Roman" w:cs="Times New Roman"/>
                <w:kern w:val="0"/>
                <w:sz w:val="20"/>
                <w:szCs w:val="20"/>
                <w:lang w:eastAsia="fr-FR"/>
                <w14:ligatures w14:val="none"/>
              </w:rPr>
            </w:pPr>
          </w:p>
        </w:tc>
        <w:tc>
          <w:tcPr>
            <w:tcW w:w="1046" w:type="dxa"/>
            <w:tcBorders>
              <w:top w:val="nil"/>
              <w:left w:val="nil"/>
              <w:bottom w:val="nil"/>
              <w:right w:val="nil"/>
            </w:tcBorders>
            <w:shd w:val="clear" w:color="auto" w:fill="auto"/>
            <w:noWrap/>
            <w:vAlign w:val="center"/>
            <w:hideMark/>
          </w:tcPr>
          <w:p w14:paraId="06204003" w14:textId="77777777" w:rsidR="006A37F5" w:rsidRPr="00E252FB" w:rsidRDefault="006A37F5" w:rsidP="006A37F5">
            <w:pPr>
              <w:spacing w:after="0" w:line="240" w:lineRule="auto"/>
              <w:jc w:val="center"/>
              <w:rPr>
                <w:rFonts w:eastAsia="Times New Roman" w:cs="Times New Roman"/>
                <w:kern w:val="0"/>
                <w:sz w:val="20"/>
                <w:szCs w:val="20"/>
                <w:lang w:eastAsia="fr-FR"/>
                <w14:ligatures w14:val="none"/>
              </w:rPr>
            </w:pPr>
          </w:p>
        </w:tc>
      </w:tr>
      <w:tr w:rsidR="006A37F5" w:rsidRPr="00E252FB" w14:paraId="7AB78331" w14:textId="77777777" w:rsidTr="006A37F5">
        <w:trPr>
          <w:trHeight w:val="312"/>
        </w:trPr>
        <w:tc>
          <w:tcPr>
            <w:tcW w:w="1340" w:type="dxa"/>
            <w:tcBorders>
              <w:top w:val="nil"/>
              <w:left w:val="nil"/>
              <w:bottom w:val="nil"/>
              <w:right w:val="nil"/>
            </w:tcBorders>
            <w:shd w:val="clear" w:color="auto" w:fill="auto"/>
            <w:noWrap/>
            <w:vAlign w:val="center"/>
            <w:hideMark/>
          </w:tcPr>
          <w:p w14:paraId="42C90735"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GLM</w:t>
            </w:r>
          </w:p>
        </w:tc>
        <w:tc>
          <w:tcPr>
            <w:tcW w:w="2040" w:type="dxa"/>
            <w:vMerge w:val="restart"/>
            <w:tcBorders>
              <w:top w:val="nil"/>
              <w:left w:val="nil"/>
              <w:bottom w:val="single" w:sz="4" w:space="0" w:color="000000"/>
              <w:right w:val="nil"/>
            </w:tcBorders>
            <w:shd w:val="clear" w:color="auto" w:fill="auto"/>
            <w:noWrap/>
            <w:vAlign w:val="center"/>
            <w:hideMark/>
          </w:tcPr>
          <w:p w14:paraId="3526598A"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Richness</w:t>
            </w:r>
          </w:p>
        </w:tc>
        <w:tc>
          <w:tcPr>
            <w:tcW w:w="794" w:type="dxa"/>
            <w:tcBorders>
              <w:top w:val="nil"/>
              <w:left w:val="nil"/>
              <w:bottom w:val="nil"/>
              <w:right w:val="nil"/>
            </w:tcBorders>
            <w:shd w:val="clear" w:color="auto" w:fill="auto"/>
            <w:noWrap/>
            <w:vAlign w:val="center"/>
            <w:hideMark/>
          </w:tcPr>
          <w:p w14:paraId="1B45E272"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0.36</w:t>
            </w:r>
          </w:p>
        </w:tc>
        <w:tc>
          <w:tcPr>
            <w:tcW w:w="1046" w:type="dxa"/>
            <w:tcBorders>
              <w:top w:val="nil"/>
              <w:left w:val="nil"/>
              <w:bottom w:val="nil"/>
              <w:right w:val="nil"/>
            </w:tcBorders>
            <w:shd w:val="clear" w:color="auto" w:fill="auto"/>
            <w:noWrap/>
            <w:vAlign w:val="center"/>
            <w:hideMark/>
          </w:tcPr>
          <w:p w14:paraId="630CE4B0"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2.18</w:t>
            </w:r>
          </w:p>
        </w:tc>
        <w:tc>
          <w:tcPr>
            <w:tcW w:w="260" w:type="dxa"/>
            <w:tcBorders>
              <w:top w:val="nil"/>
              <w:left w:val="nil"/>
              <w:bottom w:val="nil"/>
              <w:right w:val="nil"/>
            </w:tcBorders>
            <w:shd w:val="clear" w:color="auto" w:fill="auto"/>
            <w:noWrap/>
            <w:vAlign w:val="center"/>
            <w:hideMark/>
          </w:tcPr>
          <w:p w14:paraId="00AE1366"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312AF344"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0.33</w:t>
            </w:r>
          </w:p>
        </w:tc>
        <w:tc>
          <w:tcPr>
            <w:tcW w:w="1046" w:type="dxa"/>
            <w:tcBorders>
              <w:top w:val="nil"/>
              <w:left w:val="nil"/>
              <w:bottom w:val="nil"/>
              <w:right w:val="nil"/>
            </w:tcBorders>
            <w:shd w:val="clear" w:color="auto" w:fill="auto"/>
            <w:noWrap/>
            <w:vAlign w:val="center"/>
            <w:hideMark/>
          </w:tcPr>
          <w:p w14:paraId="57C34EEB"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2.16</w:t>
            </w:r>
          </w:p>
        </w:tc>
      </w:tr>
      <w:tr w:rsidR="006A37F5" w:rsidRPr="00E252FB" w14:paraId="64258671" w14:textId="77777777" w:rsidTr="006A37F5">
        <w:trPr>
          <w:trHeight w:val="312"/>
        </w:trPr>
        <w:tc>
          <w:tcPr>
            <w:tcW w:w="1340" w:type="dxa"/>
            <w:tcBorders>
              <w:top w:val="nil"/>
              <w:left w:val="nil"/>
              <w:bottom w:val="nil"/>
              <w:right w:val="nil"/>
            </w:tcBorders>
            <w:shd w:val="clear" w:color="auto" w:fill="auto"/>
            <w:noWrap/>
            <w:vAlign w:val="center"/>
            <w:hideMark/>
          </w:tcPr>
          <w:p w14:paraId="6D30F405"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GAM</w:t>
            </w:r>
          </w:p>
        </w:tc>
        <w:tc>
          <w:tcPr>
            <w:tcW w:w="2040" w:type="dxa"/>
            <w:vMerge/>
            <w:tcBorders>
              <w:top w:val="nil"/>
              <w:left w:val="nil"/>
              <w:bottom w:val="single" w:sz="4" w:space="0" w:color="000000"/>
              <w:right w:val="nil"/>
            </w:tcBorders>
            <w:vAlign w:val="center"/>
            <w:hideMark/>
          </w:tcPr>
          <w:p w14:paraId="0A0E6286" w14:textId="77777777" w:rsidR="006A37F5" w:rsidRPr="00E252FB"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64E66826"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0.44</w:t>
            </w:r>
          </w:p>
        </w:tc>
        <w:tc>
          <w:tcPr>
            <w:tcW w:w="1046" w:type="dxa"/>
            <w:tcBorders>
              <w:top w:val="nil"/>
              <w:left w:val="nil"/>
              <w:bottom w:val="nil"/>
              <w:right w:val="nil"/>
            </w:tcBorders>
            <w:shd w:val="clear" w:color="auto" w:fill="auto"/>
            <w:noWrap/>
            <w:vAlign w:val="center"/>
            <w:hideMark/>
          </w:tcPr>
          <w:p w14:paraId="76365FDB"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2.04</w:t>
            </w:r>
          </w:p>
        </w:tc>
        <w:tc>
          <w:tcPr>
            <w:tcW w:w="260" w:type="dxa"/>
            <w:tcBorders>
              <w:top w:val="nil"/>
              <w:left w:val="nil"/>
              <w:bottom w:val="nil"/>
              <w:right w:val="nil"/>
            </w:tcBorders>
            <w:shd w:val="clear" w:color="auto" w:fill="auto"/>
            <w:noWrap/>
            <w:vAlign w:val="center"/>
            <w:hideMark/>
          </w:tcPr>
          <w:p w14:paraId="1F083D89"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1A2D76AE"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0.39</w:t>
            </w:r>
          </w:p>
        </w:tc>
        <w:tc>
          <w:tcPr>
            <w:tcW w:w="1046" w:type="dxa"/>
            <w:tcBorders>
              <w:top w:val="nil"/>
              <w:left w:val="nil"/>
              <w:bottom w:val="nil"/>
              <w:right w:val="nil"/>
            </w:tcBorders>
            <w:shd w:val="clear" w:color="auto" w:fill="auto"/>
            <w:noWrap/>
            <w:vAlign w:val="center"/>
            <w:hideMark/>
          </w:tcPr>
          <w:p w14:paraId="5D2EB6BE"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2.08</w:t>
            </w:r>
          </w:p>
        </w:tc>
      </w:tr>
      <w:tr w:rsidR="006A37F5" w:rsidRPr="00E252FB" w14:paraId="6928BD2F" w14:textId="77777777" w:rsidTr="006A37F5">
        <w:trPr>
          <w:trHeight w:val="312"/>
        </w:trPr>
        <w:tc>
          <w:tcPr>
            <w:tcW w:w="1340" w:type="dxa"/>
            <w:tcBorders>
              <w:top w:val="nil"/>
              <w:left w:val="nil"/>
              <w:bottom w:val="nil"/>
              <w:right w:val="nil"/>
            </w:tcBorders>
            <w:shd w:val="clear" w:color="auto" w:fill="auto"/>
            <w:noWrap/>
            <w:vAlign w:val="center"/>
            <w:hideMark/>
          </w:tcPr>
          <w:p w14:paraId="0EA37AB7"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RF</w:t>
            </w:r>
          </w:p>
        </w:tc>
        <w:tc>
          <w:tcPr>
            <w:tcW w:w="2040" w:type="dxa"/>
            <w:vMerge/>
            <w:tcBorders>
              <w:top w:val="nil"/>
              <w:left w:val="nil"/>
              <w:bottom w:val="single" w:sz="4" w:space="0" w:color="000000"/>
              <w:right w:val="nil"/>
            </w:tcBorders>
            <w:vAlign w:val="center"/>
            <w:hideMark/>
          </w:tcPr>
          <w:p w14:paraId="30A773E8" w14:textId="77777777" w:rsidR="006A37F5" w:rsidRPr="00E252FB"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23165251"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0.59</w:t>
            </w:r>
          </w:p>
        </w:tc>
        <w:tc>
          <w:tcPr>
            <w:tcW w:w="1046" w:type="dxa"/>
            <w:tcBorders>
              <w:top w:val="nil"/>
              <w:left w:val="nil"/>
              <w:bottom w:val="nil"/>
              <w:right w:val="nil"/>
            </w:tcBorders>
            <w:shd w:val="clear" w:color="auto" w:fill="auto"/>
            <w:noWrap/>
            <w:vAlign w:val="center"/>
            <w:hideMark/>
          </w:tcPr>
          <w:p w14:paraId="2A60A865"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1.75</w:t>
            </w:r>
          </w:p>
        </w:tc>
        <w:tc>
          <w:tcPr>
            <w:tcW w:w="260" w:type="dxa"/>
            <w:tcBorders>
              <w:top w:val="nil"/>
              <w:left w:val="nil"/>
              <w:bottom w:val="nil"/>
              <w:right w:val="nil"/>
            </w:tcBorders>
            <w:shd w:val="clear" w:color="auto" w:fill="auto"/>
            <w:noWrap/>
            <w:vAlign w:val="center"/>
            <w:hideMark/>
          </w:tcPr>
          <w:p w14:paraId="592902A8"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1557CA50"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0.57</w:t>
            </w:r>
          </w:p>
        </w:tc>
        <w:tc>
          <w:tcPr>
            <w:tcW w:w="1046" w:type="dxa"/>
            <w:tcBorders>
              <w:top w:val="nil"/>
              <w:left w:val="nil"/>
              <w:bottom w:val="nil"/>
              <w:right w:val="nil"/>
            </w:tcBorders>
            <w:shd w:val="clear" w:color="auto" w:fill="auto"/>
            <w:noWrap/>
            <w:vAlign w:val="center"/>
            <w:hideMark/>
          </w:tcPr>
          <w:p w14:paraId="63F92C63" w14:textId="77777777" w:rsidR="006A37F5" w:rsidRPr="00E252FB"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E252FB">
              <w:rPr>
                <w:rFonts w:ascii="Calibri" w:eastAsia="Times New Roman" w:hAnsi="Calibri" w:cs="Calibri"/>
                <w:b/>
                <w:bCs/>
                <w:color w:val="000000"/>
                <w:kern w:val="0"/>
                <w:szCs w:val="24"/>
                <w:lang w:eastAsia="fr-FR"/>
                <w14:ligatures w14:val="none"/>
              </w:rPr>
              <w:t>1.77</w:t>
            </w:r>
          </w:p>
        </w:tc>
      </w:tr>
      <w:tr w:rsidR="006A37F5" w:rsidRPr="00E252FB" w14:paraId="2262E214" w14:textId="77777777" w:rsidTr="006A37F5">
        <w:trPr>
          <w:trHeight w:val="312"/>
        </w:trPr>
        <w:tc>
          <w:tcPr>
            <w:tcW w:w="1340" w:type="dxa"/>
            <w:tcBorders>
              <w:top w:val="nil"/>
              <w:left w:val="nil"/>
              <w:bottom w:val="nil"/>
              <w:right w:val="nil"/>
            </w:tcBorders>
            <w:shd w:val="clear" w:color="auto" w:fill="auto"/>
            <w:noWrap/>
            <w:vAlign w:val="center"/>
            <w:hideMark/>
          </w:tcPr>
          <w:p w14:paraId="5AEEB181"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GBM</w:t>
            </w:r>
          </w:p>
        </w:tc>
        <w:tc>
          <w:tcPr>
            <w:tcW w:w="2040" w:type="dxa"/>
            <w:vMerge/>
            <w:tcBorders>
              <w:top w:val="nil"/>
              <w:left w:val="nil"/>
              <w:bottom w:val="single" w:sz="4" w:space="0" w:color="000000"/>
              <w:right w:val="nil"/>
            </w:tcBorders>
            <w:vAlign w:val="center"/>
            <w:hideMark/>
          </w:tcPr>
          <w:p w14:paraId="121C7E41" w14:textId="77777777" w:rsidR="006A37F5" w:rsidRPr="00E252FB"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6A2435AA"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0.59</w:t>
            </w:r>
          </w:p>
        </w:tc>
        <w:tc>
          <w:tcPr>
            <w:tcW w:w="1046" w:type="dxa"/>
            <w:tcBorders>
              <w:top w:val="nil"/>
              <w:left w:val="nil"/>
              <w:bottom w:val="nil"/>
              <w:right w:val="nil"/>
            </w:tcBorders>
            <w:shd w:val="clear" w:color="auto" w:fill="auto"/>
            <w:noWrap/>
            <w:vAlign w:val="center"/>
            <w:hideMark/>
          </w:tcPr>
          <w:p w14:paraId="0A2BA17D"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1.75</w:t>
            </w:r>
          </w:p>
        </w:tc>
        <w:tc>
          <w:tcPr>
            <w:tcW w:w="260" w:type="dxa"/>
            <w:tcBorders>
              <w:top w:val="nil"/>
              <w:left w:val="nil"/>
              <w:bottom w:val="nil"/>
              <w:right w:val="nil"/>
            </w:tcBorders>
            <w:shd w:val="clear" w:color="auto" w:fill="auto"/>
            <w:noWrap/>
            <w:vAlign w:val="center"/>
            <w:hideMark/>
          </w:tcPr>
          <w:p w14:paraId="46DEED02"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71375332"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0.55</w:t>
            </w:r>
          </w:p>
        </w:tc>
        <w:tc>
          <w:tcPr>
            <w:tcW w:w="1046" w:type="dxa"/>
            <w:tcBorders>
              <w:top w:val="nil"/>
              <w:left w:val="nil"/>
              <w:bottom w:val="nil"/>
              <w:right w:val="nil"/>
            </w:tcBorders>
            <w:shd w:val="clear" w:color="auto" w:fill="auto"/>
            <w:noWrap/>
            <w:vAlign w:val="center"/>
            <w:hideMark/>
          </w:tcPr>
          <w:p w14:paraId="727F8D76"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1.80</w:t>
            </w:r>
          </w:p>
        </w:tc>
      </w:tr>
      <w:tr w:rsidR="006A37F5" w:rsidRPr="00E252FB" w14:paraId="0C57C4D8" w14:textId="77777777" w:rsidTr="006A37F5">
        <w:trPr>
          <w:trHeight w:val="312"/>
        </w:trPr>
        <w:tc>
          <w:tcPr>
            <w:tcW w:w="1340" w:type="dxa"/>
            <w:tcBorders>
              <w:top w:val="nil"/>
              <w:left w:val="nil"/>
              <w:bottom w:val="single" w:sz="4" w:space="0" w:color="auto"/>
              <w:right w:val="nil"/>
            </w:tcBorders>
            <w:shd w:val="clear" w:color="auto" w:fill="auto"/>
            <w:noWrap/>
            <w:vAlign w:val="center"/>
            <w:hideMark/>
          </w:tcPr>
          <w:p w14:paraId="4687D6A2"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ANN</w:t>
            </w:r>
          </w:p>
        </w:tc>
        <w:tc>
          <w:tcPr>
            <w:tcW w:w="2040" w:type="dxa"/>
            <w:vMerge/>
            <w:tcBorders>
              <w:top w:val="nil"/>
              <w:left w:val="nil"/>
              <w:bottom w:val="single" w:sz="4" w:space="0" w:color="000000"/>
              <w:right w:val="nil"/>
            </w:tcBorders>
            <w:vAlign w:val="center"/>
            <w:hideMark/>
          </w:tcPr>
          <w:p w14:paraId="6441D59F" w14:textId="77777777" w:rsidR="006A37F5" w:rsidRPr="00E252FB"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single" w:sz="4" w:space="0" w:color="auto"/>
              <w:right w:val="nil"/>
            </w:tcBorders>
            <w:shd w:val="clear" w:color="auto" w:fill="auto"/>
            <w:noWrap/>
            <w:vAlign w:val="center"/>
            <w:hideMark/>
          </w:tcPr>
          <w:p w14:paraId="4CAD2D9F"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0.40</w:t>
            </w:r>
          </w:p>
        </w:tc>
        <w:tc>
          <w:tcPr>
            <w:tcW w:w="1046" w:type="dxa"/>
            <w:tcBorders>
              <w:top w:val="nil"/>
              <w:left w:val="nil"/>
              <w:bottom w:val="single" w:sz="4" w:space="0" w:color="auto"/>
              <w:right w:val="nil"/>
            </w:tcBorders>
            <w:shd w:val="clear" w:color="auto" w:fill="auto"/>
            <w:noWrap/>
            <w:vAlign w:val="center"/>
            <w:hideMark/>
          </w:tcPr>
          <w:p w14:paraId="2ABC0614"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2.16</w:t>
            </w:r>
          </w:p>
        </w:tc>
        <w:tc>
          <w:tcPr>
            <w:tcW w:w="260" w:type="dxa"/>
            <w:tcBorders>
              <w:top w:val="nil"/>
              <w:left w:val="nil"/>
              <w:bottom w:val="single" w:sz="4" w:space="0" w:color="auto"/>
              <w:right w:val="nil"/>
            </w:tcBorders>
            <w:shd w:val="clear" w:color="auto" w:fill="auto"/>
            <w:noWrap/>
            <w:vAlign w:val="center"/>
            <w:hideMark/>
          </w:tcPr>
          <w:p w14:paraId="0A41F487"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 </w:t>
            </w:r>
          </w:p>
        </w:tc>
        <w:tc>
          <w:tcPr>
            <w:tcW w:w="794" w:type="dxa"/>
            <w:tcBorders>
              <w:top w:val="nil"/>
              <w:left w:val="nil"/>
              <w:bottom w:val="single" w:sz="4" w:space="0" w:color="auto"/>
              <w:right w:val="nil"/>
            </w:tcBorders>
            <w:shd w:val="clear" w:color="auto" w:fill="auto"/>
            <w:noWrap/>
            <w:vAlign w:val="center"/>
            <w:hideMark/>
          </w:tcPr>
          <w:p w14:paraId="1F4E888E"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0.38</w:t>
            </w:r>
          </w:p>
        </w:tc>
        <w:tc>
          <w:tcPr>
            <w:tcW w:w="1046" w:type="dxa"/>
            <w:tcBorders>
              <w:top w:val="nil"/>
              <w:left w:val="nil"/>
              <w:bottom w:val="single" w:sz="4" w:space="0" w:color="auto"/>
              <w:right w:val="nil"/>
            </w:tcBorders>
            <w:shd w:val="clear" w:color="auto" w:fill="auto"/>
            <w:noWrap/>
            <w:vAlign w:val="center"/>
            <w:hideMark/>
          </w:tcPr>
          <w:p w14:paraId="22D97B31" w14:textId="77777777" w:rsidR="006A37F5" w:rsidRPr="00E252FB"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E252FB">
              <w:rPr>
                <w:rFonts w:ascii="Calibri" w:eastAsia="Times New Roman" w:hAnsi="Calibri" w:cs="Calibri"/>
                <w:color w:val="000000"/>
                <w:kern w:val="0"/>
                <w:szCs w:val="24"/>
                <w:lang w:eastAsia="fr-FR"/>
                <w14:ligatures w14:val="none"/>
              </w:rPr>
              <w:t>2.16</w:t>
            </w:r>
          </w:p>
        </w:tc>
      </w:tr>
    </w:tbl>
    <w:p w14:paraId="7E4F66C2" w14:textId="77777777" w:rsidR="00701B38" w:rsidRPr="00E252FB" w:rsidRDefault="00701B38" w:rsidP="00812890">
      <w:pPr>
        <w:rPr>
          <w:rFonts w:cs="Times New Roman"/>
        </w:rPr>
        <w:sectPr w:rsidR="00701B38" w:rsidRPr="00E252FB" w:rsidSect="00537360">
          <w:pgSz w:w="12240" w:h="15840"/>
          <w:pgMar w:top="1417" w:right="1417" w:bottom="1417" w:left="1417" w:header="720" w:footer="720" w:gutter="0"/>
          <w:cols w:space="720"/>
          <w:titlePg/>
          <w:docGrid w:linePitch="360"/>
        </w:sectPr>
      </w:pPr>
    </w:p>
    <w:p w14:paraId="0A96A0DA" w14:textId="77777777" w:rsidR="00701B38" w:rsidRPr="00E252FB" w:rsidRDefault="00701B38" w:rsidP="0037320E">
      <w:pPr>
        <w:rPr>
          <w:rFonts w:cs="Times New Roman"/>
          <w:b/>
          <w:bCs/>
          <w:szCs w:val="24"/>
        </w:rPr>
        <w:sectPr w:rsidR="00701B38" w:rsidRPr="00E252FB" w:rsidSect="00537360">
          <w:pgSz w:w="12240" w:h="15840"/>
          <w:pgMar w:top="1417" w:right="1417" w:bottom="1417" w:left="1417" w:header="720" w:footer="720" w:gutter="0"/>
          <w:cols w:space="720"/>
          <w:titlePg/>
          <w:docGrid w:linePitch="360"/>
        </w:sectPr>
      </w:pPr>
    </w:p>
    <w:p w14:paraId="3B2821B1" w14:textId="5F5C178F" w:rsidR="00231FBC" w:rsidRPr="005E32AC" w:rsidRDefault="00231FBC">
      <w:pPr>
        <w:rPr>
          <w:rFonts w:cs="Times New Roman"/>
          <w:i/>
          <w:iCs/>
        </w:rPr>
      </w:pPr>
    </w:p>
    <w:sectPr w:rsidR="00231FBC" w:rsidRPr="005E32AC" w:rsidSect="00537360">
      <w:pgSz w:w="12240" w:h="15840"/>
      <w:pgMar w:top="1417" w:right="1417" w:bottom="1417" w:left="141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08BDA9" w14:textId="77777777" w:rsidR="0092333E" w:rsidRPr="00E252FB" w:rsidRDefault="0092333E" w:rsidP="0075626B">
      <w:pPr>
        <w:spacing w:after="0" w:line="240" w:lineRule="auto"/>
      </w:pPr>
      <w:r w:rsidRPr="00E252FB">
        <w:separator/>
      </w:r>
    </w:p>
  </w:endnote>
  <w:endnote w:type="continuationSeparator" w:id="0">
    <w:p w14:paraId="3A5DF51A" w14:textId="77777777" w:rsidR="0092333E" w:rsidRPr="00E252FB" w:rsidRDefault="0092333E" w:rsidP="0075626B">
      <w:pPr>
        <w:spacing w:after="0" w:line="240" w:lineRule="auto"/>
      </w:pPr>
      <w:r w:rsidRPr="00E252FB">
        <w:continuationSeparator/>
      </w:r>
    </w:p>
  </w:endnote>
  <w:endnote w:type="continuationNotice" w:id="1">
    <w:p w14:paraId="654DCECF" w14:textId="77777777" w:rsidR="0092333E" w:rsidRPr="00E252FB" w:rsidRDefault="009233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4521258"/>
      <w:docPartObj>
        <w:docPartGallery w:val="Page Numbers (Bottom of Page)"/>
        <w:docPartUnique/>
      </w:docPartObj>
    </w:sdtPr>
    <w:sdtEndPr/>
    <w:sdtContent>
      <w:p w14:paraId="5E0AE170" w14:textId="5F60A1C8" w:rsidR="00F9097C" w:rsidRPr="00E252FB" w:rsidRDefault="00F9097C">
        <w:pPr>
          <w:pStyle w:val="Footer"/>
          <w:jc w:val="right"/>
        </w:pPr>
        <w:r w:rsidRPr="00E252FB">
          <w:fldChar w:fldCharType="begin"/>
        </w:r>
        <w:r w:rsidRPr="00E252FB">
          <w:instrText>PAGE   \* MERGEFORMAT</w:instrText>
        </w:r>
        <w:r w:rsidRPr="00E252FB">
          <w:fldChar w:fldCharType="separate"/>
        </w:r>
        <w:r w:rsidRPr="00E252FB">
          <w:t>2</w:t>
        </w:r>
        <w:r w:rsidRPr="00E252FB">
          <w:fldChar w:fldCharType="end"/>
        </w:r>
      </w:p>
    </w:sdtContent>
  </w:sdt>
  <w:p w14:paraId="67A31A33" w14:textId="77777777" w:rsidR="00F9097C" w:rsidRPr="00E252FB" w:rsidRDefault="00F909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5239358"/>
      <w:docPartObj>
        <w:docPartGallery w:val="Page Numbers (Bottom of Page)"/>
        <w:docPartUnique/>
      </w:docPartObj>
    </w:sdtPr>
    <w:sdtEndPr/>
    <w:sdtContent>
      <w:p w14:paraId="1D02DB33" w14:textId="6A8437D0" w:rsidR="00F9097C" w:rsidRPr="00E252FB" w:rsidRDefault="00F9097C">
        <w:pPr>
          <w:pStyle w:val="Footer"/>
          <w:jc w:val="right"/>
        </w:pPr>
        <w:r w:rsidRPr="00E252FB">
          <w:fldChar w:fldCharType="begin"/>
        </w:r>
        <w:r w:rsidRPr="00E252FB">
          <w:instrText>PAGE   \* MERGEFORMAT</w:instrText>
        </w:r>
        <w:r w:rsidRPr="00E252FB">
          <w:fldChar w:fldCharType="separate"/>
        </w:r>
        <w:r w:rsidRPr="00E252FB">
          <w:t>2</w:t>
        </w:r>
        <w:r w:rsidRPr="00E252FB">
          <w:fldChar w:fldCharType="end"/>
        </w:r>
      </w:p>
    </w:sdtContent>
  </w:sdt>
  <w:p w14:paraId="7EC47A23" w14:textId="77777777" w:rsidR="00F9097C" w:rsidRPr="00E252FB" w:rsidRDefault="00F909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0868966"/>
      <w:docPartObj>
        <w:docPartGallery w:val="Page Numbers (Bottom of Page)"/>
        <w:docPartUnique/>
      </w:docPartObj>
    </w:sdtPr>
    <w:sdtEndPr/>
    <w:sdtContent>
      <w:p w14:paraId="1F9F6267" w14:textId="69B7AEFB" w:rsidR="00F9097C" w:rsidRPr="00E252FB" w:rsidRDefault="00F9097C">
        <w:pPr>
          <w:pStyle w:val="Footer"/>
          <w:jc w:val="right"/>
        </w:pPr>
        <w:r w:rsidRPr="00E252FB">
          <w:fldChar w:fldCharType="begin"/>
        </w:r>
        <w:r w:rsidRPr="00E252FB">
          <w:instrText>PAGE   \* MERGEFORMAT</w:instrText>
        </w:r>
        <w:r w:rsidRPr="00E252FB">
          <w:fldChar w:fldCharType="separate"/>
        </w:r>
        <w:r w:rsidRPr="00E252FB">
          <w:t>2</w:t>
        </w:r>
        <w:r w:rsidRPr="00E252FB">
          <w:fldChar w:fldCharType="end"/>
        </w:r>
      </w:p>
    </w:sdtContent>
  </w:sdt>
  <w:p w14:paraId="07E19F60" w14:textId="77777777" w:rsidR="00F9097C" w:rsidRPr="00E252FB" w:rsidRDefault="00F90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4A7053" w14:textId="77777777" w:rsidR="0092333E" w:rsidRPr="00E252FB" w:rsidRDefault="0092333E" w:rsidP="0075626B">
      <w:pPr>
        <w:spacing w:after="0" w:line="240" w:lineRule="auto"/>
      </w:pPr>
      <w:r w:rsidRPr="00E252FB">
        <w:separator/>
      </w:r>
    </w:p>
  </w:footnote>
  <w:footnote w:type="continuationSeparator" w:id="0">
    <w:p w14:paraId="65C6E410" w14:textId="77777777" w:rsidR="0092333E" w:rsidRPr="00E252FB" w:rsidRDefault="0092333E" w:rsidP="0075626B">
      <w:pPr>
        <w:spacing w:after="0" w:line="240" w:lineRule="auto"/>
      </w:pPr>
      <w:r w:rsidRPr="00E252FB">
        <w:continuationSeparator/>
      </w:r>
    </w:p>
  </w:footnote>
  <w:footnote w:type="continuationNotice" w:id="1">
    <w:p w14:paraId="13636758" w14:textId="77777777" w:rsidR="0092333E" w:rsidRPr="00E252FB" w:rsidRDefault="0092333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B2F6C"/>
    <w:multiLevelType w:val="hybridMultilevel"/>
    <w:tmpl w:val="FFFFFFFF"/>
    <w:lvl w:ilvl="0" w:tplc="11CE71B8">
      <w:start w:val="1"/>
      <w:numFmt w:val="decimal"/>
      <w:lvlText w:val="%1)"/>
      <w:lvlJc w:val="left"/>
      <w:pPr>
        <w:ind w:left="720" w:hanging="360"/>
      </w:pPr>
    </w:lvl>
    <w:lvl w:ilvl="1" w:tplc="2E7CC8C6">
      <w:start w:val="1"/>
      <w:numFmt w:val="lowerLetter"/>
      <w:lvlText w:val="%2."/>
      <w:lvlJc w:val="left"/>
      <w:pPr>
        <w:ind w:left="1440" w:hanging="360"/>
      </w:pPr>
    </w:lvl>
    <w:lvl w:ilvl="2" w:tplc="F716AEFA">
      <w:start w:val="1"/>
      <w:numFmt w:val="lowerRoman"/>
      <w:lvlText w:val="%3."/>
      <w:lvlJc w:val="right"/>
      <w:pPr>
        <w:ind w:left="2160" w:hanging="180"/>
      </w:pPr>
    </w:lvl>
    <w:lvl w:ilvl="3" w:tplc="1D06C984">
      <w:start w:val="1"/>
      <w:numFmt w:val="decimal"/>
      <w:lvlText w:val="%4."/>
      <w:lvlJc w:val="left"/>
      <w:pPr>
        <w:ind w:left="2880" w:hanging="360"/>
      </w:pPr>
    </w:lvl>
    <w:lvl w:ilvl="4" w:tplc="552E335C">
      <w:start w:val="1"/>
      <w:numFmt w:val="lowerLetter"/>
      <w:lvlText w:val="%5."/>
      <w:lvlJc w:val="left"/>
      <w:pPr>
        <w:ind w:left="3600" w:hanging="360"/>
      </w:pPr>
    </w:lvl>
    <w:lvl w:ilvl="5" w:tplc="CF70801A">
      <w:start w:val="1"/>
      <w:numFmt w:val="lowerRoman"/>
      <w:lvlText w:val="%6."/>
      <w:lvlJc w:val="right"/>
      <w:pPr>
        <w:ind w:left="4320" w:hanging="180"/>
      </w:pPr>
    </w:lvl>
    <w:lvl w:ilvl="6" w:tplc="F2C0778A">
      <w:start w:val="1"/>
      <w:numFmt w:val="decimal"/>
      <w:lvlText w:val="%7."/>
      <w:lvlJc w:val="left"/>
      <w:pPr>
        <w:ind w:left="5040" w:hanging="360"/>
      </w:pPr>
    </w:lvl>
    <w:lvl w:ilvl="7" w:tplc="4792195C">
      <w:start w:val="1"/>
      <w:numFmt w:val="lowerLetter"/>
      <w:lvlText w:val="%8."/>
      <w:lvlJc w:val="left"/>
      <w:pPr>
        <w:ind w:left="5760" w:hanging="360"/>
      </w:pPr>
    </w:lvl>
    <w:lvl w:ilvl="8" w:tplc="3F3E8586">
      <w:start w:val="1"/>
      <w:numFmt w:val="lowerRoman"/>
      <w:lvlText w:val="%9."/>
      <w:lvlJc w:val="right"/>
      <w:pPr>
        <w:ind w:left="6480" w:hanging="180"/>
      </w:pPr>
    </w:lvl>
  </w:abstractNum>
  <w:abstractNum w:abstractNumId="1" w15:restartNumberingAfterBreak="0">
    <w:nsid w:val="02D56025"/>
    <w:multiLevelType w:val="multilevel"/>
    <w:tmpl w:val="890C2E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4770693"/>
    <w:multiLevelType w:val="multilevel"/>
    <w:tmpl w:val="E786C67C"/>
    <w:lvl w:ilvl="0">
      <w:start w:val="2"/>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07527D05"/>
    <w:multiLevelType w:val="hybridMultilevel"/>
    <w:tmpl w:val="3CBAF842"/>
    <w:lvl w:ilvl="0" w:tplc="BEAA333E">
      <w:numFmt w:val="bullet"/>
      <w:lvlText w:val=""/>
      <w:lvlJc w:val="left"/>
      <w:pPr>
        <w:ind w:left="1440" w:hanging="360"/>
      </w:pPr>
      <w:rPr>
        <w:rFonts w:ascii="Wingdings" w:eastAsia="Times New Roman" w:hAnsi="Wingdings" w:cstheme="minorHAnsi"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B652C3"/>
    <w:multiLevelType w:val="hybridMultilevel"/>
    <w:tmpl w:val="AE6CE832"/>
    <w:lvl w:ilvl="0" w:tplc="F4562AE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C931B7"/>
    <w:multiLevelType w:val="hybridMultilevel"/>
    <w:tmpl w:val="F99C8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B5374"/>
    <w:multiLevelType w:val="multilevel"/>
    <w:tmpl w:val="4C328E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CD3550"/>
    <w:multiLevelType w:val="hybridMultilevel"/>
    <w:tmpl w:val="49AA90B2"/>
    <w:lvl w:ilvl="0" w:tplc="F4562AE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2376FA"/>
    <w:multiLevelType w:val="hybridMultilevel"/>
    <w:tmpl w:val="2EF85C56"/>
    <w:lvl w:ilvl="0" w:tplc="F4562AE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FB2BB2"/>
    <w:multiLevelType w:val="hybridMultilevel"/>
    <w:tmpl w:val="4892601C"/>
    <w:lvl w:ilvl="0" w:tplc="9B06BBE8">
      <w:start w:val="1"/>
      <w:numFmt w:val="decimal"/>
      <w:lvlText w:val="%1."/>
      <w:lvlJc w:val="left"/>
      <w:pPr>
        <w:ind w:left="720" w:hanging="360"/>
      </w:pPr>
    </w:lvl>
    <w:lvl w:ilvl="1" w:tplc="6A640FA6">
      <w:start w:val="1"/>
      <w:numFmt w:val="lowerLetter"/>
      <w:lvlText w:val="%2."/>
      <w:lvlJc w:val="left"/>
      <w:pPr>
        <w:ind w:left="1440" w:hanging="360"/>
      </w:pPr>
    </w:lvl>
    <w:lvl w:ilvl="2" w:tplc="B586771C">
      <w:start w:val="1"/>
      <w:numFmt w:val="lowerRoman"/>
      <w:lvlText w:val="%3."/>
      <w:lvlJc w:val="right"/>
      <w:pPr>
        <w:ind w:left="2160" w:hanging="180"/>
      </w:pPr>
    </w:lvl>
    <w:lvl w:ilvl="3" w:tplc="D370F6C4">
      <w:start w:val="1"/>
      <w:numFmt w:val="decimal"/>
      <w:lvlText w:val="%4."/>
      <w:lvlJc w:val="left"/>
      <w:pPr>
        <w:ind w:left="2880" w:hanging="360"/>
      </w:pPr>
    </w:lvl>
    <w:lvl w:ilvl="4" w:tplc="857206AE">
      <w:start w:val="1"/>
      <w:numFmt w:val="lowerLetter"/>
      <w:lvlText w:val="%5."/>
      <w:lvlJc w:val="left"/>
      <w:pPr>
        <w:ind w:left="3600" w:hanging="360"/>
      </w:pPr>
    </w:lvl>
    <w:lvl w:ilvl="5" w:tplc="949A535E">
      <w:start w:val="1"/>
      <w:numFmt w:val="lowerRoman"/>
      <w:lvlText w:val="%6."/>
      <w:lvlJc w:val="right"/>
      <w:pPr>
        <w:ind w:left="4320" w:hanging="180"/>
      </w:pPr>
    </w:lvl>
    <w:lvl w:ilvl="6" w:tplc="939EB43A">
      <w:start w:val="1"/>
      <w:numFmt w:val="decimal"/>
      <w:lvlText w:val="%7."/>
      <w:lvlJc w:val="left"/>
      <w:pPr>
        <w:ind w:left="5040" w:hanging="360"/>
      </w:pPr>
    </w:lvl>
    <w:lvl w:ilvl="7" w:tplc="AFBA1862">
      <w:start w:val="1"/>
      <w:numFmt w:val="lowerLetter"/>
      <w:lvlText w:val="%8."/>
      <w:lvlJc w:val="left"/>
      <w:pPr>
        <w:ind w:left="5760" w:hanging="360"/>
      </w:pPr>
    </w:lvl>
    <w:lvl w:ilvl="8" w:tplc="BF62C34C">
      <w:start w:val="1"/>
      <w:numFmt w:val="lowerRoman"/>
      <w:lvlText w:val="%9."/>
      <w:lvlJc w:val="right"/>
      <w:pPr>
        <w:ind w:left="6480" w:hanging="180"/>
      </w:pPr>
    </w:lvl>
  </w:abstractNum>
  <w:abstractNum w:abstractNumId="10" w15:restartNumberingAfterBreak="0">
    <w:nsid w:val="40194296"/>
    <w:multiLevelType w:val="hybridMultilevel"/>
    <w:tmpl w:val="48C04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B00782"/>
    <w:multiLevelType w:val="hybridMultilevel"/>
    <w:tmpl w:val="FFFFFFFF"/>
    <w:lvl w:ilvl="0" w:tplc="4A8C6994">
      <w:start w:val="1"/>
      <w:numFmt w:val="decimal"/>
      <w:lvlText w:val="%1."/>
      <w:lvlJc w:val="left"/>
      <w:pPr>
        <w:ind w:left="720" w:hanging="360"/>
      </w:pPr>
    </w:lvl>
    <w:lvl w:ilvl="1" w:tplc="C7F46E74">
      <w:start w:val="1"/>
      <w:numFmt w:val="lowerLetter"/>
      <w:lvlText w:val="%2."/>
      <w:lvlJc w:val="left"/>
      <w:pPr>
        <w:ind w:left="1440" w:hanging="360"/>
      </w:pPr>
    </w:lvl>
    <w:lvl w:ilvl="2" w:tplc="F6F4AAAC">
      <w:start w:val="1"/>
      <w:numFmt w:val="lowerRoman"/>
      <w:lvlText w:val="%3."/>
      <w:lvlJc w:val="right"/>
      <w:pPr>
        <w:ind w:left="2160" w:hanging="180"/>
      </w:pPr>
    </w:lvl>
    <w:lvl w:ilvl="3" w:tplc="11CE722A">
      <w:start w:val="1"/>
      <w:numFmt w:val="decimal"/>
      <w:lvlText w:val="%4."/>
      <w:lvlJc w:val="left"/>
      <w:pPr>
        <w:ind w:left="2880" w:hanging="360"/>
      </w:pPr>
    </w:lvl>
    <w:lvl w:ilvl="4" w:tplc="230AB304">
      <w:start w:val="1"/>
      <w:numFmt w:val="lowerLetter"/>
      <w:lvlText w:val="%5."/>
      <w:lvlJc w:val="left"/>
      <w:pPr>
        <w:ind w:left="3600" w:hanging="360"/>
      </w:pPr>
    </w:lvl>
    <w:lvl w:ilvl="5" w:tplc="2BF48D16">
      <w:start w:val="1"/>
      <w:numFmt w:val="lowerRoman"/>
      <w:lvlText w:val="%6."/>
      <w:lvlJc w:val="right"/>
      <w:pPr>
        <w:ind w:left="4320" w:hanging="180"/>
      </w:pPr>
    </w:lvl>
    <w:lvl w:ilvl="6" w:tplc="FE0E1164">
      <w:start w:val="1"/>
      <w:numFmt w:val="decimal"/>
      <w:lvlText w:val="%7."/>
      <w:lvlJc w:val="left"/>
      <w:pPr>
        <w:ind w:left="5040" w:hanging="360"/>
      </w:pPr>
    </w:lvl>
    <w:lvl w:ilvl="7" w:tplc="B0F8B262">
      <w:start w:val="1"/>
      <w:numFmt w:val="lowerLetter"/>
      <w:lvlText w:val="%8."/>
      <w:lvlJc w:val="left"/>
      <w:pPr>
        <w:ind w:left="5760" w:hanging="360"/>
      </w:pPr>
    </w:lvl>
    <w:lvl w:ilvl="8" w:tplc="116CB980">
      <w:start w:val="1"/>
      <w:numFmt w:val="lowerRoman"/>
      <w:lvlText w:val="%9."/>
      <w:lvlJc w:val="right"/>
      <w:pPr>
        <w:ind w:left="6480" w:hanging="180"/>
      </w:pPr>
    </w:lvl>
  </w:abstractNum>
  <w:abstractNum w:abstractNumId="12" w15:restartNumberingAfterBreak="0">
    <w:nsid w:val="45D5E6EC"/>
    <w:multiLevelType w:val="hybridMultilevel"/>
    <w:tmpl w:val="FFFFFFFF"/>
    <w:lvl w:ilvl="0" w:tplc="8EA002A2">
      <w:start w:val="1"/>
      <w:numFmt w:val="decimal"/>
      <w:lvlText w:val="%1."/>
      <w:lvlJc w:val="left"/>
      <w:pPr>
        <w:ind w:left="720" w:hanging="360"/>
      </w:pPr>
    </w:lvl>
    <w:lvl w:ilvl="1" w:tplc="70FE3C4C">
      <w:start w:val="1"/>
      <w:numFmt w:val="lowerLetter"/>
      <w:lvlText w:val="%2."/>
      <w:lvlJc w:val="left"/>
      <w:pPr>
        <w:ind w:left="1440" w:hanging="360"/>
      </w:pPr>
    </w:lvl>
    <w:lvl w:ilvl="2" w:tplc="788E7B60">
      <w:start w:val="1"/>
      <w:numFmt w:val="lowerRoman"/>
      <w:lvlText w:val="%3."/>
      <w:lvlJc w:val="right"/>
      <w:pPr>
        <w:ind w:left="2160" w:hanging="180"/>
      </w:pPr>
    </w:lvl>
    <w:lvl w:ilvl="3" w:tplc="B9186E50">
      <w:start w:val="1"/>
      <w:numFmt w:val="decimal"/>
      <w:lvlText w:val="%4."/>
      <w:lvlJc w:val="left"/>
      <w:pPr>
        <w:ind w:left="2880" w:hanging="360"/>
      </w:pPr>
    </w:lvl>
    <w:lvl w:ilvl="4" w:tplc="51E67CCC">
      <w:start w:val="1"/>
      <w:numFmt w:val="lowerLetter"/>
      <w:lvlText w:val="%5."/>
      <w:lvlJc w:val="left"/>
      <w:pPr>
        <w:ind w:left="3600" w:hanging="360"/>
      </w:pPr>
    </w:lvl>
    <w:lvl w:ilvl="5" w:tplc="12C69C26">
      <w:start w:val="1"/>
      <w:numFmt w:val="lowerRoman"/>
      <w:lvlText w:val="%6."/>
      <w:lvlJc w:val="right"/>
      <w:pPr>
        <w:ind w:left="4320" w:hanging="180"/>
      </w:pPr>
    </w:lvl>
    <w:lvl w:ilvl="6" w:tplc="F48E7A90">
      <w:start w:val="1"/>
      <w:numFmt w:val="decimal"/>
      <w:lvlText w:val="%7."/>
      <w:lvlJc w:val="left"/>
      <w:pPr>
        <w:ind w:left="5040" w:hanging="360"/>
      </w:pPr>
    </w:lvl>
    <w:lvl w:ilvl="7" w:tplc="48901E4A">
      <w:start w:val="1"/>
      <w:numFmt w:val="lowerLetter"/>
      <w:lvlText w:val="%8."/>
      <w:lvlJc w:val="left"/>
      <w:pPr>
        <w:ind w:left="5760" w:hanging="360"/>
      </w:pPr>
    </w:lvl>
    <w:lvl w:ilvl="8" w:tplc="81B6BB30">
      <w:start w:val="1"/>
      <w:numFmt w:val="lowerRoman"/>
      <w:lvlText w:val="%9."/>
      <w:lvlJc w:val="right"/>
      <w:pPr>
        <w:ind w:left="6480" w:hanging="180"/>
      </w:pPr>
    </w:lvl>
  </w:abstractNum>
  <w:abstractNum w:abstractNumId="13" w15:restartNumberingAfterBreak="0">
    <w:nsid w:val="478278F6"/>
    <w:multiLevelType w:val="multilevel"/>
    <w:tmpl w:val="8B363B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F35EFB"/>
    <w:multiLevelType w:val="hybridMultilevel"/>
    <w:tmpl w:val="2A52E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6E3FDD"/>
    <w:multiLevelType w:val="hybridMultilevel"/>
    <w:tmpl w:val="5848265E"/>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DAC3820">
      <w:start w:val="19"/>
      <w:numFmt w:val="bullet"/>
      <w:lvlText w:val=""/>
      <w:lvlJc w:val="left"/>
      <w:pPr>
        <w:ind w:left="2160" w:hanging="360"/>
      </w:pPr>
      <w:rPr>
        <w:rFonts w:ascii="Wingdings" w:eastAsiaTheme="minorHAnsi" w:hAnsi="Wingdings" w:cstheme="minorHAns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28542C"/>
    <w:multiLevelType w:val="hybridMultilevel"/>
    <w:tmpl w:val="563E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291828"/>
    <w:multiLevelType w:val="multilevel"/>
    <w:tmpl w:val="518CDF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E172C43"/>
    <w:multiLevelType w:val="hybridMultilevel"/>
    <w:tmpl w:val="B246C688"/>
    <w:lvl w:ilvl="0" w:tplc="669833D4">
      <w:numFmt w:val="bullet"/>
      <w:lvlText w:val=""/>
      <w:lvlJc w:val="left"/>
      <w:pPr>
        <w:ind w:left="356" w:hanging="360"/>
      </w:pPr>
      <w:rPr>
        <w:rFonts w:ascii="Wingdings" w:eastAsia="Times New Roman" w:hAnsi="Wingdings" w:cstheme="minorHAnsi" w:hint="default"/>
        <w:color w:val="000000" w:themeColor="text1"/>
      </w:rPr>
    </w:lvl>
    <w:lvl w:ilvl="1" w:tplc="04090003" w:tentative="1">
      <w:start w:val="1"/>
      <w:numFmt w:val="bullet"/>
      <w:lvlText w:val="o"/>
      <w:lvlJc w:val="left"/>
      <w:pPr>
        <w:ind w:left="1076" w:hanging="360"/>
      </w:pPr>
      <w:rPr>
        <w:rFonts w:ascii="Courier New" w:hAnsi="Courier New" w:cs="Courier New" w:hint="default"/>
      </w:rPr>
    </w:lvl>
    <w:lvl w:ilvl="2" w:tplc="04090005" w:tentative="1">
      <w:start w:val="1"/>
      <w:numFmt w:val="bullet"/>
      <w:lvlText w:val=""/>
      <w:lvlJc w:val="left"/>
      <w:pPr>
        <w:ind w:left="1796" w:hanging="360"/>
      </w:pPr>
      <w:rPr>
        <w:rFonts w:ascii="Wingdings" w:hAnsi="Wingdings" w:hint="default"/>
      </w:rPr>
    </w:lvl>
    <w:lvl w:ilvl="3" w:tplc="04090001" w:tentative="1">
      <w:start w:val="1"/>
      <w:numFmt w:val="bullet"/>
      <w:lvlText w:val=""/>
      <w:lvlJc w:val="left"/>
      <w:pPr>
        <w:ind w:left="2516" w:hanging="360"/>
      </w:pPr>
      <w:rPr>
        <w:rFonts w:ascii="Symbol" w:hAnsi="Symbol" w:hint="default"/>
      </w:rPr>
    </w:lvl>
    <w:lvl w:ilvl="4" w:tplc="04090003" w:tentative="1">
      <w:start w:val="1"/>
      <w:numFmt w:val="bullet"/>
      <w:lvlText w:val="o"/>
      <w:lvlJc w:val="left"/>
      <w:pPr>
        <w:ind w:left="3236" w:hanging="360"/>
      </w:pPr>
      <w:rPr>
        <w:rFonts w:ascii="Courier New" w:hAnsi="Courier New" w:cs="Courier New" w:hint="default"/>
      </w:rPr>
    </w:lvl>
    <w:lvl w:ilvl="5" w:tplc="04090005" w:tentative="1">
      <w:start w:val="1"/>
      <w:numFmt w:val="bullet"/>
      <w:lvlText w:val=""/>
      <w:lvlJc w:val="left"/>
      <w:pPr>
        <w:ind w:left="3956" w:hanging="360"/>
      </w:pPr>
      <w:rPr>
        <w:rFonts w:ascii="Wingdings" w:hAnsi="Wingdings" w:hint="default"/>
      </w:rPr>
    </w:lvl>
    <w:lvl w:ilvl="6" w:tplc="04090001" w:tentative="1">
      <w:start w:val="1"/>
      <w:numFmt w:val="bullet"/>
      <w:lvlText w:val=""/>
      <w:lvlJc w:val="left"/>
      <w:pPr>
        <w:ind w:left="4676" w:hanging="360"/>
      </w:pPr>
      <w:rPr>
        <w:rFonts w:ascii="Symbol" w:hAnsi="Symbol" w:hint="default"/>
      </w:rPr>
    </w:lvl>
    <w:lvl w:ilvl="7" w:tplc="04090003" w:tentative="1">
      <w:start w:val="1"/>
      <w:numFmt w:val="bullet"/>
      <w:lvlText w:val="o"/>
      <w:lvlJc w:val="left"/>
      <w:pPr>
        <w:ind w:left="5396" w:hanging="360"/>
      </w:pPr>
      <w:rPr>
        <w:rFonts w:ascii="Courier New" w:hAnsi="Courier New" w:cs="Courier New" w:hint="default"/>
      </w:rPr>
    </w:lvl>
    <w:lvl w:ilvl="8" w:tplc="04090005" w:tentative="1">
      <w:start w:val="1"/>
      <w:numFmt w:val="bullet"/>
      <w:lvlText w:val=""/>
      <w:lvlJc w:val="left"/>
      <w:pPr>
        <w:ind w:left="6116" w:hanging="360"/>
      </w:pPr>
      <w:rPr>
        <w:rFonts w:ascii="Wingdings" w:hAnsi="Wingdings" w:hint="default"/>
      </w:rPr>
    </w:lvl>
  </w:abstractNum>
  <w:abstractNum w:abstractNumId="19" w15:restartNumberingAfterBreak="0">
    <w:nsid w:val="6F170B2A"/>
    <w:multiLevelType w:val="hybridMultilevel"/>
    <w:tmpl w:val="E444C9D6"/>
    <w:lvl w:ilvl="0" w:tplc="EF02B838">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E62788"/>
    <w:multiLevelType w:val="hybridMultilevel"/>
    <w:tmpl w:val="FFFFFFFF"/>
    <w:lvl w:ilvl="0" w:tplc="FFFFFFFF">
      <w:start w:val="1"/>
      <w:numFmt w:val="decimal"/>
      <w:lvlText w:val="%1."/>
      <w:lvlJc w:val="left"/>
      <w:pPr>
        <w:ind w:left="720" w:hanging="360"/>
      </w:pPr>
    </w:lvl>
    <w:lvl w:ilvl="1" w:tplc="16B09F9E">
      <w:start w:val="1"/>
      <w:numFmt w:val="lowerLetter"/>
      <w:lvlText w:val="%2."/>
      <w:lvlJc w:val="left"/>
      <w:pPr>
        <w:ind w:left="1440" w:hanging="360"/>
      </w:pPr>
    </w:lvl>
    <w:lvl w:ilvl="2" w:tplc="DADCB716">
      <w:start w:val="1"/>
      <w:numFmt w:val="lowerRoman"/>
      <w:lvlText w:val="%3."/>
      <w:lvlJc w:val="right"/>
      <w:pPr>
        <w:ind w:left="2160" w:hanging="180"/>
      </w:pPr>
    </w:lvl>
    <w:lvl w:ilvl="3" w:tplc="39365A74">
      <w:start w:val="1"/>
      <w:numFmt w:val="decimal"/>
      <w:lvlText w:val="%4."/>
      <w:lvlJc w:val="left"/>
      <w:pPr>
        <w:ind w:left="2880" w:hanging="360"/>
      </w:pPr>
    </w:lvl>
    <w:lvl w:ilvl="4" w:tplc="78ACCF58">
      <w:start w:val="1"/>
      <w:numFmt w:val="lowerLetter"/>
      <w:lvlText w:val="%5."/>
      <w:lvlJc w:val="left"/>
      <w:pPr>
        <w:ind w:left="3600" w:hanging="360"/>
      </w:pPr>
    </w:lvl>
    <w:lvl w:ilvl="5" w:tplc="E2021A5A">
      <w:start w:val="1"/>
      <w:numFmt w:val="lowerRoman"/>
      <w:lvlText w:val="%6."/>
      <w:lvlJc w:val="right"/>
      <w:pPr>
        <w:ind w:left="4320" w:hanging="180"/>
      </w:pPr>
    </w:lvl>
    <w:lvl w:ilvl="6" w:tplc="6998788C">
      <w:start w:val="1"/>
      <w:numFmt w:val="decimal"/>
      <w:lvlText w:val="%7."/>
      <w:lvlJc w:val="left"/>
      <w:pPr>
        <w:ind w:left="5040" w:hanging="360"/>
      </w:pPr>
    </w:lvl>
    <w:lvl w:ilvl="7" w:tplc="1A26AE60">
      <w:start w:val="1"/>
      <w:numFmt w:val="lowerLetter"/>
      <w:lvlText w:val="%8."/>
      <w:lvlJc w:val="left"/>
      <w:pPr>
        <w:ind w:left="5760" w:hanging="360"/>
      </w:pPr>
    </w:lvl>
    <w:lvl w:ilvl="8" w:tplc="3BDCC94A">
      <w:start w:val="1"/>
      <w:numFmt w:val="lowerRoman"/>
      <w:lvlText w:val="%9."/>
      <w:lvlJc w:val="right"/>
      <w:pPr>
        <w:ind w:left="6480" w:hanging="180"/>
      </w:pPr>
    </w:lvl>
  </w:abstractNum>
  <w:abstractNum w:abstractNumId="21" w15:restartNumberingAfterBreak="0">
    <w:nsid w:val="713C6BF1"/>
    <w:multiLevelType w:val="hybridMultilevel"/>
    <w:tmpl w:val="A3F22B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7550E3"/>
    <w:multiLevelType w:val="hybridMultilevel"/>
    <w:tmpl w:val="5E5699EA"/>
    <w:lvl w:ilvl="0" w:tplc="0710466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56393C"/>
    <w:multiLevelType w:val="hybridMultilevel"/>
    <w:tmpl w:val="0500445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F0E7D6A"/>
    <w:multiLevelType w:val="multilevel"/>
    <w:tmpl w:val="38EC3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6275554">
    <w:abstractNumId w:val="9"/>
  </w:num>
  <w:num w:numId="2" w16cid:durableId="682978443">
    <w:abstractNumId w:val="0"/>
  </w:num>
  <w:num w:numId="3" w16cid:durableId="189997388">
    <w:abstractNumId w:val="12"/>
  </w:num>
  <w:num w:numId="4" w16cid:durableId="988217526">
    <w:abstractNumId w:val="20"/>
  </w:num>
  <w:num w:numId="5" w16cid:durableId="1282151195">
    <w:abstractNumId w:val="11"/>
  </w:num>
  <w:num w:numId="6" w16cid:durableId="1544443852">
    <w:abstractNumId w:val="24"/>
  </w:num>
  <w:num w:numId="7" w16cid:durableId="860826385">
    <w:abstractNumId w:val="16"/>
  </w:num>
  <w:num w:numId="8" w16cid:durableId="185024348">
    <w:abstractNumId w:val="15"/>
  </w:num>
  <w:num w:numId="9" w16cid:durableId="1391078756">
    <w:abstractNumId w:val="10"/>
  </w:num>
  <w:num w:numId="10" w16cid:durableId="901216496">
    <w:abstractNumId w:val="14"/>
  </w:num>
  <w:num w:numId="11" w16cid:durableId="123043384">
    <w:abstractNumId w:val="5"/>
  </w:num>
  <w:num w:numId="12" w16cid:durableId="999845969">
    <w:abstractNumId w:val="21"/>
  </w:num>
  <w:num w:numId="13" w16cid:durableId="376588743">
    <w:abstractNumId w:val="18"/>
  </w:num>
  <w:num w:numId="14" w16cid:durableId="1052463877">
    <w:abstractNumId w:val="3"/>
  </w:num>
  <w:num w:numId="15" w16cid:durableId="1104111144">
    <w:abstractNumId w:val="22"/>
  </w:num>
  <w:num w:numId="16" w16cid:durableId="1389037488">
    <w:abstractNumId w:val="17"/>
  </w:num>
  <w:num w:numId="17" w16cid:durableId="279072660">
    <w:abstractNumId w:val="2"/>
  </w:num>
  <w:num w:numId="18" w16cid:durableId="1167401565">
    <w:abstractNumId w:val="1"/>
  </w:num>
  <w:num w:numId="19" w16cid:durableId="259408695">
    <w:abstractNumId w:val="6"/>
  </w:num>
  <w:num w:numId="20" w16cid:durableId="1037966339">
    <w:abstractNumId w:val="19"/>
  </w:num>
  <w:num w:numId="21" w16cid:durableId="122894717">
    <w:abstractNumId w:val="6"/>
    <w:lvlOverride w:ilvl="0">
      <w:startOverride w:val="1"/>
    </w:lvlOverride>
  </w:num>
  <w:num w:numId="22" w16cid:durableId="1539925163">
    <w:abstractNumId w:val="13"/>
  </w:num>
  <w:num w:numId="23" w16cid:durableId="9607672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18049835">
    <w:abstractNumId w:val="23"/>
  </w:num>
  <w:num w:numId="25" w16cid:durableId="1634168875">
    <w:abstractNumId w:val="7"/>
  </w:num>
  <w:num w:numId="26" w16cid:durableId="304550321">
    <w:abstractNumId w:val="8"/>
  </w:num>
  <w:num w:numId="27" w16cid:durableId="11301286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C33"/>
    <w:rsid w:val="00001824"/>
    <w:rsid w:val="0000187D"/>
    <w:rsid w:val="00002410"/>
    <w:rsid w:val="00003B29"/>
    <w:rsid w:val="00004B62"/>
    <w:rsid w:val="00004FB6"/>
    <w:rsid w:val="00006699"/>
    <w:rsid w:val="00007157"/>
    <w:rsid w:val="000077ED"/>
    <w:rsid w:val="00007CA3"/>
    <w:rsid w:val="000108C2"/>
    <w:rsid w:val="00010F57"/>
    <w:rsid w:val="00012A0C"/>
    <w:rsid w:val="000138EE"/>
    <w:rsid w:val="00013F03"/>
    <w:rsid w:val="00014902"/>
    <w:rsid w:val="000155FD"/>
    <w:rsid w:val="00015EF3"/>
    <w:rsid w:val="00016B1F"/>
    <w:rsid w:val="00016C8B"/>
    <w:rsid w:val="00017498"/>
    <w:rsid w:val="000174A7"/>
    <w:rsid w:val="000176D9"/>
    <w:rsid w:val="00017C26"/>
    <w:rsid w:val="00020087"/>
    <w:rsid w:val="000213E5"/>
    <w:rsid w:val="0002155E"/>
    <w:rsid w:val="000229BB"/>
    <w:rsid w:val="00025148"/>
    <w:rsid w:val="000251AD"/>
    <w:rsid w:val="0002641B"/>
    <w:rsid w:val="000265D2"/>
    <w:rsid w:val="00026646"/>
    <w:rsid w:val="00026FD6"/>
    <w:rsid w:val="00027F3D"/>
    <w:rsid w:val="00027F3E"/>
    <w:rsid w:val="00030339"/>
    <w:rsid w:val="00030A75"/>
    <w:rsid w:val="00031D27"/>
    <w:rsid w:val="00032138"/>
    <w:rsid w:val="00032421"/>
    <w:rsid w:val="0003368E"/>
    <w:rsid w:val="00034418"/>
    <w:rsid w:val="00034BB2"/>
    <w:rsid w:val="000351DD"/>
    <w:rsid w:val="00037114"/>
    <w:rsid w:val="00037192"/>
    <w:rsid w:val="00037CC8"/>
    <w:rsid w:val="0004191D"/>
    <w:rsid w:val="00041C2A"/>
    <w:rsid w:val="0004349B"/>
    <w:rsid w:val="000440AF"/>
    <w:rsid w:val="000443E1"/>
    <w:rsid w:val="00047CE6"/>
    <w:rsid w:val="000502D8"/>
    <w:rsid w:val="0005043A"/>
    <w:rsid w:val="00050973"/>
    <w:rsid w:val="000513C0"/>
    <w:rsid w:val="00051F5C"/>
    <w:rsid w:val="00052066"/>
    <w:rsid w:val="00052295"/>
    <w:rsid w:val="000533A0"/>
    <w:rsid w:val="00054B67"/>
    <w:rsid w:val="00055A47"/>
    <w:rsid w:val="00055E3C"/>
    <w:rsid w:val="00056587"/>
    <w:rsid w:val="00056D57"/>
    <w:rsid w:val="0005728F"/>
    <w:rsid w:val="00057429"/>
    <w:rsid w:val="0006033C"/>
    <w:rsid w:val="000609CC"/>
    <w:rsid w:val="000612A9"/>
    <w:rsid w:val="000620DB"/>
    <w:rsid w:val="000622D0"/>
    <w:rsid w:val="000629DB"/>
    <w:rsid w:val="00063175"/>
    <w:rsid w:val="00064238"/>
    <w:rsid w:val="00066BC8"/>
    <w:rsid w:val="00066EAF"/>
    <w:rsid w:val="00070335"/>
    <w:rsid w:val="000712DC"/>
    <w:rsid w:val="00071AB8"/>
    <w:rsid w:val="00071C7C"/>
    <w:rsid w:val="000724FF"/>
    <w:rsid w:val="000727D2"/>
    <w:rsid w:val="00073B68"/>
    <w:rsid w:val="00073E34"/>
    <w:rsid w:val="00075631"/>
    <w:rsid w:val="000759F2"/>
    <w:rsid w:val="000761B8"/>
    <w:rsid w:val="0007748E"/>
    <w:rsid w:val="00077A3A"/>
    <w:rsid w:val="00080C76"/>
    <w:rsid w:val="00081563"/>
    <w:rsid w:val="00081B23"/>
    <w:rsid w:val="00082771"/>
    <w:rsid w:val="00082950"/>
    <w:rsid w:val="00083226"/>
    <w:rsid w:val="00084EC6"/>
    <w:rsid w:val="000850FB"/>
    <w:rsid w:val="00085F33"/>
    <w:rsid w:val="00086535"/>
    <w:rsid w:val="00086C33"/>
    <w:rsid w:val="00086F5B"/>
    <w:rsid w:val="00087051"/>
    <w:rsid w:val="00090AEF"/>
    <w:rsid w:val="0009239A"/>
    <w:rsid w:val="0009263C"/>
    <w:rsid w:val="0009282A"/>
    <w:rsid w:val="00092D03"/>
    <w:rsid w:val="00092D53"/>
    <w:rsid w:val="000930F1"/>
    <w:rsid w:val="00093B9E"/>
    <w:rsid w:val="000953D4"/>
    <w:rsid w:val="00095F40"/>
    <w:rsid w:val="000974FE"/>
    <w:rsid w:val="00097E49"/>
    <w:rsid w:val="000A0DCB"/>
    <w:rsid w:val="000A3B00"/>
    <w:rsid w:val="000A3F95"/>
    <w:rsid w:val="000A6444"/>
    <w:rsid w:val="000A64C9"/>
    <w:rsid w:val="000A64FA"/>
    <w:rsid w:val="000A6802"/>
    <w:rsid w:val="000A6C92"/>
    <w:rsid w:val="000A7065"/>
    <w:rsid w:val="000B0D06"/>
    <w:rsid w:val="000B0E88"/>
    <w:rsid w:val="000B30E5"/>
    <w:rsid w:val="000B3960"/>
    <w:rsid w:val="000B488A"/>
    <w:rsid w:val="000B515B"/>
    <w:rsid w:val="000B52B0"/>
    <w:rsid w:val="000B54FE"/>
    <w:rsid w:val="000B5F03"/>
    <w:rsid w:val="000B62AA"/>
    <w:rsid w:val="000B63A3"/>
    <w:rsid w:val="000B6444"/>
    <w:rsid w:val="000B6AB8"/>
    <w:rsid w:val="000B6D10"/>
    <w:rsid w:val="000B6D79"/>
    <w:rsid w:val="000B7C11"/>
    <w:rsid w:val="000C090D"/>
    <w:rsid w:val="000C0C4F"/>
    <w:rsid w:val="000C2065"/>
    <w:rsid w:val="000C313A"/>
    <w:rsid w:val="000C3BD1"/>
    <w:rsid w:val="000C44B3"/>
    <w:rsid w:val="000C4B96"/>
    <w:rsid w:val="000C59C4"/>
    <w:rsid w:val="000C5A1C"/>
    <w:rsid w:val="000C6F6B"/>
    <w:rsid w:val="000C76CF"/>
    <w:rsid w:val="000D0461"/>
    <w:rsid w:val="000D1435"/>
    <w:rsid w:val="000D1774"/>
    <w:rsid w:val="000D17DC"/>
    <w:rsid w:val="000D33B5"/>
    <w:rsid w:val="000D3402"/>
    <w:rsid w:val="000D352D"/>
    <w:rsid w:val="000D3A42"/>
    <w:rsid w:val="000D3DFA"/>
    <w:rsid w:val="000D3E86"/>
    <w:rsid w:val="000D401F"/>
    <w:rsid w:val="000D65B5"/>
    <w:rsid w:val="000D6FC0"/>
    <w:rsid w:val="000D718F"/>
    <w:rsid w:val="000D7936"/>
    <w:rsid w:val="000D7BAA"/>
    <w:rsid w:val="000E04CD"/>
    <w:rsid w:val="000E0B7D"/>
    <w:rsid w:val="000E15EF"/>
    <w:rsid w:val="000E17C2"/>
    <w:rsid w:val="000E3E13"/>
    <w:rsid w:val="000E3E30"/>
    <w:rsid w:val="000E4688"/>
    <w:rsid w:val="000E47CF"/>
    <w:rsid w:val="000E5A2D"/>
    <w:rsid w:val="000E616D"/>
    <w:rsid w:val="000E6B69"/>
    <w:rsid w:val="000E6FCF"/>
    <w:rsid w:val="000E71BE"/>
    <w:rsid w:val="000E7FCE"/>
    <w:rsid w:val="000F0130"/>
    <w:rsid w:val="000F07D4"/>
    <w:rsid w:val="000F0CA1"/>
    <w:rsid w:val="000F118D"/>
    <w:rsid w:val="000F1307"/>
    <w:rsid w:val="000F1B3A"/>
    <w:rsid w:val="000F1B9C"/>
    <w:rsid w:val="000F2845"/>
    <w:rsid w:val="000F30EE"/>
    <w:rsid w:val="000F344C"/>
    <w:rsid w:val="000F3726"/>
    <w:rsid w:val="000F3EC6"/>
    <w:rsid w:val="000F3F10"/>
    <w:rsid w:val="000F4496"/>
    <w:rsid w:val="000F4566"/>
    <w:rsid w:val="000F4FC8"/>
    <w:rsid w:val="000F51B5"/>
    <w:rsid w:val="000F5430"/>
    <w:rsid w:val="000F56FE"/>
    <w:rsid w:val="000F61D9"/>
    <w:rsid w:val="000F6C9D"/>
    <w:rsid w:val="000F79B8"/>
    <w:rsid w:val="000F7A4F"/>
    <w:rsid w:val="000F7EF3"/>
    <w:rsid w:val="0010034A"/>
    <w:rsid w:val="00101C00"/>
    <w:rsid w:val="00102D1F"/>
    <w:rsid w:val="001030F3"/>
    <w:rsid w:val="00103C4D"/>
    <w:rsid w:val="00103C88"/>
    <w:rsid w:val="00104656"/>
    <w:rsid w:val="0010513C"/>
    <w:rsid w:val="00105FF1"/>
    <w:rsid w:val="00106368"/>
    <w:rsid w:val="00107721"/>
    <w:rsid w:val="00107939"/>
    <w:rsid w:val="001107E4"/>
    <w:rsid w:val="001107F9"/>
    <w:rsid w:val="0011095C"/>
    <w:rsid w:val="00110ED3"/>
    <w:rsid w:val="001110B9"/>
    <w:rsid w:val="00111F5A"/>
    <w:rsid w:val="0011285E"/>
    <w:rsid w:val="00114201"/>
    <w:rsid w:val="00114542"/>
    <w:rsid w:val="00114A02"/>
    <w:rsid w:val="001159AF"/>
    <w:rsid w:val="00120D40"/>
    <w:rsid w:val="00122CC4"/>
    <w:rsid w:val="001234DD"/>
    <w:rsid w:val="00124603"/>
    <w:rsid w:val="0012533C"/>
    <w:rsid w:val="001257B7"/>
    <w:rsid w:val="00125F44"/>
    <w:rsid w:val="00130330"/>
    <w:rsid w:val="00130E10"/>
    <w:rsid w:val="0013211A"/>
    <w:rsid w:val="00133883"/>
    <w:rsid w:val="00134003"/>
    <w:rsid w:val="001342B8"/>
    <w:rsid w:val="00134A56"/>
    <w:rsid w:val="00134E88"/>
    <w:rsid w:val="001350EC"/>
    <w:rsid w:val="001354A3"/>
    <w:rsid w:val="0013560B"/>
    <w:rsid w:val="001358AD"/>
    <w:rsid w:val="00135E21"/>
    <w:rsid w:val="001365E0"/>
    <w:rsid w:val="00136642"/>
    <w:rsid w:val="00136D53"/>
    <w:rsid w:val="00136F27"/>
    <w:rsid w:val="0013748F"/>
    <w:rsid w:val="00137779"/>
    <w:rsid w:val="00137CCF"/>
    <w:rsid w:val="0014146F"/>
    <w:rsid w:val="00141997"/>
    <w:rsid w:val="00143CEF"/>
    <w:rsid w:val="00143D47"/>
    <w:rsid w:val="00143D9B"/>
    <w:rsid w:val="00144880"/>
    <w:rsid w:val="0014508A"/>
    <w:rsid w:val="001457A4"/>
    <w:rsid w:val="00145807"/>
    <w:rsid w:val="001458DF"/>
    <w:rsid w:val="00146223"/>
    <w:rsid w:val="001465D2"/>
    <w:rsid w:val="00147A26"/>
    <w:rsid w:val="00147FB9"/>
    <w:rsid w:val="00150464"/>
    <w:rsid w:val="001506F6"/>
    <w:rsid w:val="00150BBB"/>
    <w:rsid w:val="00150CAD"/>
    <w:rsid w:val="00150E4B"/>
    <w:rsid w:val="0015145D"/>
    <w:rsid w:val="001516AC"/>
    <w:rsid w:val="00151A54"/>
    <w:rsid w:val="00152115"/>
    <w:rsid w:val="0015219B"/>
    <w:rsid w:val="00152364"/>
    <w:rsid w:val="00153264"/>
    <w:rsid w:val="0015330A"/>
    <w:rsid w:val="001539CC"/>
    <w:rsid w:val="00156599"/>
    <w:rsid w:val="00156815"/>
    <w:rsid w:val="00157C77"/>
    <w:rsid w:val="0016041B"/>
    <w:rsid w:val="00162507"/>
    <w:rsid w:val="001627F0"/>
    <w:rsid w:val="00162D93"/>
    <w:rsid w:val="00163626"/>
    <w:rsid w:val="00163922"/>
    <w:rsid w:val="00164680"/>
    <w:rsid w:val="00164953"/>
    <w:rsid w:val="0016557F"/>
    <w:rsid w:val="0016588A"/>
    <w:rsid w:val="00165C03"/>
    <w:rsid w:val="0016610B"/>
    <w:rsid w:val="00166853"/>
    <w:rsid w:val="00167734"/>
    <w:rsid w:val="00170DF4"/>
    <w:rsid w:val="0017148D"/>
    <w:rsid w:val="00172BA3"/>
    <w:rsid w:val="00172C1D"/>
    <w:rsid w:val="001767BF"/>
    <w:rsid w:val="00177538"/>
    <w:rsid w:val="0017765C"/>
    <w:rsid w:val="00177670"/>
    <w:rsid w:val="00180341"/>
    <w:rsid w:val="001805C3"/>
    <w:rsid w:val="00180BBD"/>
    <w:rsid w:val="00180BBE"/>
    <w:rsid w:val="00181E88"/>
    <w:rsid w:val="001824E2"/>
    <w:rsid w:val="00182546"/>
    <w:rsid w:val="001834E6"/>
    <w:rsid w:val="0018352E"/>
    <w:rsid w:val="001835D2"/>
    <w:rsid w:val="0018392A"/>
    <w:rsid w:val="001843F0"/>
    <w:rsid w:val="001855CD"/>
    <w:rsid w:val="00186688"/>
    <w:rsid w:val="0018724D"/>
    <w:rsid w:val="00187640"/>
    <w:rsid w:val="00187B48"/>
    <w:rsid w:val="0019030E"/>
    <w:rsid w:val="001903AD"/>
    <w:rsid w:val="001913D9"/>
    <w:rsid w:val="001919AC"/>
    <w:rsid w:val="00191BF3"/>
    <w:rsid w:val="00192DF3"/>
    <w:rsid w:val="0019354C"/>
    <w:rsid w:val="00194637"/>
    <w:rsid w:val="00194E9C"/>
    <w:rsid w:val="001955F7"/>
    <w:rsid w:val="001959C5"/>
    <w:rsid w:val="00195AA0"/>
    <w:rsid w:val="00196A83"/>
    <w:rsid w:val="00197F9E"/>
    <w:rsid w:val="001A1A39"/>
    <w:rsid w:val="001A1BC8"/>
    <w:rsid w:val="001A204C"/>
    <w:rsid w:val="001A2660"/>
    <w:rsid w:val="001A2726"/>
    <w:rsid w:val="001A278A"/>
    <w:rsid w:val="001A306B"/>
    <w:rsid w:val="001A36FE"/>
    <w:rsid w:val="001A37C3"/>
    <w:rsid w:val="001A4703"/>
    <w:rsid w:val="001A4812"/>
    <w:rsid w:val="001A5B5C"/>
    <w:rsid w:val="001A5CB2"/>
    <w:rsid w:val="001A5EC3"/>
    <w:rsid w:val="001A6574"/>
    <w:rsid w:val="001A65B3"/>
    <w:rsid w:val="001A6907"/>
    <w:rsid w:val="001A6C4A"/>
    <w:rsid w:val="001B04A3"/>
    <w:rsid w:val="001B05B6"/>
    <w:rsid w:val="001B241A"/>
    <w:rsid w:val="001B3385"/>
    <w:rsid w:val="001B381B"/>
    <w:rsid w:val="001B4D44"/>
    <w:rsid w:val="001B56F7"/>
    <w:rsid w:val="001B5A14"/>
    <w:rsid w:val="001B6322"/>
    <w:rsid w:val="001B6BF0"/>
    <w:rsid w:val="001C0815"/>
    <w:rsid w:val="001C0A91"/>
    <w:rsid w:val="001C0C72"/>
    <w:rsid w:val="001C1E15"/>
    <w:rsid w:val="001C25A6"/>
    <w:rsid w:val="001C28E8"/>
    <w:rsid w:val="001C3B36"/>
    <w:rsid w:val="001C44EA"/>
    <w:rsid w:val="001C4B1B"/>
    <w:rsid w:val="001C6455"/>
    <w:rsid w:val="001C7C6B"/>
    <w:rsid w:val="001D0B07"/>
    <w:rsid w:val="001D0F08"/>
    <w:rsid w:val="001D1076"/>
    <w:rsid w:val="001D1C38"/>
    <w:rsid w:val="001D1CE6"/>
    <w:rsid w:val="001D302C"/>
    <w:rsid w:val="001D3071"/>
    <w:rsid w:val="001D3295"/>
    <w:rsid w:val="001D41D7"/>
    <w:rsid w:val="001D4F0D"/>
    <w:rsid w:val="001D67CE"/>
    <w:rsid w:val="001D689A"/>
    <w:rsid w:val="001D6A85"/>
    <w:rsid w:val="001D6F9A"/>
    <w:rsid w:val="001D782A"/>
    <w:rsid w:val="001D78B6"/>
    <w:rsid w:val="001E0996"/>
    <w:rsid w:val="001E0EA8"/>
    <w:rsid w:val="001E12AE"/>
    <w:rsid w:val="001E21E8"/>
    <w:rsid w:val="001E2243"/>
    <w:rsid w:val="001E2CDB"/>
    <w:rsid w:val="001E2E68"/>
    <w:rsid w:val="001E43CD"/>
    <w:rsid w:val="001E4456"/>
    <w:rsid w:val="001E493A"/>
    <w:rsid w:val="001E4D76"/>
    <w:rsid w:val="001E529D"/>
    <w:rsid w:val="001E5549"/>
    <w:rsid w:val="001E5AC6"/>
    <w:rsid w:val="001E7301"/>
    <w:rsid w:val="001E76F9"/>
    <w:rsid w:val="001E77D4"/>
    <w:rsid w:val="001F012E"/>
    <w:rsid w:val="001F1AF5"/>
    <w:rsid w:val="001F1D88"/>
    <w:rsid w:val="001F2340"/>
    <w:rsid w:val="001F23FA"/>
    <w:rsid w:val="001F27C5"/>
    <w:rsid w:val="001F2FE2"/>
    <w:rsid w:val="001F33F9"/>
    <w:rsid w:val="001F340A"/>
    <w:rsid w:val="001F356F"/>
    <w:rsid w:val="001F4621"/>
    <w:rsid w:val="001F4687"/>
    <w:rsid w:val="001F5A25"/>
    <w:rsid w:val="001F6004"/>
    <w:rsid w:val="001F6233"/>
    <w:rsid w:val="001F6747"/>
    <w:rsid w:val="001F6E34"/>
    <w:rsid w:val="001F7303"/>
    <w:rsid w:val="001F7861"/>
    <w:rsid w:val="001F7AA1"/>
    <w:rsid w:val="001F7BBB"/>
    <w:rsid w:val="002008FD"/>
    <w:rsid w:val="00202263"/>
    <w:rsid w:val="0020322D"/>
    <w:rsid w:val="0020335A"/>
    <w:rsid w:val="00203B61"/>
    <w:rsid w:val="002040FA"/>
    <w:rsid w:val="002053C1"/>
    <w:rsid w:val="00207F79"/>
    <w:rsid w:val="002103E1"/>
    <w:rsid w:val="00210F19"/>
    <w:rsid w:val="00212FF3"/>
    <w:rsid w:val="002135ED"/>
    <w:rsid w:val="00213AB8"/>
    <w:rsid w:val="00213B25"/>
    <w:rsid w:val="00214896"/>
    <w:rsid w:val="002151C4"/>
    <w:rsid w:val="00215361"/>
    <w:rsid w:val="00215E6E"/>
    <w:rsid w:val="00215EC4"/>
    <w:rsid w:val="002177E0"/>
    <w:rsid w:val="00217A87"/>
    <w:rsid w:val="0022108A"/>
    <w:rsid w:val="00221221"/>
    <w:rsid w:val="00221E80"/>
    <w:rsid w:val="002243CE"/>
    <w:rsid w:val="00224CEC"/>
    <w:rsid w:val="002250C0"/>
    <w:rsid w:val="00225250"/>
    <w:rsid w:val="0022608F"/>
    <w:rsid w:val="0022695B"/>
    <w:rsid w:val="00227C55"/>
    <w:rsid w:val="00227CFA"/>
    <w:rsid w:val="0023174F"/>
    <w:rsid w:val="002318CE"/>
    <w:rsid w:val="00231FBC"/>
    <w:rsid w:val="0023209B"/>
    <w:rsid w:val="00232591"/>
    <w:rsid w:val="00232F2A"/>
    <w:rsid w:val="002335B2"/>
    <w:rsid w:val="00233D90"/>
    <w:rsid w:val="002363A0"/>
    <w:rsid w:val="0023691F"/>
    <w:rsid w:val="00237193"/>
    <w:rsid w:val="002401FE"/>
    <w:rsid w:val="00241C53"/>
    <w:rsid w:val="00242891"/>
    <w:rsid w:val="00242DFA"/>
    <w:rsid w:val="00243485"/>
    <w:rsid w:val="002439CC"/>
    <w:rsid w:val="002443E4"/>
    <w:rsid w:val="0024475C"/>
    <w:rsid w:val="00245B34"/>
    <w:rsid w:val="002475C3"/>
    <w:rsid w:val="00247764"/>
    <w:rsid w:val="00250B20"/>
    <w:rsid w:val="002521B2"/>
    <w:rsid w:val="00252E56"/>
    <w:rsid w:val="002555C7"/>
    <w:rsid w:val="002556B4"/>
    <w:rsid w:val="00256B73"/>
    <w:rsid w:val="00257128"/>
    <w:rsid w:val="00257B22"/>
    <w:rsid w:val="00260341"/>
    <w:rsid w:val="00263CF4"/>
    <w:rsid w:val="00265163"/>
    <w:rsid w:val="00265916"/>
    <w:rsid w:val="002659EB"/>
    <w:rsid w:val="00267F3C"/>
    <w:rsid w:val="002701BB"/>
    <w:rsid w:val="00270261"/>
    <w:rsid w:val="00270882"/>
    <w:rsid w:val="00271799"/>
    <w:rsid w:val="00272BCF"/>
    <w:rsid w:val="00272F5C"/>
    <w:rsid w:val="002738AE"/>
    <w:rsid w:val="00274D79"/>
    <w:rsid w:val="00274E45"/>
    <w:rsid w:val="002751BA"/>
    <w:rsid w:val="0027667E"/>
    <w:rsid w:val="0027670C"/>
    <w:rsid w:val="00276F76"/>
    <w:rsid w:val="00277A28"/>
    <w:rsid w:val="00280566"/>
    <w:rsid w:val="00280914"/>
    <w:rsid w:val="00280FA4"/>
    <w:rsid w:val="002814DA"/>
    <w:rsid w:val="0028207E"/>
    <w:rsid w:val="00282225"/>
    <w:rsid w:val="00282C5B"/>
    <w:rsid w:val="00282FBC"/>
    <w:rsid w:val="002839FD"/>
    <w:rsid w:val="00283D7F"/>
    <w:rsid w:val="00284110"/>
    <w:rsid w:val="002847F4"/>
    <w:rsid w:val="0028692B"/>
    <w:rsid w:val="002878AB"/>
    <w:rsid w:val="00287974"/>
    <w:rsid w:val="0029004C"/>
    <w:rsid w:val="002919ED"/>
    <w:rsid w:val="00291ACA"/>
    <w:rsid w:val="00291B38"/>
    <w:rsid w:val="002922C4"/>
    <w:rsid w:val="00292B6D"/>
    <w:rsid w:val="002942D9"/>
    <w:rsid w:val="0029515A"/>
    <w:rsid w:val="0029637F"/>
    <w:rsid w:val="0029658B"/>
    <w:rsid w:val="002976CA"/>
    <w:rsid w:val="002A0379"/>
    <w:rsid w:val="002A0414"/>
    <w:rsid w:val="002A0CDB"/>
    <w:rsid w:val="002A0EE6"/>
    <w:rsid w:val="002A1599"/>
    <w:rsid w:val="002A19FB"/>
    <w:rsid w:val="002A318C"/>
    <w:rsid w:val="002A3918"/>
    <w:rsid w:val="002A3DCB"/>
    <w:rsid w:val="002A47D1"/>
    <w:rsid w:val="002A4A4F"/>
    <w:rsid w:val="002A4CB0"/>
    <w:rsid w:val="002A5AE0"/>
    <w:rsid w:val="002A6282"/>
    <w:rsid w:val="002A6D20"/>
    <w:rsid w:val="002A7E50"/>
    <w:rsid w:val="002B0FC1"/>
    <w:rsid w:val="002B1B70"/>
    <w:rsid w:val="002B212C"/>
    <w:rsid w:val="002B248E"/>
    <w:rsid w:val="002B2E5A"/>
    <w:rsid w:val="002B34DC"/>
    <w:rsid w:val="002B49B7"/>
    <w:rsid w:val="002B4BB1"/>
    <w:rsid w:val="002B6418"/>
    <w:rsid w:val="002B64D9"/>
    <w:rsid w:val="002B76E1"/>
    <w:rsid w:val="002B7853"/>
    <w:rsid w:val="002C1AB2"/>
    <w:rsid w:val="002C2A6E"/>
    <w:rsid w:val="002C3F4E"/>
    <w:rsid w:val="002C4C11"/>
    <w:rsid w:val="002C75EF"/>
    <w:rsid w:val="002C78FB"/>
    <w:rsid w:val="002C7C93"/>
    <w:rsid w:val="002C7F22"/>
    <w:rsid w:val="002C7FB7"/>
    <w:rsid w:val="002D0E39"/>
    <w:rsid w:val="002D101E"/>
    <w:rsid w:val="002D1042"/>
    <w:rsid w:val="002D2F4A"/>
    <w:rsid w:val="002D426F"/>
    <w:rsid w:val="002D4531"/>
    <w:rsid w:val="002D4DAF"/>
    <w:rsid w:val="002D5A00"/>
    <w:rsid w:val="002D6253"/>
    <w:rsid w:val="002D625B"/>
    <w:rsid w:val="002D692E"/>
    <w:rsid w:val="002E05BA"/>
    <w:rsid w:val="002E096F"/>
    <w:rsid w:val="002E1898"/>
    <w:rsid w:val="002E1987"/>
    <w:rsid w:val="002E1B8F"/>
    <w:rsid w:val="002E1C99"/>
    <w:rsid w:val="002E1CC5"/>
    <w:rsid w:val="002E2081"/>
    <w:rsid w:val="002E37F2"/>
    <w:rsid w:val="002E3AF8"/>
    <w:rsid w:val="002E4E72"/>
    <w:rsid w:val="002E518D"/>
    <w:rsid w:val="002E55B7"/>
    <w:rsid w:val="002E61A3"/>
    <w:rsid w:val="002E6F67"/>
    <w:rsid w:val="002E7715"/>
    <w:rsid w:val="002E78C7"/>
    <w:rsid w:val="002F0C33"/>
    <w:rsid w:val="002F0E98"/>
    <w:rsid w:val="002F16E8"/>
    <w:rsid w:val="002F1FED"/>
    <w:rsid w:val="002F313D"/>
    <w:rsid w:val="002F35D1"/>
    <w:rsid w:val="002F4377"/>
    <w:rsid w:val="002F4842"/>
    <w:rsid w:val="002F5937"/>
    <w:rsid w:val="002F61C3"/>
    <w:rsid w:val="002F69EE"/>
    <w:rsid w:val="002F7019"/>
    <w:rsid w:val="002F7722"/>
    <w:rsid w:val="002F7ED0"/>
    <w:rsid w:val="00300464"/>
    <w:rsid w:val="00300872"/>
    <w:rsid w:val="0030108A"/>
    <w:rsid w:val="003010FF"/>
    <w:rsid w:val="0030180C"/>
    <w:rsid w:val="00302575"/>
    <w:rsid w:val="00303448"/>
    <w:rsid w:val="003037C3"/>
    <w:rsid w:val="00303BAC"/>
    <w:rsid w:val="003040BA"/>
    <w:rsid w:val="0030467C"/>
    <w:rsid w:val="00304EA0"/>
    <w:rsid w:val="003054EE"/>
    <w:rsid w:val="00305B78"/>
    <w:rsid w:val="00306302"/>
    <w:rsid w:val="003065EA"/>
    <w:rsid w:val="00306E04"/>
    <w:rsid w:val="00307365"/>
    <w:rsid w:val="0031083A"/>
    <w:rsid w:val="00311B04"/>
    <w:rsid w:val="003128CC"/>
    <w:rsid w:val="003128E9"/>
    <w:rsid w:val="00312E6B"/>
    <w:rsid w:val="00313E79"/>
    <w:rsid w:val="00313E9C"/>
    <w:rsid w:val="00314A70"/>
    <w:rsid w:val="00314C98"/>
    <w:rsid w:val="0031522B"/>
    <w:rsid w:val="003153B5"/>
    <w:rsid w:val="00315613"/>
    <w:rsid w:val="00316364"/>
    <w:rsid w:val="0031638C"/>
    <w:rsid w:val="003176CA"/>
    <w:rsid w:val="00317767"/>
    <w:rsid w:val="003177D2"/>
    <w:rsid w:val="003203B0"/>
    <w:rsid w:val="00324EEF"/>
    <w:rsid w:val="003257DD"/>
    <w:rsid w:val="0032663E"/>
    <w:rsid w:val="00326913"/>
    <w:rsid w:val="00327130"/>
    <w:rsid w:val="00327A1B"/>
    <w:rsid w:val="00330790"/>
    <w:rsid w:val="0033106F"/>
    <w:rsid w:val="0033107E"/>
    <w:rsid w:val="003311FB"/>
    <w:rsid w:val="00331470"/>
    <w:rsid w:val="00331DCF"/>
    <w:rsid w:val="0033259E"/>
    <w:rsid w:val="00332757"/>
    <w:rsid w:val="00332F4F"/>
    <w:rsid w:val="0033304E"/>
    <w:rsid w:val="00333DA5"/>
    <w:rsid w:val="0033416B"/>
    <w:rsid w:val="00334BFB"/>
    <w:rsid w:val="003355B6"/>
    <w:rsid w:val="003357B3"/>
    <w:rsid w:val="00335F82"/>
    <w:rsid w:val="003360CF"/>
    <w:rsid w:val="00336317"/>
    <w:rsid w:val="00336CFF"/>
    <w:rsid w:val="0033745F"/>
    <w:rsid w:val="003375BD"/>
    <w:rsid w:val="003379C7"/>
    <w:rsid w:val="00340338"/>
    <w:rsid w:val="00340DE8"/>
    <w:rsid w:val="003436DA"/>
    <w:rsid w:val="00344193"/>
    <w:rsid w:val="0034493B"/>
    <w:rsid w:val="00345110"/>
    <w:rsid w:val="00345500"/>
    <w:rsid w:val="003459E2"/>
    <w:rsid w:val="00345BF1"/>
    <w:rsid w:val="00345EAE"/>
    <w:rsid w:val="0034636A"/>
    <w:rsid w:val="003476B6"/>
    <w:rsid w:val="003478D2"/>
    <w:rsid w:val="00350012"/>
    <w:rsid w:val="003506B9"/>
    <w:rsid w:val="00351A0E"/>
    <w:rsid w:val="0035207F"/>
    <w:rsid w:val="003527B1"/>
    <w:rsid w:val="00352F17"/>
    <w:rsid w:val="00353121"/>
    <w:rsid w:val="00353B99"/>
    <w:rsid w:val="0035452A"/>
    <w:rsid w:val="00354B2F"/>
    <w:rsid w:val="00354B7F"/>
    <w:rsid w:val="00354E76"/>
    <w:rsid w:val="00355E23"/>
    <w:rsid w:val="003564C5"/>
    <w:rsid w:val="0035763C"/>
    <w:rsid w:val="003578E7"/>
    <w:rsid w:val="0036041A"/>
    <w:rsid w:val="00360A49"/>
    <w:rsid w:val="00360D32"/>
    <w:rsid w:val="00360F69"/>
    <w:rsid w:val="0036147E"/>
    <w:rsid w:val="0036360D"/>
    <w:rsid w:val="00363746"/>
    <w:rsid w:val="003641A8"/>
    <w:rsid w:val="003648F7"/>
    <w:rsid w:val="00364B3D"/>
    <w:rsid w:val="0036623A"/>
    <w:rsid w:val="00366D3F"/>
    <w:rsid w:val="00367DCB"/>
    <w:rsid w:val="00370EBE"/>
    <w:rsid w:val="0037123D"/>
    <w:rsid w:val="00372442"/>
    <w:rsid w:val="00372877"/>
    <w:rsid w:val="00372953"/>
    <w:rsid w:val="00372E53"/>
    <w:rsid w:val="00372E78"/>
    <w:rsid w:val="0037320E"/>
    <w:rsid w:val="00373572"/>
    <w:rsid w:val="003735FA"/>
    <w:rsid w:val="00373631"/>
    <w:rsid w:val="00373A91"/>
    <w:rsid w:val="003753FC"/>
    <w:rsid w:val="00375EDC"/>
    <w:rsid w:val="00376206"/>
    <w:rsid w:val="00376254"/>
    <w:rsid w:val="00377631"/>
    <w:rsid w:val="00380678"/>
    <w:rsid w:val="00381372"/>
    <w:rsid w:val="00381799"/>
    <w:rsid w:val="00382539"/>
    <w:rsid w:val="00382D56"/>
    <w:rsid w:val="00383714"/>
    <w:rsid w:val="00385951"/>
    <w:rsid w:val="003876F0"/>
    <w:rsid w:val="00387E0A"/>
    <w:rsid w:val="003904F3"/>
    <w:rsid w:val="00390729"/>
    <w:rsid w:val="00390BCE"/>
    <w:rsid w:val="00390E77"/>
    <w:rsid w:val="003917F6"/>
    <w:rsid w:val="0039223D"/>
    <w:rsid w:val="00394841"/>
    <w:rsid w:val="0039558D"/>
    <w:rsid w:val="00395707"/>
    <w:rsid w:val="003957B7"/>
    <w:rsid w:val="00396059"/>
    <w:rsid w:val="0039633B"/>
    <w:rsid w:val="00397574"/>
    <w:rsid w:val="003A176E"/>
    <w:rsid w:val="003A1865"/>
    <w:rsid w:val="003A1911"/>
    <w:rsid w:val="003A30C7"/>
    <w:rsid w:val="003A3740"/>
    <w:rsid w:val="003A44DB"/>
    <w:rsid w:val="003A4D00"/>
    <w:rsid w:val="003A52D1"/>
    <w:rsid w:val="003A72F0"/>
    <w:rsid w:val="003A7D54"/>
    <w:rsid w:val="003A7F81"/>
    <w:rsid w:val="003B01E7"/>
    <w:rsid w:val="003B0737"/>
    <w:rsid w:val="003B07DB"/>
    <w:rsid w:val="003B0985"/>
    <w:rsid w:val="003B1E2D"/>
    <w:rsid w:val="003B2099"/>
    <w:rsid w:val="003B47E7"/>
    <w:rsid w:val="003B50FD"/>
    <w:rsid w:val="003B5323"/>
    <w:rsid w:val="003B5700"/>
    <w:rsid w:val="003B5AFF"/>
    <w:rsid w:val="003B681F"/>
    <w:rsid w:val="003B6910"/>
    <w:rsid w:val="003B6D04"/>
    <w:rsid w:val="003B7C6F"/>
    <w:rsid w:val="003B7EAE"/>
    <w:rsid w:val="003C1667"/>
    <w:rsid w:val="003C18C4"/>
    <w:rsid w:val="003C2099"/>
    <w:rsid w:val="003C3BDA"/>
    <w:rsid w:val="003C3C1D"/>
    <w:rsid w:val="003C3E1E"/>
    <w:rsid w:val="003C400A"/>
    <w:rsid w:val="003C4F28"/>
    <w:rsid w:val="003C7D13"/>
    <w:rsid w:val="003D176D"/>
    <w:rsid w:val="003D19B4"/>
    <w:rsid w:val="003D2017"/>
    <w:rsid w:val="003D35D3"/>
    <w:rsid w:val="003D425E"/>
    <w:rsid w:val="003D4EFD"/>
    <w:rsid w:val="003D5109"/>
    <w:rsid w:val="003D68D2"/>
    <w:rsid w:val="003D692B"/>
    <w:rsid w:val="003D6D43"/>
    <w:rsid w:val="003D726D"/>
    <w:rsid w:val="003E0891"/>
    <w:rsid w:val="003E0B66"/>
    <w:rsid w:val="003E0C23"/>
    <w:rsid w:val="003E0D99"/>
    <w:rsid w:val="003E17E3"/>
    <w:rsid w:val="003E226B"/>
    <w:rsid w:val="003E2A82"/>
    <w:rsid w:val="003E2C67"/>
    <w:rsid w:val="003E3314"/>
    <w:rsid w:val="003E3BB5"/>
    <w:rsid w:val="003E3C53"/>
    <w:rsid w:val="003E3D3B"/>
    <w:rsid w:val="003E43AB"/>
    <w:rsid w:val="003E4673"/>
    <w:rsid w:val="003E487B"/>
    <w:rsid w:val="003E536E"/>
    <w:rsid w:val="003E5CCA"/>
    <w:rsid w:val="003E71D7"/>
    <w:rsid w:val="003E738F"/>
    <w:rsid w:val="003E7838"/>
    <w:rsid w:val="003F0492"/>
    <w:rsid w:val="003F08A3"/>
    <w:rsid w:val="003F09D4"/>
    <w:rsid w:val="003F1774"/>
    <w:rsid w:val="003F2010"/>
    <w:rsid w:val="003F2487"/>
    <w:rsid w:val="003F29A2"/>
    <w:rsid w:val="003F3589"/>
    <w:rsid w:val="003F3D24"/>
    <w:rsid w:val="003F42A5"/>
    <w:rsid w:val="003F513B"/>
    <w:rsid w:val="003F71B0"/>
    <w:rsid w:val="003F79FD"/>
    <w:rsid w:val="003F7DAE"/>
    <w:rsid w:val="00400149"/>
    <w:rsid w:val="00400232"/>
    <w:rsid w:val="00400915"/>
    <w:rsid w:val="00400A79"/>
    <w:rsid w:val="00402977"/>
    <w:rsid w:val="00403C3B"/>
    <w:rsid w:val="00406D65"/>
    <w:rsid w:val="0041094D"/>
    <w:rsid w:val="00410AEB"/>
    <w:rsid w:val="004111AA"/>
    <w:rsid w:val="00411EB0"/>
    <w:rsid w:val="00412803"/>
    <w:rsid w:val="004139E4"/>
    <w:rsid w:val="004161B2"/>
    <w:rsid w:val="00416EDA"/>
    <w:rsid w:val="00420291"/>
    <w:rsid w:val="0042279B"/>
    <w:rsid w:val="00422D8C"/>
    <w:rsid w:val="00424343"/>
    <w:rsid w:val="0042465C"/>
    <w:rsid w:val="004263D8"/>
    <w:rsid w:val="0042676B"/>
    <w:rsid w:val="0042736D"/>
    <w:rsid w:val="00430482"/>
    <w:rsid w:val="0043082F"/>
    <w:rsid w:val="00430C7B"/>
    <w:rsid w:val="0043108A"/>
    <w:rsid w:val="00432315"/>
    <w:rsid w:val="0043232D"/>
    <w:rsid w:val="00433589"/>
    <w:rsid w:val="00433AE1"/>
    <w:rsid w:val="00434005"/>
    <w:rsid w:val="00434581"/>
    <w:rsid w:val="00435D35"/>
    <w:rsid w:val="00436A6B"/>
    <w:rsid w:val="00437021"/>
    <w:rsid w:val="00437818"/>
    <w:rsid w:val="00440002"/>
    <w:rsid w:val="0044054D"/>
    <w:rsid w:val="004405A2"/>
    <w:rsid w:val="00440ACA"/>
    <w:rsid w:val="004412F5"/>
    <w:rsid w:val="0044177A"/>
    <w:rsid w:val="00442137"/>
    <w:rsid w:val="0044240C"/>
    <w:rsid w:val="0044341E"/>
    <w:rsid w:val="00443B2C"/>
    <w:rsid w:val="00444488"/>
    <w:rsid w:val="00444B79"/>
    <w:rsid w:val="00446893"/>
    <w:rsid w:val="004469F8"/>
    <w:rsid w:val="00446D84"/>
    <w:rsid w:val="00447D72"/>
    <w:rsid w:val="00450B58"/>
    <w:rsid w:val="004514AE"/>
    <w:rsid w:val="00451621"/>
    <w:rsid w:val="0045193B"/>
    <w:rsid w:val="0045247D"/>
    <w:rsid w:val="00453BF6"/>
    <w:rsid w:val="004545E3"/>
    <w:rsid w:val="004552A8"/>
    <w:rsid w:val="0045571A"/>
    <w:rsid w:val="0045591E"/>
    <w:rsid w:val="00455A45"/>
    <w:rsid w:val="00455CF9"/>
    <w:rsid w:val="00455F53"/>
    <w:rsid w:val="00456D70"/>
    <w:rsid w:val="0045764A"/>
    <w:rsid w:val="00457CF6"/>
    <w:rsid w:val="004601C3"/>
    <w:rsid w:val="00460B0C"/>
    <w:rsid w:val="00460D11"/>
    <w:rsid w:val="00460F12"/>
    <w:rsid w:val="00461283"/>
    <w:rsid w:val="00462902"/>
    <w:rsid w:val="00463CC8"/>
    <w:rsid w:val="004644A7"/>
    <w:rsid w:val="00465821"/>
    <w:rsid w:val="00465D48"/>
    <w:rsid w:val="00467D6A"/>
    <w:rsid w:val="00471470"/>
    <w:rsid w:val="004720ED"/>
    <w:rsid w:val="0047261C"/>
    <w:rsid w:val="004730CE"/>
    <w:rsid w:val="00473E6E"/>
    <w:rsid w:val="004747DB"/>
    <w:rsid w:val="004759B6"/>
    <w:rsid w:val="004759E6"/>
    <w:rsid w:val="00476A5B"/>
    <w:rsid w:val="00477956"/>
    <w:rsid w:val="00480322"/>
    <w:rsid w:val="00480507"/>
    <w:rsid w:val="0048079E"/>
    <w:rsid w:val="00480927"/>
    <w:rsid w:val="004815F9"/>
    <w:rsid w:val="00483278"/>
    <w:rsid w:val="004844B8"/>
    <w:rsid w:val="004846DB"/>
    <w:rsid w:val="00485EA2"/>
    <w:rsid w:val="0048632B"/>
    <w:rsid w:val="00487617"/>
    <w:rsid w:val="00487B92"/>
    <w:rsid w:val="00490A70"/>
    <w:rsid w:val="00490BB0"/>
    <w:rsid w:val="00490E53"/>
    <w:rsid w:val="00491625"/>
    <w:rsid w:val="00491CA3"/>
    <w:rsid w:val="00492191"/>
    <w:rsid w:val="004928F9"/>
    <w:rsid w:val="00493570"/>
    <w:rsid w:val="00493782"/>
    <w:rsid w:val="004937B1"/>
    <w:rsid w:val="00493E17"/>
    <w:rsid w:val="00493E3A"/>
    <w:rsid w:val="0049470F"/>
    <w:rsid w:val="00495CA1"/>
    <w:rsid w:val="0049652A"/>
    <w:rsid w:val="00496604"/>
    <w:rsid w:val="00496F40"/>
    <w:rsid w:val="0049760C"/>
    <w:rsid w:val="004A008B"/>
    <w:rsid w:val="004A033F"/>
    <w:rsid w:val="004A239D"/>
    <w:rsid w:val="004A2D3D"/>
    <w:rsid w:val="004A2D3E"/>
    <w:rsid w:val="004A3260"/>
    <w:rsid w:val="004A37E1"/>
    <w:rsid w:val="004A4518"/>
    <w:rsid w:val="004A4B7A"/>
    <w:rsid w:val="004A5592"/>
    <w:rsid w:val="004A55C2"/>
    <w:rsid w:val="004A5B3F"/>
    <w:rsid w:val="004A68A0"/>
    <w:rsid w:val="004A72A4"/>
    <w:rsid w:val="004B0D5E"/>
    <w:rsid w:val="004B0E1F"/>
    <w:rsid w:val="004B139F"/>
    <w:rsid w:val="004B246A"/>
    <w:rsid w:val="004B2B98"/>
    <w:rsid w:val="004B31F7"/>
    <w:rsid w:val="004B3632"/>
    <w:rsid w:val="004B3F9B"/>
    <w:rsid w:val="004B4EC3"/>
    <w:rsid w:val="004B4F37"/>
    <w:rsid w:val="004B54E7"/>
    <w:rsid w:val="004B553A"/>
    <w:rsid w:val="004B5895"/>
    <w:rsid w:val="004B596C"/>
    <w:rsid w:val="004B5D7C"/>
    <w:rsid w:val="004B6E06"/>
    <w:rsid w:val="004B765E"/>
    <w:rsid w:val="004B7699"/>
    <w:rsid w:val="004C0029"/>
    <w:rsid w:val="004C0F37"/>
    <w:rsid w:val="004C3278"/>
    <w:rsid w:val="004C3377"/>
    <w:rsid w:val="004C3B89"/>
    <w:rsid w:val="004C3E6C"/>
    <w:rsid w:val="004C4FC2"/>
    <w:rsid w:val="004C6D91"/>
    <w:rsid w:val="004C702C"/>
    <w:rsid w:val="004C7377"/>
    <w:rsid w:val="004C7599"/>
    <w:rsid w:val="004D1110"/>
    <w:rsid w:val="004D120C"/>
    <w:rsid w:val="004D20F2"/>
    <w:rsid w:val="004D2EC6"/>
    <w:rsid w:val="004D38D8"/>
    <w:rsid w:val="004D3B7F"/>
    <w:rsid w:val="004D5F5E"/>
    <w:rsid w:val="004D66C0"/>
    <w:rsid w:val="004D6C87"/>
    <w:rsid w:val="004D71B9"/>
    <w:rsid w:val="004D7481"/>
    <w:rsid w:val="004D7D68"/>
    <w:rsid w:val="004D7EFB"/>
    <w:rsid w:val="004E08F5"/>
    <w:rsid w:val="004E0EAD"/>
    <w:rsid w:val="004E1179"/>
    <w:rsid w:val="004E11C3"/>
    <w:rsid w:val="004E24F1"/>
    <w:rsid w:val="004E3794"/>
    <w:rsid w:val="004E39F6"/>
    <w:rsid w:val="004E3C1C"/>
    <w:rsid w:val="004E3C4F"/>
    <w:rsid w:val="004E3CA8"/>
    <w:rsid w:val="004E4823"/>
    <w:rsid w:val="004E4AB7"/>
    <w:rsid w:val="004E58B3"/>
    <w:rsid w:val="004E62FF"/>
    <w:rsid w:val="004E683F"/>
    <w:rsid w:val="004E69E0"/>
    <w:rsid w:val="004F17FF"/>
    <w:rsid w:val="004F2619"/>
    <w:rsid w:val="004F3655"/>
    <w:rsid w:val="004F3DF9"/>
    <w:rsid w:val="004F4788"/>
    <w:rsid w:val="004F56AE"/>
    <w:rsid w:val="004F5A24"/>
    <w:rsid w:val="004F5A2E"/>
    <w:rsid w:val="004F68BF"/>
    <w:rsid w:val="004F7761"/>
    <w:rsid w:val="004F77D7"/>
    <w:rsid w:val="004F7DDB"/>
    <w:rsid w:val="004F7EB9"/>
    <w:rsid w:val="00500092"/>
    <w:rsid w:val="00500209"/>
    <w:rsid w:val="00500600"/>
    <w:rsid w:val="00500C21"/>
    <w:rsid w:val="00501061"/>
    <w:rsid w:val="0050261C"/>
    <w:rsid w:val="00503459"/>
    <w:rsid w:val="0050354E"/>
    <w:rsid w:val="00504B99"/>
    <w:rsid w:val="00505425"/>
    <w:rsid w:val="00505896"/>
    <w:rsid w:val="0050692B"/>
    <w:rsid w:val="00506C9A"/>
    <w:rsid w:val="005072B7"/>
    <w:rsid w:val="0050757D"/>
    <w:rsid w:val="0051019C"/>
    <w:rsid w:val="00511FCD"/>
    <w:rsid w:val="005132E8"/>
    <w:rsid w:val="005143E1"/>
    <w:rsid w:val="00514417"/>
    <w:rsid w:val="00514E7B"/>
    <w:rsid w:val="00515D0E"/>
    <w:rsid w:val="00515E7B"/>
    <w:rsid w:val="00516440"/>
    <w:rsid w:val="005166C8"/>
    <w:rsid w:val="005169DA"/>
    <w:rsid w:val="00517133"/>
    <w:rsid w:val="00517317"/>
    <w:rsid w:val="00517774"/>
    <w:rsid w:val="0052082E"/>
    <w:rsid w:val="00520CA3"/>
    <w:rsid w:val="00521304"/>
    <w:rsid w:val="00521B7D"/>
    <w:rsid w:val="005229A7"/>
    <w:rsid w:val="00522F52"/>
    <w:rsid w:val="00523514"/>
    <w:rsid w:val="00523954"/>
    <w:rsid w:val="00523A76"/>
    <w:rsid w:val="00524024"/>
    <w:rsid w:val="00524118"/>
    <w:rsid w:val="00524CC0"/>
    <w:rsid w:val="005256E1"/>
    <w:rsid w:val="00525BFD"/>
    <w:rsid w:val="00525C23"/>
    <w:rsid w:val="00526199"/>
    <w:rsid w:val="00526262"/>
    <w:rsid w:val="00527CBB"/>
    <w:rsid w:val="00527D3D"/>
    <w:rsid w:val="00527E1B"/>
    <w:rsid w:val="005309AE"/>
    <w:rsid w:val="00531A32"/>
    <w:rsid w:val="00532E0F"/>
    <w:rsid w:val="0053451C"/>
    <w:rsid w:val="005345D6"/>
    <w:rsid w:val="005353C8"/>
    <w:rsid w:val="005363B8"/>
    <w:rsid w:val="0053647C"/>
    <w:rsid w:val="00537360"/>
    <w:rsid w:val="005409AE"/>
    <w:rsid w:val="0054113B"/>
    <w:rsid w:val="00541691"/>
    <w:rsid w:val="0054204D"/>
    <w:rsid w:val="0054291F"/>
    <w:rsid w:val="00542F66"/>
    <w:rsid w:val="005434B2"/>
    <w:rsid w:val="00543AF7"/>
    <w:rsid w:val="00544127"/>
    <w:rsid w:val="005464F3"/>
    <w:rsid w:val="0054677E"/>
    <w:rsid w:val="0054685C"/>
    <w:rsid w:val="00546DDD"/>
    <w:rsid w:val="005473D4"/>
    <w:rsid w:val="00547603"/>
    <w:rsid w:val="00547E68"/>
    <w:rsid w:val="0055130F"/>
    <w:rsid w:val="005522AC"/>
    <w:rsid w:val="00552A99"/>
    <w:rsid w:val="00552FAB"/>
    <w:rsid w:val="00553544"/>
    <w:rsid w:val="00553784"/>
    <w:rsid w:val="0055383D"/>
    <w:rsid w:val="00553F94"/>
    <w:rsid w:val="00555C02"/>
    <w:rsid w:val="00557097"/>
    <w:rsid w:val="005570F0"/>
    <w:rsid w:val="00557767"/>
    <w:rsid w:val="00560312"/>
    <w:rsid w:val="00560C34"/>
    <w:rsid w:val="00560D57"/>
    <w:rsid w:val="00562A5A"/>
    <w:rsid w:val="00563952"/>
    <w:rsid w:val="00564993"/>
    <w:rsid w:val="00564B7B"/>
    <w:rsid w:val="005652C3"/>
    <w:rsid w:val="00565E1D"/>
    <w:rsid w:val="0056637F"/>
    <w:rsid w:val="00566F51"/>
    <w:rsid w:val="00567A97"/>
    <w:rsid w:val="005703C4"/>
    <w:rsid w:val="00570B69"/>
    <w:rsid w:val="00571378"/>
    <w:rsid w:val="005720C4"/>
    <w:rsid w:val="00573482"/>
    <w:rsid w:val="00574DAE"/>
    <w:rsid w:val="00575D7C"/>
    <w:rsid w:val="00576368"/>
    <w:rsid w:val="00576F24"/>
    <w:rsid w:val="005778DE"/>
    <w:rsid w:val="00581DA7"/>
    <w:rsid w:val="00582E79"/>
    <w:rsid w:val="00582F71"/>
    <w:rsid w:val="00583340"/>
    <w:rsid w:val="00583678"/>
    <w:rsid w:val="005863A9"/>
    <w:rsid w:val="00587A2C"/>
    <w:rsid w:val="00587B36"/>
    <w:rsid w:val="00590292"/>
    <w:rsid w:val="00590296"/>
    <w:rsid w:val="00590843"/>
    <w:rsid w:val="00590F61"/>
    <w:rsid w:val="00590F89"/>
    <w:rsid w:val="00591EBE"/>
    <w:rsid w:val="00592123"/>
    <w:rsid w:val="00592608"/>
    <w:rsid w:val="0059300C"/>
    <w:rsid w:val="005931CB"/>
    <w:rsid w:val="005937F5"/>
    <w:rsid w:val="005937FC"/>
    <w:rsid w:val="005949E5"/>
    <w:rsid w:val="00594B5E"/>
    <w:rsid w:val="00596FF8"/>
    <w:rsid w:val="005A04A0"/>
    <w:rsid w:val="005A13C1"/>
    <w:rsid w:val="005A1D4D"/>
    <w:rsid w:val="005A216F"/>
    <w:rsid w:val="005A257A"/>
    <w:rsid w:val="005A2F34"/>
    <w:rsid w:val="005A37EB"/>
    <w:rsid w:val="005A645C"/>
    <w:rsid w:val="005A6B2E"/>
    <w:rsid w:val="005A79D4"/>
    <w:rsid w:val="005A7F75"/>
    <w:rsid w:val="005B01B8"/>
    <w:rsid w:val="005B078A"/>
    <w:rsid w:val="005B242F"/>
    <w:rsid w:val="005B491B"/>
    <w:rsid w:val="005B5A6F"/>
    <w:rsid w:val="005B5FD2"/>
    <w:rsid w:val="005B600A"/>
    <w:rsid w:val="005B7165"/>
    <w:rsid w:val="005C0563"/>
    <w:rsid w:val="005C06EB"/>
    <w:rsid w:val="005C0B16"/>
    <w:rsid w:val="005C0D6F"/>
    <w:rsid w:val="005C1DDD"/>
    <w:rsid w:val="005C1F2A"/>
    <w:rsid w:val="005C2712"/>
    <w:rsid w:val="005C3525"/>
    <w:rsid w:val="005C3C20"/>
    <w:rsid w:val="005C4E20"/>
    <w:rsid w:val="005C5606"/>
    <w:rsid w:val="005C5694"/>
    <w:rsid w:val="005C581E"/>
    <w:rsid w:val="005C5CF8"/>
    <w:rsid w:val="005C6A86"/>
    <w:rsid w:val="005D0547"/>
    <w:rsid w:val="005D0836"/>
    <w:rsid w:val="005D0DC3"/>
    <w:rsid w:val="005D0FD0"/>
    <w:rsid w:val="005D1296"/>
    <w:rsid w:val="005D212B"/>
    <w:rsid w:val="005D2694"/>
    <w:rsid w:val="005D2696"/>
    <w:rsid w:val="005D38C8"/>
    <w:rsid w:val="005D3C06"/>
    <w:rsid w:val="005D58FD"/>
    <w:rsid w:val="005D60B3"/>
    <w:rsid w:val="005D6135"/>
    <w:rsid w:val="005D616F"/>
    <w:rsid w:val="005D6A3B"/>
    <w:rsid w:val="005D7887"/>
    <w:rsid w:val="005E32AC"/>
    <w:rsid w:val="005E382D"/>
    <w:rsid w:val="005E4354"/>
    <w:rsid w:val="005E4E50"/>
    <w:rsid w:val="005E569F"/>
    <w:rsid w:val="005F06F4"/>
    <w:rsid w:val="005F0D52"/>
    <w:rsid w:val="005F0F50"/>
    <w:rsid w:val="005F1215"/>
    <w:rsid w:val="005F2D6E"/>
    <w:rsid w:val="005F3276"/>
    <w:rsid w:val="005F33C2"/>
    <w:rsid w:val="005F3BCB"/>
    <w:rsid w:val="005F5F94"/>
    <w:rsid w:val="005F667F"/>
    <w:rsid w:val="005F72B1"/>
    <w:rsid w:val="005F7DC2"/>
    <w:rsid w:val="00600902"/>
    <w:rsid w:val="00600B71"/>
    <w:rsid w:val="0060172A"/>
    <w:rsid w:val="00602F73"/>
    <w:rsid w:val="006031C9"/>
    <w:rsid w:val="00603599"/>
    <w:rsid w:val="0060359E"/>
    <w:rsid w:val="006047D3"/>
    <w:rsid w:val="00604C70"/>
    <w:rsid w:val="0060511A"/>
    <w:rsid w:val="006057F9"/>
    <w:rsid w:val="006058EB"/>
    <w:rsid w:val="006063A3"/>
    <w:rsid w:val="006066E1"/>
    <w:rsid w:val="006075BD"/>
    <w:rsid w:val="006078C8"/>
    <w:rsid w:val="00607C03"/>
    <w:rsid w:val="00610B09"/>
    <w:rsid w:val="00611021"/>
    <w:rsid w:val="006119A1"/>
    <w:rsid w:val="00611EB4"/>
    <w:rsid w:val="00613126"/>
    <w:rsid w:val="00613C3D"/>
    <w:rsid w:val="00613CFC"/>
    <w:rsid w:val="00614059"/>
    <w:rsid w:val="006149B2"/>
    <w:rsid w:val="00614CDB"/>
    <w:rsid w:val="00616BCA"/>
    <w:rsid w:val="0061703A"/>
    <w:rsid w:val="0061751B"/>
    <w:rsid w:val="00617C6C"/>
    <w:rsid w:val="00620764"/>
    <w:rsid w:val="006209DD"/>
    <w:rsid w:val="00620CC7"/>
    <w:rsid w:val="00622741"/>
    <w:rsid w:val="00622900"/>
    <w:rsid w:val="00622FA5"/>
    <w:rsid w:val="00623D66"/>
    <w:rsid w:val="0062529A"/>
    <w:rsid w:val="00626BCD"/>
    <w:rsid w:val="00627B01"/>
    <w:rsid w:val="00631D98"/>
    <w:rsid w:val="006346C0"/>
    <w:rsid w:val="006355B6"/>
    <w:rsid w:val="00635719"/>
    <w:rsid w:val="0063610B"/>
    <w:rsid w:val="00636BC9"/>
    <w:rsid w:val="006370AB"/>
    <w:rsid w:val="006376DF"/>
    <w:rsid w:val="006376F2"/>
    <w:rsid w:val="00637D3C"/>
    <w:rsid w:val="00640495"/>
    <w:rsid w:val="00640800"/>
    <w:rsid w:val="00641D1C"/>
    <w:rsid w:val="00642B3B"/>
    <w:rsid w:val="00643A5F"/>
    <w:rsid w:val="00646DFC"/>
    <w:rsid w:val="00650232"/>
    <w:rsid w:val="006510DD"/>
    <w:rsid w:val="00651782"/>
    <w:rsid w:val="006520E6"/>
    <w:rsid w:val="0065245A"/>
    <w:rsid w:val="006529C7"/>
    <w:rsid w:val="006531DC"/>
    <w:rsid w:val="00653871"/>
    <w:rsid w:val="00653EC2"/>
    <w:rsid w:val="0065499D"/>
    <w:rsid w:val="00654E21"/>
    <w:rsid w:val="00656A9F"/>
    <w:rsid w:val="00657C5E"/>
    <w:rsid w:val="00661853"/>
    <w:rsid w:val="00662F8E"/>
    <w:rsid w:val="00664E9B"/>
    <w:rsid w:val="00665525"/>
    <w:rsid w:val="00665573"/>
    <w:rsid w:val="006659E8"/>
    <w:rsid w:val="0066664A"/>
    <w:rsid w:val="00667F14"/>
    <w:rsid w:val="00670107"/>
    <w:rsid w:val="00670866"/>
    <w:rsid w:val="00673DDB"/>
    <w:rsid w:val="0067417F"/>
    <w:rsid w:val="006744BA"/>
    <w:rsid w:val="0067458C"/>
    <w:rsid w:val="006747F7"/>
    <w:rsid w:val="00674A7B"/>
    <w:rsid w:val="00674AB7"/>
    <w:rsid w:val="00676419"/>
    <w:rsid w:val="006769FF"/>
    <w:rsid w:val="0067747B"/>
    <w:rsid w:val="0068093E"/>
    <w:rsid w:val="00680BF0"/>
    <w:rsid w:val="0068100A"/>
    <w:rsid w:val="006813A3"/>
    <w:rsid w:val="00683029"/>
    <w:rsid w:val="0068406C"/>
    <w:rsid w:val="006847E6"/>
    <w:rsid w:val="00684E28"/>
    <w:rsid w:val="00684F83"/>
    <w:rsid w:val="00685CFC"/>
    <w:rsid w:val="00686718"/>
    <w:rsid w:val="00686FC0"/>
    <w:rsid w:val="00687702"/>
    <w:rsid w:val="00690341"/>
    <w:rsid w:val="0069053F"/>
    <w:rsid w:val="0069074A"/>
    <w:rsid w:val="006916FB"/>
    <w:rsid w:val="00691CC1"/>
    <w:rsid w:val="00691DC4"/>
    <w:rsid w:val="00692269"/>
    <w:rsid w:val="00692917"/>
    <w:rsid w:val="00692FE5"/>
    <w:rsid w:val="00693364"/>
    <w:rsid w:val="00694B13"/>
    <w:rsid w:val="00694BF0"/>
    <w:rsid w:val="0069562D"/>
    <w:rsid w:val="00695952"/>
    <w:rsid w:val="00696ABF"/>
    <w:rsid w:val="00696EA1"/>
    <w:rsid w:val="00697BF8"/>
    <w:rsid w:val="006A01EA"/>
    <w:rsid w:val="006A0C70"/>
    <w:rsid w:val="006A2518"/>
    <w:rsid w:val="006A34F4"/>
    <w:rsid w:val="006A37F5"/>
    <w:rsid w:val="006A3C5B"/>
    <w:rsid w:val="006A3E3E"/>
    <w:rsid w:val="006A423A"/>
    <w:rsid w:val="006A48B2"/>
    <w:rsid w:val="006A49E3"/>
    <w:rsid w:val="006A6099"/>
    <w:rsid w:val="006A62E2"/>
    <w:rsid w:val="006A6D4C"/>
    <w:rsid w:val="006A7284"/>
    <w:rsid w:val="006A7DDC"/>
    <w:rsid w:val="006B0496"/>
    <w:rsid w:val="006B0E52"/>
    <w:rsid w:val="006B1AE5"/>
    <w:rsid w:val="006B3120"/>
    <w:rsid w:val="006B477F"/>
    <w:rsid w:val="006B47E7"/>
    <w:rsid w:val="006B52ED"/>
    <w:rsid w:val="006B5469"/>
    <w:rsid w:val="006B7435"/>
    <w:rsid w:val="006B7E16"/>
    <w:rsid w:val="006C1F6E"/>
    <w:rsid w:val="006C2534"/>
    <w:rsid w:val="006C3160"/>
    <w:rsid w:val="006C4DBC"/>
    <w:rsid w:val="006C5F49"/>
    <w:rsid w:val="006C639B"/>
    <w:rsid w:val="006C66AB"/>
    <w:rsid w:val="006D016E"/>
    <w:rsid w:val="006D0596"/>
    <w:rsid w:val="006D146D"/>
    <w:rsid w:val="006D1490"/>
    <w:rsid w:val="006D1FF2"/>
    <w:rsid w:val="006D2112"/>
    <w:rsid w:val="006D2545"/>
    <w:rsid w:val="006D26C0"/>
    <w:rsid w:val="006D29F1"/>
    <w:rsid w:val="006D32F6"/>
    <w:rsid w:val="006D337C"/>
    <w:rsid w:val="006D4AF0"/>
    <w:rsid w:val="006D6778"/>
    <w:rsid w:val="006D67C1"/>
    <w:rsid w:val="006D705F"/>
    <w:rsid w:val="006E144D"/>
    <w:rsid w:val="006E266A"/>
    <w:rsid w:val="006E34E3"/>
    <w:rsid w:val="006E3776"/>
    <w:rsid w:val="006E381F"/>
    <w:rsid w:val="006E415E"/>
    <w:rsid w:val="006E455D"/>
    <w:rsid w:val="006E488A"/>
    <w:rsid w:val="006E4927"/>
    <w:rsid w:val="006E4A9A"/>
    <w:rsid w:val="006E503C"/>
    <w:rsid w:val="006E56DB"/>
    <w:rsid w:val="006E5C35"/>
    <w:rsid w:val="006E5D92"/>
    <w:rsid w:val="006E6048"/>
    <w:rsid w:val="006E7D55"/>
    <w:rsid w:val="006F05DE"/>
    <w:rsid w:val="006F066E"/>
    <w:rsid w:val="006F1708"/>
    <w:rsid w:val="006F1FA6"/>
    <w:rsid w:val="006F23A6"/>
    <w:rsid w:val="006F413C"/>
    <w:rsid w:val="006F4C1D"/>
    <w:rsid w:val="006F5DA5"/>
    <w:rsid w:val="006F5FD0"/>
    <w:rsid w:val="006F606C"/>
    <w:rsid w:val="006F67BF"/>
    <w:rsid w:val="006F6BE7"/>
    <w:rsid w:val="006F6DA0"/>
    <w:rsid w:val="006F7053"/>
    <w:rsid w:val="006F746A"/>
    <w:rsid w:val="00700362"/>
    <w:rsid w:val="00700F2B"/>
    <w:rsid w:val="00701A83"/>
    <w:rsid w:val="00701B38"/>
    <w:rsid w:val="00701FA7"/>
    <w:rsid w:val="00702089"/>
    <w:rsid w:val="00702871"/>
    <w:rsid w:val="00702ABC"/>
    <w:rsid w:val="00703575"/>
    <w:rsid w:val="007035BE"/>
    <w:rsid w:val="0070418B"/>
    <w:rsid w:val="007041C8"/>
    <w:rsid w:val="007042FC"/>
    <w:rsid w:val="00704499"/>
    <w:rsid w:val="00705330"/>
    <w:rsid w:val="00706880"/>
    <w:rsid w:val="007073D7"/>
    <w:rsid w:val="0070746A"/>
    <w:rsid w:val="007109A7"/>
    <w:rsid w:val="00710F02"/>
    <w:rsid w:val="00711451"/>
    <w:rsid w:val="00712410"/>
    <w:rsid w:val="00712A1D"/>
    <w:rsid w:val="00713289"/>
    <w:rsid w:val="007132F7"/>
    <w:rsid w:val="00713366"/>
    <w:rsid w:val="00713A8C"/>
    <w:rsid w:val="00714059"/>
    <w:rsid w:val="00714FD2"/>
    <w:rsid w:val="00715276"/>
    <w:rsid w:val="007153FA"/>
    <w:rsid w:val="00715F07"/>
    <w:rsid w:val="007161B9"/>
    <w:rsid w:val="0071650E"/>
    <w:rsid w:val="0071696A"/>
    <w:rsid w:val="00716D63"/>
    <w:rsid w:val="007172F6"/>
    <w:rsid w:val="00717841"/>
    <w:rsid w:val="007201AC"/>
    <w:rsid w:val="0072072D"/>
    <w:rsid w:val="00720A1B"/>
    <w:rsid w:val="00722ED5"/>
    <w:rsid w:val="00723FAF"/>
    <w:rsid w:val="007249FA"/>
    <w:rsid w:val="0072651E"/>
    <w:rsid w:val="00727446"/>
    <w:rsid w:val="007279D6"/>
    <w:rsid w:val="007300FE"/>
    <w:rsid w:val="007316AC"/>
    <w:rsid w:val="00731A2B"/>
    <w:rsid w:val="007332B7"/>
    <w:rsid w:val="007332CD"/>
    <w:rsid w:val="00733721"/>
    <w:rsid w:val="007341ED"/>
    <w:rsid w:val="007345D6"/>
    <w:rsid w:val="00736A70"/>
    <w:rsid w:val="00737311"/>
    <w:rsid w:val="00737B6D"/>
    <w:rsid w:val="00740B9F"/>
    <w:rsid w:val="00740DDD"/>
    <w:rsid w:val="007411D6"/>
    <w:rsid w:val="00741397"/>
    <w:rsid w:val="007414A2"/>
    <w:rsid w:val="007439E9"/>
    <w:rsid w:val="00744157"/>
    <w:rsid w:val="00745A1D"/>
    <w:rsid w:val="00745E1E"/>
    <w:rsid w:val="007479F2"/>
    <w:rsid w:val="00747A27"/>
    <w:rsid w:val="0075031A"/>
    <w:rsid w:val="00750332"/>
    <w:rsid w:val="00750739"/>
    <w:rsid w:val="0075104A"/>
    <w:rsid w:val="00751161"/>
    <w:rsid w:val="007512E8"/>
    <w:rsid w:val="00751670"/>
    <w:rsid w:val="007517F0"/>
    <w:rsid w:val="00752760"/>
    <w:rsid w:val="007533A6"/>
    <w:rsid w:val="007535CB"/>
    <w:rsid w:val="00753CE6"/>
    <w:rsid w:val="007549CE"/>
    <w:rsid w:val="00754D9E"/>
    <w:rsid w:val="00754F1E"/>
    <w:rsid w:val="007551D7"/>
    <w:rsid w:val="00755902"/>
    <w:rsid w:val="007560C1"/>
    <w:rsid w:val="0075626B"/>
    <w:rsid w:val="00756FA5"/>
    <w:rsid w:val="0075749F"/>
    <w:rsid w:val="0076145A"/>
    <w:rsid w:val="00761760"/>
    <w:rsid w:val="00761A14"/>
    <w:rsid w:val="00763D65"/>
    <w:rsid w:val="0076408F"/>
    <w:rsid w:val="007645A9"/>
    <w:rsid w:val="00765260"/>
    <w:rsid w:val="00765498"/>
    <w:rsid w:val="00765757"/>
    <w:rsid w:val="00765792"/>
    <w:rsid w:val="00765A94"/>
    <w:rsid w:val="007664DA"/>
    <w:rsid w:val="007667AE"/>
    <w:rsid w:val="007667FF"/>
    <w:rsid w:val="0076770E"/>
    <w:rsid w:val="00771F57"/>
    <w:rsid w:val="007724BD"/>
    <w:rsid w:val="00772BCD"/>
    <w:rsid w:val="00774AD2"/>
    <w:rsid w:val="00774ED9"/>
    <w:rsid w:val="00774F11"/>
    <w:rsid w:val="00775C4A"/>
    <w:rsid w:val="00775DDF"/>
    <w:rsid w:val="0077649C"/>
    <w:rsid w:val="00776B26"/>
    <w:rsid w:val="00777085"/>
    <w:rsid w:val="007770BA"/>
    <w:rsid w:val="007806E8"/>
    <w:rsid w:val="007808BB"/>
    <w:rsid w:val="00780F0B"/>
    <w:rsid w:val="0078160D"/>
    <w:rsid w:val="00781781"/>
    <w:rsid w:val="0078181C"/>
    <w:rsid w:val="00781D78"/>
    <w:rsid w:val="007821DD"/>
    <w:rsid w:val="007838E2"/>
    <w:rsid w:val="0078396D"/>
    <w:rsid w:val="00783CB3"/>
    <w:rsid w:val="00784893"/>
    <w:rsid w:val="0078492E"/>
    <w:rsid w:val="00784D4F"/>
    <w:rsid w:val="00784D5A"/>
    <w:rsid w:val="007862DA"/>
    <w:rsid w:val="007866AA"/>
    <w:rsid w:val="00786D81"/>
    <w:rsid w:val="00787230"/>
    <w:rsid w:val="00787636"/>
    <w:rsid w:val="00790168"/>
    <w:rsid w:val="00790282"/>
    <w:rsid w:val="007932F5"/>
    <w:rsid w:val="007933F1"/>
    <w:rsid w:val="0079390C"/>
    <w:rsid w:val="00793D17"/>
    <w:rsid w:val="00794880"/>
    <w:rsid w:val="007952EC"/>
    <w:rsid w:val="007961AE"/>
    <w:rsid w:val="007968B6"/>
    <w:rsid w:val="00796B7E"/>
    <w:rsid w:val="00796F84"/>
    <w:rsid w:val="007974A5"/>
    <w:rsid w:val="007A04D9"/>
    <w:rsid w:val="007A0CC7"/>
    <w:rsid w:val="007A0CD7"/>
    <w:rsid w:val="007A126A"/>
    <w:rsid w:val="007A12A6"/>
    <w:rsid w:val="007A176F"/>
    <w:rsid w:val="007A2298"/>
    <w:rsid w:val="007A2448"/>
    <w:rsid w:val="007A2DEB"/>
    <w:rsid w:val="007A305A"/>
    <w:rsid w:val="007A35AD"/>
    <w:rsid w:val="007A3731"/>
    <w:rsid w:val="007A3F32"/>
    <w:rsid w:val="007A4616"/>
    <w:rsid w:val="007A5D04"/>
    <w:rsid w:val="007A6433"/>
    <w:rsid w:val="007A6FB5"/>
    <w:rsid w:val="007A7E2E"/>
    <w:rsid w:val="007A7F0E"/>
    <w:rsid w:val="007B03B3"/>
    <w:rsid w:val="007B10CA"/>
    <w:rsid w:val="007B122D"/>
    <w:rsid w:val="007B2A72"/>
    <w:rsid w:val="007B36AA"/>
    <w:rsid w:val="007B3F14"/>
    <w:rsid w:val="007B46C2"/>
    <w:rsid w:val="007B4AAD"/>
    <w:rsid w:val="007B5C72"/>
    <w:rsid w:val="007B6737"/>
    <w:rsid w:val="007B6DEC"/>
    <w:rsid w:val="007B7151"/>
    <w:rsid w:val="007B7481"/>
    <w:rsid w:val="007C18E2"/>
    <w:rsid w:val="007C21C1"/>
    <w:rsid w:val="007C2675"/>
    <w:rsid w:val="007C2887"/>
    <w:rsid w:val="007C2A33"/>
    <w:rsid w:val="007C2B6A"/>
    <w:rsid w:val="007C2BCE"/>
    <w:rsid w:val="007C3886"/>
    <w:rsid w:val="007C3BDA"/>
    <w:rsid w:val="007C3BE1"/>
    <w:rsid w:val="007C5FD5"/>
    <w:rsid w:val="007C7435"/>
    <w:rsid w:val="007C7D0F"/>
    <w:rsid w:val="007D0043"/>
    <w:rsid w:val="007D1524"/>
    <w:rsid w:val="007D3583"/>
    <w:rsid w:val="007D36BC"/>
    <w:rsid w:val="007D37B1"/>
    <w:rsid w:val="007D3C49"/>
    <w:rsid w:val="007D3D24"/>
    <w:rsid w:val="007D4990"/>
    <w:rsid w:val="007D5CF5"/>
    <w:rsid w:val="007D63B5"/>
    <w:rsid w:val="007D67D1"/>
    <w:rsid w:val="007D7032"/>
    <w:rsid w:val="007D7E69"/>
    <w:rsid w:val="007D7F0F"/>
    <w:rsid w:val="007E0047"/>
    <w:rsid w:val="007E17E0"/>
    <w:rsid w:val="007E1F5F"/>
    <w:rsid w:val="007E21D0"/>
    <w:rsid w:val="007E2E39"/>
    <w:rsid w:val="007E3318"/>
    <w:rsid w:val="007E35A1"/>
    <w:rsid w:val="007E377A"/>
    <w:rsid w:val="007E37F2"/>
    <w:rsid w:val="007E39C8"/>
    <w:rsid w:val="007E48BC"/>
    <w:rsid w:val="007E4C2A"/>
    <w:rsid w:val="007E5A0C"/>
    <w:rsid w:val="007E6059"/>
    <w:rsid w:val="007E6189"/>
    <w:rsid w:val="007E61B9"/>
    <w:rsid w:val="007E620F"/>
    <w:rsid w:val="007E69E2"/>
    <w:rsid w:val="007F0811"/>
    <w:rsid w:val="007F0A8D"/>
    <w:rsid w:val="007F23EF"/>
    <w:rsid w:val="007F250C"/>
    <w:rsid w:val="007F2E60"/>
    <w:rsid w:val="007F366C"/>
    <w:rsid w:val="007F3B93"/>
    <w:rsid w:val="007F3D69"/>
    <w:rsid w:val="007F469B"/>
    <w:rsid w:val="007F4E3F"/>
    <w:rsid w:val="007F526A"/>
    <w:rsid w:val="007F58F3"/>
    <w:rsid w:val="007F5958"/>
    <w:rsid w:val="007F6063"/>
    <w:rsid w:val="007F6E34"/>
    <w:rsid w:val="008016E2"/>
    <w:rsid w:val="0080182C"/>
    <w:rsid w:val="00801995"/>
    <w:rsid w:val="00803977"/>
    <w:rsid w:val="00804378"/>
    <w:rsid w:val="008049AA"/>
    <w:rsid w:val="008054B1"/>
    <w:rsid w:val="00805515"/>
    <w:rsid w:val="008056FC"/>
    <w:rsid w:val="00805BA4"/>
    <w:rsid w:val="00806017"/>
    <w:rsid w:val="008067F7"/>
    <w:rsid w:val="00806839"/>
    <w:rsid w:val="0080706B"/>
    <w:rsid w:val="0080758B"/>
    <w:rsid w:val="00807673"/>
    <w:rsid w:val="00807F56"/>
    <w:rsid w:val="00810B72"/>
    <w:rsid w:val="008118AF"/>
    <w:rsid w:val="00811CD5"/>
    <w:rsid w:val="00811E03"/>
    <w:rsid w:val="00812890"/>
    <w:rsid w:val="008130E9"/>
    <w:rsid w:val="0081396E"/>
    <w:rsid w:val="00813AE7"/>
    <w:rsid w:val="00813FE9"/>
    <w:rsid w:val="0081403F"/>
    <w:rsid w:val="00814495"/>
    <w:rsid w:val="00814902"/>
    <w:rsid w:val="0081621D"/>
    <w:rsid w:val="00816D0A"/>
    <w:rsid w:val="00817CD8"/>
    <w:rsid w:val="008202D2"/>
    <w:rsid w:val="00820567"/>
    <w:rsid w:val="00820B6B"/>
    <w:rsid w:val="00821400"/>
    <w:rsid w:val="00821C88"/>
    <w:rsid w:val="00822B7C"/>
    <w:rsid w:val="008241D0"/>
    <w:rsid w:val="0082433B"/>
    <w:rsid w:val="00825C68"/>
    <w:rsid w:val="00825CE5"/>
    <w:rsid w:val="00826007"/>
    <w:rsid w:val="0082630E"/>
    <w:rsid w:val="008265F4"/>
    <w:rsid w:val="00826643"/>
    <w:rsid w:val="008266D9"/>
    <w:rsid w:val="00826D83"/>
    <w:rsid w:val="00827171"/>
    <w:rsid w:val="00827AE1"/>
    <w:rsid w:val="0083047A"/>
    <w:rsid w:val="00830750"/>
    <w:rsid w:val="00832507"/>
    <w:rsid w:val="00833EEC"/>
    <w:rsid w:val="008343B2"/>
    <w:rsid w:val="00834910"/>
    <w:rsid w:val="00834D4C"/>
    <w:rsid w:val="008355EB"/>
    <w:rsid w:val="008358AC"/>
    <w:rsid w:val="008367C6"/>
    <w:rsid w:val="0083796F"/>
    <w:rsid w:val="00837B50"/>
    <w:rsid w:val="008403C4"/>
    <w:rsid w:val="0084044D"/>
    <w:rsid w:val="00840496"/>
    <w:rsid w:val="00841B69"/>
    <w:rsid w:val="008438FB"/>
    <w:rsid w:val="00844B5A"/>
    <w:rsid w:val="0084735B"/>
    <w:rsid w:val="00850D76"/>
    <w:rsid w:val="00852718"/>
    <w:rsid w:val="00852FA7"/>
    <w:rsid w:val="008536AC"/>
    <w:rsid w:val="00853F57"/>
    <w:rsid w:val="00854E6B"/>
    <w:rsid w:val="00855545"/>
    <w:rsid w:val="00855D07"/>
    <w:rsid w:val="00855DCC"/>
    <w:rsid w:val="008571EC"/>
    <w:rsid w:val="008604BB"/>
    <w:rsid w:val="008606B7"/>
    <w:rsid w:val="00860C9B"/>
    <w:rsid w:val="00861165"/>
    <w:rsid w:val="00862EB6"/>
    <w:rsid w:val="00863174"/>
    <w:rsid w:val="008636CD"/>
    <w:rsid w:val="00865159"/>
    <w:rsid w:val="0086586D"/>
    <w:rsid w:val="00866F3D"/>
    <w:rsid w:val="0086737C"/>
    <w:rsid w:val="00867970"/>
    <w:rsid w:val="00867AC0"/>
    <w:rsid w:val="00867F63"/>
    <w:rsid w:val="008719B3"/>
    <w:rsid w:val="008721B4"/>
    <w:rsid w:val="0087222C"/>
    <w:rsid w:val="0087245B"/>
    <w:rsid w:val="00872A74"/>
    <w:rsid w:val="00873CF2"/>
    <w:rsid w:val="00873DD0"/>
    <w:rsid w:val="00874FF8"/>
    <w:rsid w:val="008751F6"/>
    <w:rsid w:val="00875843"/>
    <w:rsid w:val="00876886"/>
    <w:rsid w:val="0087761F"/>
    <w:rsid w:val="008777AC"/>
    <w:rsid w:val="00880078"/>
    <w:rsid w:val="00880AA6"/>
    <w:rsid w:val="00881A69"/>
    <w:rsid w:val="00882D82"/>
    <w:rsid w:val="008830C6"/>
    <w:rsid w:val="00883B82"/>
    <w:rsid w:val="00884DB9"/>
    <w:rsid w:val="00885427"/>
    <w:rsid w:val="00885CE3"/>
    <w:rsid w:val="00886DC7"/>
    <w:rsid w:val="00887023"/>
    <w:rsid w:val="008872C5"/>
    <w:rsid w:val="0089042A"/>
    <w:rsid w:val="00891247"/>
    <w:rsid w:val="0089189A"/>
    <w:rsid w:val="00892FE4"/>
    <w:rsid w:val="0089301D"/>
    <w:rsid w:val="008936E1"/>
    <w:rsid w:val="00893F1C"/>
    <w:rsid w:val="00895231"/>
    <w:rsid w:val="00895531"/>
    <w:rsid w:val="008956F0"/>
    <w:rsid w:val="00895A2B"/>
    <w:rsid w:val="00896E34"/>
    <w:rsid w:val="00897B7D"/>
    <w:rsid w:val="00897BAB"/>
    <w:rsid w:val="00897EF9"/>
    <w:rsid w:val="008A0553"/>
    <w:rsid w:val="008A1556"/>
    <w:rsid w:val="008A163C"/>
    <w:rsid w:val="008A1876"/>
    <w:rsid w:val="008A18A7"/>
    <w:rsid w:val="008A1D6C"/>
    <w:rsid w:val="008A224C"/>
    <w:rsid w:val="008A2ABF"/>
    <w:rsid w:val="008A2B37"/>
    <w:rsid w:val="008A330C"/>
    <w:rsid w:val="008A40E3"/>
    <w:rsid w:val="008A40F1"/>
    <w:rsid w:val="008A4AE9"/>
    <w:rsid w:val="008A6C6D"/>
    <w:rsid w:val="008A7BE5"/>
    <w:rsid w:val="008B0146"/>
    <w:rsid w:val="008B053D"/>
    <w:rsid w:val="008B0DB1"/>
    <w:rsid w:val="008B273B"/>
    <w:rsid w:val="008B2904"/>
    <w:rsid w:val="008B2E47"/>
    <w:rsid w:val="008B30D2"/>
    <w:rsid w:val="008B3950"/>
    <w:rsid w:val="008B5360"/>
    <w:rsid w:val="008B5886"/>
    <w:rsid w:val="008B5D23"/>
    <w:rsid w:val="008B63CD"/>
    <w:rsid w:val="008B6EE6"/>
    <w:rsid w:val="008B75D4"/>
    <w:rsid w:val="008B771B"/>
    <w:rsid w:val="008C1BDA"/>
    <w:rsid w:val="008C20DD"/>
    <w:rsid w:val="008C2398"/>
    <w:rsid w:val="008C285C"/>
    <w:rsid w:val="008C2D70"/>
    <w:rsid w:val="008C2E32"/>
    <w:rsid w:val="008C3C13"/>
    <w:rsid w:val="008C6A24"/>
    <w:rsid w:val="008C6D55"/>
    <w:rsid w:val="008C7260"/>
    <w:rsid w:val="008C7415"/>
    <w:rsid w:val="008C79F8"/>
    <w:rsid w:val="008D0F90"/>
    <w:rsid w:val="008D1AD0"/>
    <w:rsid w:val="008D1BF9"/>
    <w:rsid w:val="008D27A7"/>
    <w:rsid w:val="008D302B"/>
    <w:rsid w:val="008D3069"/>
    <w:rsid w:val="008D4009"/>
    <w:rsid w:val="008D49F4"/>
    <w:rsid w:val="008D4A19"/>
    <w:rsid w:val="008D5553"/>
    <w:rsid w:val="008D5B9C"/>
    <w:rsid w:val="008D61E3"/>
    <w:rsid w:val="008D6CD8"/>
    <w:rsid w:val="008E0BD2"/>
    <w:rsid w:val="008E3012"/>
    <w:rsid w:val="008E3873"/>
    <w:rsid w:val="008E417C"/>
    <w:rsid w:val="008E489C"/>
    <w:rsid w:val="008E58CA"/>
    <w:rsid w:val="008E5C3F"/>
    <w:rsid w:val="008E64F7"/>
    <w:rsid w:val="008E6AE8"/>
    <w:rsid w:val="008E6CC0"/>
    <w:rsid w:val="008E7003"/>
    <w:rsid w:val="008E7010"/>
    <w:rsid w:val="008E7813"/>
    <w:rsid w:val="008E7EA9"/>
    <w:rsid w:val="008F0197"/>
    <w:rsid w:val="008F0E5D"/>
    <w:rsid w:val="008F23C8"/>
    <w:rsid w:val="008F2452"/>
    <w:rsid w:val="008F2514"/>
    <w:rsid w:val="008F2610"/>
    <w:rsid w:val="008F355D"/>
    <w:rsid w:val="008F4743"/>
    <w:rsid w:val="008F57A7"/>
    <w:rsid w:val="008F586A"/>
    <w:rsid w:val="008F6D3A"/>
    <w:rsid w:val="008F70AF"/>
    <w:rsid w:val="008F70D2"/>
    <w:rsid w:val="008F71DA"/>
    <w:rsid w:val="008F76B2"/>
    <w:rsid w:val="0090081E"/>
    <w:rsid w:val="009013E0"/>
    <w:rsid w:val="00903BC7"/>
    <w:rsid w:val="00903D6C"/>
    <w:rsid w:val="00904807"/>
    <w:rsid w:val="00904DF1"/>
    <w:rsid w:val="0090501C"/>
    <w:rsid w:val="009059B6"/>
    <w:rsid w:val="009059F7"/>
    <w:rsid w:val="00905B77"/>
    <w:rsid w:val="00906ADE"/>
    <w:rsid w:val="009106C3"/>
    <w:rsid w:val="00910F11"/>
    <w:rsid w:val="00911FD5"/>
    <w:rsid w:val="00912064"/>
    <w:rsid w:val="0091206A"/>
    <w:rsid w:val="0091299A"/>
    <w:rsid w:val="00912F96"/>
    <w:rsid w:val="0091354B"/>
    <w:rsid w:val="00913D36"/>
    <w:rsid w:val="00915789"/>
    <w:rsid w:val="00916042"/>
    <w:rsid w:val="0091614C"/>
    <w:rsid w:val="00916597"/>
    <w:rsid w:val="009168E7"/>
    <w:rsid w:val="00916BBE"/>
    <w:rsid w:val="00917946"/>
    <w:rsid w:val="00920202"/>
    <w:rsid w:val="009210DD"/>
    <w:rsid w:val="00921E7B"/>
    <w:rsid w:val="009227CD"/>
    <w:rsid w:val="0092333E"/>
    <w:rsid w:val="00923FD2"/>
    <w:rsid w:val="00924E0C"/>
    <w:rsid w:val="009253FE"/>
    <w:rsid w:val="00925BEF"/>
    <w:rsid w:val="0092603B"/>
    <w:rsid w:val="009268B1"/>
    <w:rsid w:val="00926A6A"/>
    <w:rsid w:val="009271B2"/>
    <w:rsid w:val="00927AB8"/>
    <w:rsid w:val="00927DD2"/>
    <w:rsid w:val="00927E7B"/>
    <w:rsid w:val="00930C9F"/>
    <w:rsid w:val="00931A29"/>
    <w:rsid w:val="00932228"/>
    <w:rsid w:val="009323D0"/>
    <w:rsid w:val="009337F2"/>
    <w:rsid w:val="00933E04"/>
    <w:rsid w:val="00934877"/>
    <w:rsid w:val="009348F3"/>
    <w:rsid w:val="009353F3"/>
    <w:rsid w:val="00935477"/>
    <w:rsid w:val="00936E98"/>
    <w:rsid w:val="00937F11"/>
    <w:rsid w:val="009409CC"/>
    <w:rsid w:val="00940D61"/>
    <w:rsid w:val="009436C7"/>
    <w:rsid w:val="00943E0E"/>
    <w:rsid w:val="0094453C"/>
    <w:rsid w:val="009463D5"/>
    <w:rsid w:val="0094645A"/>
    <w:rsid w:val="00946B46"/>
    <w:rsid w:val="00946E67"/>
    <w:rsid w:val="0094775A"/>
    <w:rsid w:val="00952704"/>
    <w:rsid w:val="00955A0A"/>
    <w:rsid w:val="00955BBD"/>
    <w:rsid w:val="0095607C"/>
    <w:rsid w:val="00957107"/>
    <w:rsid w:val="0095748D"/>
    <w:rsid w:val="0095760F"/>
    <w:rsid w:val="00960A3D"/>
    <w:rsid w:val="00960F63"/>
    <w:rsid w:val="00961EF3"/>
    <w:rsid w:val="0096208A"/>
    <w:rsid w:val="009623FC"/>
    <w:rsid w:val="00963012"/>
    <w:rsid w:val="009633C4"/>
    <w:rsid w:val="00963440"/>
    <w:rsid w:val="00963653"/>
    <w:rsid w:val="00963BFB"/>
    <w:rsid w:val="009641D3"/>
    <w:rsid w:val="0096529F"/>
    <w:rsid w:val="00965A10"/>
    <w:rsid w:val="00966470"/>
    <w:rsid w:val="009679C1"/>
    <w:rsid w:val="00970285"/>
    <w:rsid w:val="00971897"/>
    <w:rsid w:val="00971B55"/>
    <w:rsid w:val="00972267"/>
    <w:rsid w:val="009723FC"/>
    <w:rsid w:val="009726E0"/>
    <w:rsid w:val="00972D09"/>
    <w:rsid w:val="00973F24"/>
    <w:rsid w:val="009743E4"/>
    <w:rsid w:val="00974E40"/>
    <w:rsid w:val="00976715"/>
    <w:rsid w:val="00977A33"/>
    <w:rsid w:val="00977F22"/>
    <w:rsid w:val="00980017"/>
    <w:rsid w:val="00981A58"/>
    <w:rsid w:val="00982568"/>
    <w:rsid w:val="00982769"/>
    <w:rsid w:val="00984459"/>
    <w:rsid w:val="00985144"/>
    <w:rsid w:val="00985AEF"/>
    <w:rsid w:val="00985DDF"/>
    <w:rsid w:val="0098601A"/>
    <w:rsid w:val="009866F5"/>
    <w:rsid w:val="0099164F"/>
    <w:rsid w:val="0099247F"/>
    <w:rsid w:val="0099301F"/>
    <w:rsid w:val="00993359"/>
    <w:rsid w:val="009933DD"/>
    <w:rsid w:val="00993C29"/>
    <w:rsid w:val="0099538A"/>
    <w:rsid w:val="00995552"/>
    <w:rsid w:val="00995BEB"/>
    <w:rsid w:val="009965FA"/>
    <w:rsid w:val="0099726A"/>
    <w:rsid w:val="009975A5"/>
    <w:rsid w:val="00997783"/>
    <w:rsid w:val="00997DBD"/>
    <w:rsid w:val="00997DCF"/>
    <w:rsid w:val="00997F14"/>
    <w:rsid w:val="009A0198"/>
    <w:rsid w:val="009A10C4"/>
    <w:rsid w:val="009A1656"/>
    <w:rsid w:val="009A1830"/>
    <w:rsid w:val="009A1F4C"/>
    <w:rsid w:val="009A258D"/>
    <w:rsid w:val="009A2CFE"/>
    <w:rsid w:val="009A36DB"/>
    <w:rsid w:val="009A3CFF"/>
    <w:rsid w:val="009A46AB"/>
    <w:rsid w:val="009A46C5"/>
    <w:rsid w:val="009A4779"/>
    <w:rsid w:val="009A48C9"/>
    <w:rsid w:val="009A4924"/>
    <w:rsid w:val="009A4B37"/>
    <w:rsid w:val="009A4D8E"/>
    <w:rsid w:val="009A53AB"/>
    <w:rsid w:val="009A67D6"/>
    <w:rsid w:val="009A780D"/>
    <w:rsid w:val="009B03AD"/>
    <w:rsid w:val="009B098B"/>
    <w:rsid w:val="009B142D"/>
    <w:rsid w:val="009B14D1"/>
    <w:rsid w:val="009B17CD"/>
    <w:rsid w:val="009B19FE"/>
    <w:rsid w:val="009B28A7"/>
    <w:rsid w:val="009B2B44"/>
    <w:rsid w:val="009B2BB1"/>
    <w:rsid w:val="009B364C"/>
    <w:rsid w:val="009B48F9"/>
    <w:rsid w:val="009B4B73"/>
    <w:rsid w:val="009B5139"/>
    <w:rsid w:val="009B5218"/>
    <w:rsid w:val="009B573C"/>
    <w:rsid w:val="009B5833"/>
    <w:rsid w:val="009B5F28"/>
    <w:rsid w:val="009B5F6F"/>
    <w:rsid w:val="009B7756"/>
    <w:rsid w:val="009B7938"/>
    <w:rsid w:val="009B7EF0"/>
    <w:rsid w:val="009C0351"/>
    <w:rsid w:val="009C037C"/>
    <w:rsid w:val="009C05E9"/>
    <w:rsid w:val="009C1C3F"/>
    <w:rsid w:val="009C1CF3"/>
    <w:rsid w:val="009C1FD9"/>
    <w:rsid w:val="009C22A8"/>
    <w:rsid w:val="009C2FA7"/>
    <w:rsid w:val="009C327F"/>
    <w:rsid w:val="009C3779"/>
    <w:rsid w:val="009C5C1E"/>
    <w:rsid w:val="009C5C4D"/>
    <w:rsid w:val="009C5D09"/>
    <w:rsid w:val="009C614D"/>
    <w:rsid w:val="009C644A"/>
    <w:rsid w:val="009C6534"/>
    <w:rsid w:val="009C67D7"/>
    <w:rsid w:val="009C7B1A"/>
    <w:rsid w:val="009D0E05"/>
    <w:rsid w:val="009D1E19"/>
    <w:rsid w:val="009D2407"/>
    <w:rsid w:val="009D25FF"/>
    <w:rsid w:val="009D318C"/>
    <w:rsid w:val="009D4759"/>
    <w:rsid w:val="009D5201"/>
    <w:rsid w:val="009D528D"/>
    <w:rsid w:val="009D5541"/>
    <w:rsid w:val="009D655A"/>
    <w:rsid w:val="009D688B"/>
    <w:rsid w:val="009D71E0"/>
    <w:rsid w:val="009D77A3"/>
    <w:rsid w:val="009D79DC"/>
    <w:rsid w:val="009D7F41"/>
    <w:rsid w:val="009E032B"/>
    <w:rsid w:val="009E073A"/>
    <w:rsid w:val="009E10CE"/>
    <w:rsid w:val="009E154D"/>
    <w:rsid w:val="009E1DDB"/>
    <w:rsid w:val="009E2FC4"/>
    <w:rsid w:val="009E3825"/>
    <w:rsid w:val="009E39CA"/>
    <w:rsid w:val="009E3F1F"/>
    <w:rsid w:val="009E5850"/>
    <w:rsid w:val="009E5F5E"/>
    <w:rsid w:val="009E613C"/>
    <w:rsid w:val="009E63B3"/>
    <w:rsid w:val="009E655C"/>
    <w:rsid w:val="009E6B85"/>
    <w:rsid w:val="009E73CD"/>
    <w:rsid w:val="009E7894"/>
    <w:rsid w:val="009F00DF"/>
    <w:rsid w:val="009F1FB7"/>
    <w:rsid w:val="009F20EC"/>
    <w:rsid w:val="009F2680"/>
    <w:rsid w:val="009F2D25"/>
    <w:rsid w:val="009F2D28"/>
    <w:rsid w:val="009F3569"/>
    <w:rsid w:val="009F3602"/>
    <w:rsid w:val="009F37C1"/>
    <w:rsid w:val="009F4239"/>
    <w:rsid w:val="009F58E8"/>
    <w:rsid w:val="009F5CDC"/>
    <w:rsid w:val="009F5DFA"/>
    <w:rsid w:val="009F65E1"/>
    <w:rsid w:val="009F6EF8"/>
    <w:rsid w:val="009F75EC"/>
    <w:rsid w:val="009F7B76"/>
    <w:rsid w:val="00A010B6"/>
    <w:rsid w:val="00A0125B"/>
    <w:rsid w:val="00A01294"/>
    <w:rsid w:val="00A01A42"/>
    <w:rsid w:val="00A02647"/>
    <w:rsid w:val="00A029F6"/>
    <w:rsid w:val="00A02FFE"/>
    <w:rsid w:val="00A03C3A"/>
    <w:rsid w:val="00A045E6"/>
    <w:rsid w:val="00A056D4"/>
    <w:rsid w:val="00A07089"/>
    <w:rsid w:val="00A078A8"/>
    <w:rsid w:val="00A10AA9"/>
    <w:rsid w:val="00A10F5D"/>
    <w:rsid w:val="00A11867"/>
    <w:rsid w:val="00A11A24"/>
    <w:rsid w:val="00A11CAE"/>
    <w:rsid w:val="00A13305"/>
    <w:rsid w:val="00A13BC6"/>
    <w:rsid w:val="00A140BE"/>
    <w:rsid w:val="00A14141"/>
    <w:rsid w:val="00A154D8"/>
    <w:rsid w:val="00A15800"/>
    <w:rsid w:val="00A15C7D"/>
    <w:rsid w:val="00A177DA"/>
    <w:rsid w:val="00A200BA"/>
    <w:rsid w:val="00A20FD9"/>
    <w:rsid w:val="00A21803"/>
    <w:rsid w:val="00A2301C"/>
    <w:rsid w:val="00A23D1F"/>
    <w:rsid w:val="00A24F97"/>
    <w:rsid w:val="00A26A9A"/>
    <w:rsid w:val="00A279FC"/>
    <w:rsid w:val="00A323C3"/>
    <w:rsid w:val="00A3265B"/>
    <w:rsid w:val="00A32C0C"/>
    <w:rsid w:val="00A339F9"/>
    <w:rsid w:val="00A33C72"/>
    <w:rsid w:val="00A34E7D"/>
    <w:rsid w:val="00A350DF"/>
    <w:rsid w:val="00A351A9"/>
    <w:rsid w:val="00A359AA"/>
    <w:rsid w:val="00A35DEF"/>
    <w:rsid w:val="00A36A51"/>
    <w:rsid w:val="00A37321"/>
    <w:rsid w:val="00A375EF"/>
    <w:rsid w:val="00A40806"/>
    <w:rsid w:val="00A41CA0"/>
    <w:rsid w:val="00A41CE2"/>
    <w:rsid w:val="00A41D01"/>
    <w:rsid w:val="00A42448"/>
    <w:rsid w:val="00A42859"/>
    <w:rsid w:val="00A43552"/>
    <w:rsid w:val="00A44850"/>
    <w:rsid w:val="00A44998"/>
    <w:rsid w:val="00A44E55"/>
    <w:rsid w:val="00A45090"/>
    <w:rsid w:val="00A45978"/>
    <w:rsid w:val="00A45C93"/>
    <w:rsid w:val="00A4661B"/>
    <w:rsid w:val="00A47AE0"/>
    <w:rsid w:val="00A47EC2"/>
    <w:rsid w:val="00A47F8D"/>
    <w:rsid w:val="00A50FD8"/>
    <w:rsid w:val="00A514A1"/>
    <w:rsid w:val="00A52B10"/>
    <w:rsid w:val="00A52FF7"/>
    <w:rsid w:val="00A5315C"/>
    <w:rsid w:val="00A532D6"/>
    <w:rsid w:val="00A53A69"/>
    <w:rsid w:val="00A55687"/>
    <w:rsid w:val="00A55737"/>
    <w:rsid w:val="00A55834"/>
    <w:rsid w:val="00A5670E"/>
    <w:rsid w:val="00A57A8C"/>
    <w:rsid w:val="00A57B51"/>
    <w:rsid w:val="00A60981"/>
    <w:rsid w:val="00A60986"/>
    <w:rsid w:val="00A609DC"/>
    <w:rsid w:val="00A60DBE"/>
    <w:rsid w:val="00A60E74"/>
    <w:rsid w:val="00A610E9"/>
    <w:rsid w:val="00A61355"/>
    <w:rsid w:val="00A613C9"/>
    <w:rsid w:val="00A61CCE"/>
    <w:rsid w:val="00A62DC4"/>
    <w:rsid w:val="00A6310D"/>
    <w:rsid w:val="00A646A2"/>
    <w:rsid w:val="00A65AE8"/>
    <w:rsid w:val="00A66409"/>
    <w:rsid w:val="00A66A22"/>
    <w:rsid w:val="00A66E6E"/>
    <w:rsid w:val="00A67E56"/>
    <w:rsid w:val="00A67E81"/>
    <w:rsid w:val="00A710E4"/>
    <w:rsid w:val="00A71346"/>
    <w:rsid w:val="00A71710"/>
    <w:rsid w:val="00A71B9D"/>
    <w:rsid w:val="00A7222A"/>
    <w:rsid w:val="00A72A43"/>
    <w:rsid w:val="00A72C2E"/>
    <w:rsid w:val="00A73C98"/>
    <w:rsid w:val="00A74C96"/>
    <w:rsid w:val="00A75612"/>
    <w:rsid w:val="00A75B92"/>
    <w:rsid w:val="00A75CF5"/>
    <w:rsid w:val="00A773CB"/>
    <w:rsid w:val="00A774EB"/>
    <w:rsid w:val="00A77DE7"/>
    <w:rsid w:val="00A77DF7"/>
    <w:rsid w:val="00A810BC"/>
    <w:rsid w:val="00A81ED1"/>
    <w:rsid w:val="00A82772"/>
    <w:rsid w:val="00A82E16"/>
    <w:rsid w:val="00A82E36"/>
    <w:rsid w:val="00A835F5"/>
    <w:rsid w:val="00A841B8"/>
    <w:rsid w:val="00A861E5"/>
    <w:rsid w:val="00A86DB7"/>
    <w:rsid w:val="00A87CC8"/>
    <w:rsid w:val="00A87EF1"/>
    <w:rsid w:val="00A91BEB"/>
    <w:rsid w:val="00A920A9"/>
    <w:rsid w:val="00A9236E"/>
    <w:rsid w:val="00A934A7"/>
    <w:rsid w:val="00A9397F"/>
    <w:rsid w:val="00A93F1E"/>
    <w:rsid w:val="00A943C9"/>
    <w:rsid w:val="00A95438"/>
    <w:rsid w:val="00A957DF"/>
    <w:rsid w:val="00AA0259"/>
    <w:rsid w:val="00AA1441"/>
    <w:rsid w:val="00AA1FCC"/>
    <w:rsid w:val="00AA2632"/>
    <w:rsid w:val="00AA2A4E"/>
    <w:rsid w:val="00AA2CCD"/>
    <w:rsid w:val="00AA2F57"/>
    <w:rsid w:val="00AA389E"/>
    <w:rsid w:val="00AA50AB"/>
    <w:rsid w:val="00AA5F1A"/>
    <w:rsid w:val="00AA68DC"/>
    <w:rsid w:val="00AA6F75"/>
    <w:rsid w:val="00AA7CDF"/>
    <w:rsid w:val="00AB0453"/>
    <w:rsid w:val="00AB09D4"/>
    <w:rsid w:val="00AB177F"/>
    <w:rsid w:val="00AB244F"/>
    <w:rsid w:val="00AB246E"/>
    <w:rsid w:val="00AB28DC"/>
    <w:rsid w:val="00AB32EA"/>
    <w:rsid w:val="00AB3E0D"/>
    <w:rsid w:val="00AB4923"/>
    <w:rsid w:val="00AB4DB2"/>
    <w:rsid w:val="00AB59DD"/>
    <w:rsid w:val="00AB5E27"/>
    <w:rsid w:val="00AB5EE7"/>
    <w:rsid w:val="00AB5F39"/>
    <w:rsid w:val="00AB72BF"/>
    <w:rsid w:val="00AB7936"/>
    <w:rsid w:val="00AB7F1C"/>
    <w:rsid w:val="00AC099D"/>
    <w:rsid w:val="00AC1D89"/>
    <w:rsid w:val="00AC3043"/>
    <w:rsid w:val="00AC4B76"/>
    <w:rsid w:val="00AC4EEB"/>
    <w:rsid w:val="00AC51BF"/>
    <w:rsid w:val="00AC51EE"/>
    <w:rsid w:val="00AC65E8"/>
    <w:rsid w:val="00AC673E"/>
    <w:rsid w:val="00AC7406"/>
    <w:rsid w:val="00AC7CFE"/>
    <w:rsid w:val="00AD02BC"/>
    <w:rsid w:val="00AD0C1A"/>
    <w:rsid w:val="00AD0FA6"/>
    <w:rsid w:val="00AD284A"/>
    <w:rsid w:val="00AD2DF8"/>
    <w:rsid w:val="00AD2FAE"/>
    <w:rsid w:val="00AD4914"/>
    <w:rsid w:val="00AD515C"/>
    <w:rsid w:val="00AD548A"/>
    <w:rsid w:val="00AD589E"/>
    <w:rsid w:val="00AD5F68"/>
    <w:rsid w:val="00AD65E4"/>
    <w:rsid w:val="00AD6E5D"/>
    <w:rsid w:val="00AD725A"/>
    <w:rsid w:val="00AD72EE"/>
    <w:rsid w:val="00AE1212"/>
    <w:rsid w:val="00AE1664"/>
    <w:rsid w:val="00AE18C8"/>
    <w:rsid w:val="00AE2A5C"/>
    <w:rsid w:val="00AE2D04"/>
    <w:rsid w:val="00AE356B"/>
    <w:rsid w:val="00AE3F6F"/>
    <w:rsid w:val="00AE41C4"/>
    <w:rsid w:val="00AE42CB"/>
    <w:rsid w:val="00AE494B"/>
    <w:rsid w:val="00AE4DA6"/>
    <w:rsid w:val="00AE53B3"/>
    <w:rsid w:val="00AE5BD7"/>
    <w:rsid w:val="00AE66AD"/>
    <w:rsid w:val="00AE74EB"/>
    <w:rsid w:val="00AE78A5"/>
    <w:rsid w:val="00AF0503"/>
    <w:rsid w:val="00AF110C"/>
    <w:rsid w:val="00AF267C"/>
    <w:rsid w:val="00AF2EB3"/>
    <w:rsid w:val="00AF2FB8"/>
    <w:rsid w:val="00AF3096"/>
    <w:rsid w:val="00AF3163"/>
    <w:rsid w:val="00AF3CDD"/>
    <w:rsid w:val="00AF40D7"/>
    <w:rsid w:val="00AF45FB"/>
    <w:rsid w:val="00AF4C6A"/>
    <w:rsid w:val="00AF4DE1"/>
    <w:rsid w:val="00AF50BD"/>
    <w:rsid w:val="00AF5671"/>
    <w:rsid w:val="00AF5F67"/>
    <w:rsid w:val="00B02A34"/>
    <w:rsid w:val="00B035EC"/>
    <w:rsid w:val="00B03A59"/>
    <w:rsid w:val="00B03E6B"/>
    <w:rsid w:val="00B04B67"/>
    <w:rsid w:val="00B05AF8"/>
    <w:rsid w:val="00B06279"/>
    <w:rsid w:val="00B077B7"/>
    <w:rsid w:val="00B07889"/>
    <w:rsid w:val="00B106DD"/>
    <w:rsid w:val="00B11A6A"/>
    <w:rsid w:val="00B11C30"/>
    <w:rsid w:val="00B12304"/>
    <w:rsid w:val="00B12453"/>
    <w:rsid w:val="00B12632"/>
    <w:rsid w:val="00B126A4"/>
    <w:rsid w:val="00B12F27"/>
    <w:rsid w:val="00B13645"/>
    <w:rsid w:val="00B14C35"/>
    <w:rsid w:val="00B152F3"/>
    <w:rsid w:val="00B15562"/>
    <w:rsid w:val="00B156BB"/>
    <w:rsid w:val="00B164DB"/>
    <w:rsid w:val="00B1728D"/>
    <w:rsid w:val="00B20918"/>
    <w:rsid w:val="00B21441"/>
    <w:rsid w:val="00B21751"/>
    <w:rsid w:val="00B21CE7"/>
    <w:rsid w:val="00B2224F"/>
    <w:rsid w:val="00B22C5D"/>
    <w:rsid w:val="00B22E49"/>
    <w:rsid w:val="00B233A8"/>
    <w:rsid w:val="00B23453"/>
    <w:rsid w:val="00B236D6"/>
    <w:rsid w:val="00B24CCC"/>
    <w:rsid w:val="00B25768"/>
    <w:rsid w:val="00B26475"/>
    <w:rsid w:val="00B27B01"/>
    <w:rsid w:val="00B27BFB"/>
    <w:rsid w:val="00B27DF2"/>
    <w:rsid w:val="00B27EC7"/>
    <w:rsid w:val="00B31113"/>
    <w:rsid w:val="00B31190"/>
    <w:rsid w:val="00B31229"/>
    <w:rsid w:val="00B31500"/>
    <w:rsid w:val="00B31A4E"/>
    <w:rsid w:val="00B32366"/>
    <w:rsid w:val="00B3282F"/>
    <w:rsid w:val="00B32F1D"/>
    <w:rsid w:val="00B33329"/>
    <w:rsid w:val="00B34330"/>
    <w:rsid w:val="00B3450D"/>
    <w:rsid w:val="00B34C28"/>
    <w:rsid w:val="00B34E9E"/>
    <w:rsid w:val="00B35F62"/>
    <w:rsid w:val="00B363EA"/>
    <w:rsid w:val="00B367FD"/>
    <w:rsid w:val="00B372A7"/>
    <w:rsid w:val="00B376EC"/>
    <w:rsid w:val="00B40429"/>
    <w:rsid w:val="00B408E7"/>
    <w:rsid w:val="00B41DB6"/>
    <w:rsid w:val="00B41F2F"/>
    <w:rsid w:val="00B428D0"/>
    <w:rsid w:val="00B42AA6"/>
    <w:rsid w:val="00B43CD7"/>
    <w:rsid w:val="00B441AC"/>
    <w:rsid w:val="00B4488E"/>
    <w:rsid w:val="00B452B0"/>
    <w:rsid w:val="00B45AF2"/>
    <w:rsid w:val="00B45DA2"/>
    <w:rsid w:val="00B462B5"/>
    <w:rsid w:val="00B469EE"/>
    <w:rsid w:val="00B46A03"/>
    <w:rsid w:val="00B46B78"/>
    <w:rsid w:val="00B478BD"/>
    <w:rsid w:val="00B47E26"/>
    <w:rsid w:val="00B511C6"/>
    <w:rsid w:val="00B5149E"/>
    <w:rsid w:val="00B515BD"/>
    <w:rsid w:val="00B51F71"/>
    <w:rsid w:val="00B520CD"/>
    <w:rsid w:val="00B52174"/>
    <w:rsid w:val="00B522ED"/>
    <w:rsid w:val="00B52C58"/>
    <w:rsid w:val="00B54466"/>
    <w:rsid w:val="00B54490"/>
    <w:rsid w:val="00B5561F"/>
    <w:rsid w:val="00B5601A"/>
    <w:rsid w:val="00B56B48"/>
    <w:rsid w:val="00B56DFB"/>
    <w:rsid w:val="00B56FED"/>
    <w:rsid w:val="00B574B7"/>
    <w:rsid w:val="00B57637"/>
    <w:rsid w:val="00B57D0C"/>
    <w:rsid w:val="00B615B5"/>
    <w:rsid w:val="00B615BF"/>
    <w:rsid w:val="00B621A4"/>
    <w:rsid w:val="00B62573"/>
    <w:rsid w:val="00B62640"/>
    <w:rsid w:val="00B64D24"/>
    <w:rsid w:val="00B664F7"/>
    <w:rsid w:val="00B679CA"/>
    <w:rsid w:val="00B67E64"/>
    <w:rsid w:val="00B71D2B"/>
    <w:rsid w:val="00B72137"/>
    <w:rsid w:val="00B72186"/>
    <w:rsid w:val="00B723E6"/>
    <w:rsid w:val="00B72A11"/>
    <w:rsid w:val="00B72AD8"/>
    <w:rsid w:val="00B72F8D"/>
    <w:rsid w:val="00B7323C"/>
    <w:rsid w:val="00B7344D"/>
    <w:rsid w:val="00B73467"/>
    <w:rsid w:val="00B73FBC"/>
    <w:rsid w:val="00B74F55"/>
    <w:rsid w:val="00B7565C"/>
    <w:rsid w:val="00B759E0"/>
    <w:rsid w:val="00B75C52"/>
    <w:rsid w:val="00B76A39"/>
    <w:rsid w:val="00B80413"/>
    <w:rsid w:val="00B815B4"/>
    <w:rsid w:val="00B81C8E"/>
    <w:rsid w:val="00B8291B"/>
    <w:rsid w:val="00B833AA"/>
    <w:rsid w:val="00B83EFA"/>
    <w:rsid w:val="00B8523B"/>
    <w:rsid w:val="00B85283"/>
    <w:rsid w:val="00B858AE"/>
    <w:rsid w:val="00B85D93"/>
    <w:rsid w:val="00B865F9"/>
    <w:rsid w:val="00B8708A"/>
    <w:rsid w:val="00B91D05"/>
    <w:rsid w:val="00B93143"/>
    <w:rsid w:val="00B932DA"/>
    <w:rsid w:val="00B9332A"/>
    <w:rsid w:val="00B93464"/>
    <w:rsid w:val="00B947AD"/>
    <w:rsid w:val="00B96322"/>
    <w:rsid w:val="00B968D4"/>
    <w:rsid w:val="00B96B9F"/>
    <w:rsid w:val="00B97971"/>
    <w:rsid w:val="00B97D05"/>
    <w:rsid w:val="00BA001A"/>
    <w:rsid w:val="00BA080E"/>
    <w:rsid w:val="00BA11EE"/>
    <w:rsid w:val="00BA1914"/>
    <w:rsid w:val="00BA1BFD"/>
    <w:rsid w:val="00BA215E"/>
    <w:rsid w:val="00BA4A72"/>
    <w:rsid w:val="00BA590B"/>
    <w:rsid w:val="00BA6DEF"/>
    <w:rsid w:val="00BB069B"/>
    <w:rsid w:val="00BB0CEC"/>
    <w:rsid w:val="00BB0D16"/>
    <w:rsid w:val="00BB0DDC"/>
    <w:rsid w:val="00BB204A"/>
    <w:rsid w:val="00BB2420"/>
    <w:rsid w:val="00BB3444"/>
    <w:rsid w:val="00BB3790"/>
    <w:rsid w:val="00BB3CA1"/>
    <w:rsid w:val="00BB3E89"/>
    <w:rsid w:val="00BB4223"/>
    <w:rsid w:val="00BB50A6"/>
    <w:rsid w:val="00BB5F00"/>
    <w:rsid w:val="00BB635E"/>
    <w:rsid w:val="00BB6E63"/>
    <w:rsid w:val="00BC065E"/>
    <w:rsid w:val="00BC0FB1"/>
    <w:rsid w:val="00BC10DA"/>
    <w:rsid w:val="00BC15EB"/>
    <w:rsid w:val="00BC1C42"/>
    <w:rsid w:val="00BC2656"/>
    <w:rsid w:val="00BC2914"/>
    <w:rsid w:val="00BC3F12"/>
    <w:rsid w:val="00BC417D"/>
    <w:rsid w:val="00BC4A6F"/>
    <w:rsid w:val="00BC50A5"/>
    <w:rsid w:val="00BC52C4"/>
    <w:rsid w:val="00BC6E7F"/>
    <w:rsid w:val="00BC6FC6"/>
    <w:rsid w:val="00BC7590"/>
    <w:rsid w:val="00BD1490"/>
    <w:rsid w:val="00BD16BA"/>
    <w:rsid w:val="00BD1AE5"/>
    <w:rsid w:val="00BD2E85"/>
    <w:rsid w:val="00BD36E5"/>
    <w:rsid w:val="00BD4640"/>
    <w:rsid w:val="00BD477E"/>
    <w:rsid w:val="00BD4EFC"/>
    <w:rsid w:val="00BD559F"/>
    <w:rsid w:val="00BD57EB"/>
    <w:rsid w:val="00BD5B80"/>
    <w:rsid w:val="00BD5DC6"/>
    <w:rsid w:val="00BD64A5"/>
    <w:rsid w:val="00BD78FC"/>
    <w:rsid w:val="00BD7CFF"/>
    <w:rsid w:val="00BE018C"/>
    <w:rsid w:val="00BE08E8"/>
    <w:rsid w:val="00BE22D6"/>
    <w:rsid w:val="00BE2EAA"/>
    <w:rsid w:val="00BE30BB"/>
    <w:rsid w:val="00BE54C0"/>
    <w:rsid w:val="00BE565E"/>
    <w:rsid w:val="00BE68BC"/>
    <w:rsid w:val="00BE6EA3"/>
    <w:rsid w:val="00BE7756"/>
    <w:rsid w:val="00BF0794"/>
    <w:rsid w:val="00BF134F"/>
    <w:rsid w:val="00BF1C74"/>
    <w:rsid w:val="00BF28DA"/>
    <w:rsid w:val="00BF2A20"/>
    <w:rsid w:val="00BF3337"/>
    <w:rsid w:val="00BF3ABD"/>
    <w:rsid w:val="00BF4352"/>
    <w:rsid w:val="00BF4A4C"/>
    <w:rsid w:val="00BF53DA"/>
    <w:rsid w:val="00BF5A1F"/>
    <w:rsid w:val="00BF5DAC"/>
    <w:rsid w:val="00BF6B95"/>
    <w:rsid w:val="00C00155"/>
    <w:rsid w:val="00C0053B"/>
    <w:rsid w:val="00C0067F"/>
    <w:rsid w:val="00C0094E"/>
    <w:rsid w:val="00C012A0"/>
    <w:rsid w:val="00C012C9"/>
    <w:rsid w:val="00C01E86"/>
    <w:rsid w:val="00C0212E"/>
    <w:rsid w:val="00C02558"/>
    <w:rsid w:val="00C029F9"/>
    <w:rsid w:val="00C02A17"/>
    <w:rsid w:val="00C02F88"/>
    <w:rsid w:val="00C030D7"/>
    <w:rsid w:val="00C031F3"/>
    <w:rsid w:val="00C04BE5"/>
    <w:rsid w:val="00C04FC8"/>
    <w:rsid w:val="00C05406"/>
    <w:rsid w:val="00C069D6"/>
    <w:rsid w:val="00C06AE2"/>
    <w:rsid w:val="00C073EF"/>
    <w:rsid w:val="00C07AA6"/>
    <w:rsid w:val="00C1060A"/>
    <w:rsid w:val="00C108B8"/>
    <w:rsid w:val="00C10DCE"/>
    <w:rsid w:val="00C10F95"/>
    <w:rsid w:val="00C11CBB"/>
    <w:rsid w:val="00C11E73"/>
    <w:rsid w:val="00C12A48"/>
    <w:rsid w:val="00C12C55"/>
    <w:rsid w:val="00C12F5E"/>
    <w:rsid w:val="00C13250"/>
    <w:rsid w:val="00C136A6"/>
    <w:rsid w:val="00C13E73"/>
    <w:rsid w:val="00C1409B"/>
    <w:rsid w:val="00C14344"/>
    <w:rsid w:val="00C14996"/>
    <w:rsid w:val="00C14B06"/>
    <w:rsid w:val="00C1575C"/>
    <w:rsid w:val="00C159EB"/>
    <w:rsid w:val="00C15B59"/>
    <w:rsid w:val="00C15E20"/>
    <w:rsid w:val="00C16561"/>
    <w:rsid w:val="00C16689"/>
    <w:rsid w:val="00C16AF1"/>
    <w:rsid w:val="00C170D7"/>
    <w:rsid w:val="00C171A3"/>
    <w:rsid w:val="00C222FD"/>
    <w:rsid w:val="00C23880"/>
    <w:rsid w:val="00C23C88"/>
    <w:rsid w:val="00C2412F"/>
    <w:rsid w:val="00C24D0B"/>
    <w:rsid w:val="00C257A1"/>
    <w:rsid w:val="00C25F30"/>
    <w:rsid w:val="00C261D3"/>
    <w:rsid w:val="00C30329"/>
    <w:rsid w:val="00C317BF"/>
    <w:rsid w:val="00C320F5"/>
    <w:rsid w:val="00C33042"/>
    <w:rsid w:val="00C331CB"/>
    <w:rsid w:val="00C34981"/>
    <w:rsid w:val="00C362DC"/>
    <w:rsid w:val="00C37935"/>
    <w:rsid w:val="00C37B00"/>
    <w:rsid w:val="00C40402"/>
    <w:rsid w:val="00C42C6A"/>
    <w:rsid w:val="00C42ED5"/>
    <w:rsid w:val="00C446B9"/>
    <w:rsid w:val="00C44718"/>
    <w:rsid w:val="00C452A7"/>
    <w:rsid w:val="00C45EAD"/>
    <w:rsid w:val="00C469A9"/>
    <w:rsid w:val="00C47025"/>
    <w:rsid w:val="00C508AD"/>
    <w:rsid w:val="00C50D41"/>
    <w:rsid w:val="00C50FCF"/>
    <w:rsid w:val="00C511C9"/>
    <w:rsid w:val="00C5179D"/>
    <w:rsid w:val="00C51E00"/>
    <w:rsid w:val="00C5256E"/>
    <w:rsid w:val="00C5258F"/>
    <w:rsid w:val="00C529E3"/>
    <w:rsid w:val="00C52A2D"/>
    <w:rsid w:val="00C53477"/>
    <w:rsid w:val="00C53C64"/>
    <w:rsid w:val="00C53DDE"/>
    <w:rsid w:val="00C546A9"/>
    <w:rsid w:val="00C54BC5"/>
    <w:rsid w:val="00C55630"/>
    <w:rsid w:val="00C55A50"/>
    <w:rsid w:val="00C573F7"/>
    <w:rsid w:val="00C57AC5"/>
    <w:rsid w:val="00C612D8"/>
    <w:rsid w:val="00C615C1"/>
    <w:rsid w:val="00C61BA7"/>
    <w:rsid w:val="00C61EE5"/>
    <w:rsid w:val="00C62851"/>
    <w:rsid w:val="00C63419"/>
    <w:rsid w:val="00C6378A"/>
    <w:rsid w:val="00C63A2E"/>
    <w:rsid w:val="00C63DC7"/>
    <w:rsid w:val="00C64083"/>
    <w:rsid w:val="00C6413F"/>
    <w:rsid w:val="00C64303"/>
    <w:rsid w:val="00C65016"/>
    <w:rsid w:val="00C6554B"/>
    <w:rsid w:val="00C65BE1"/>
    <w:rsid w:val="00C65F92"/>
    <w:rsid w:val="00C668AE"/>
    <w:rsid w:val="00C66C73"/>
    <w:rsid w:val="00C67BC7"/>
    <w:rsid w:val="00C70027"/>
    <w:rsid w:val="00C7017E"/>
    <w:rsid w:val="00C70BDE"/>
    <w:rsid w:val="00C70D8B"/>
    <w:rsid w:val="00C70FB2"/>
    <w:rsid w:val="00C716F1"/>
    <w:rsid w:val="00C71C84"/>
    <w:rsid w:val="00C728AD"/>
    <w:rsid w:val="00C72B4F"/>
    <w:rsid w:val="00C732C1"/>
    <w:rsid w:val="00C73723"/>
    <w:rsid w:val="00C73763"/>
    <w:rsid w:val="00C73923"/>
    <w:rsid w:val="00C745B3"/>
    <w:rsid w:val="00C745EE"/>
    <w:rsid w:val="00C747D2"/>
    <w:rsid w:val="00C748D6"/>
    <w:rsid w:val="00C74A1F"/>
    <w:rsid w:val="00C74A79"/>
    <w:rsid w:val="00C751C5"/>
    <w:rsid w:val="00C75E90"/>
    <w:rsid w:val="00C76560"/>
    <w:rsid w:val="00C7664B"/>
    <w:rsid w:val="00C76830"/>
    <w:rsid w:val="00C76E8A"/>
    <w:rsid w:val="00C7723B"/>
    <w:rsid w:val="00C77589"/>
    <w:rsid w:val="00C77B95"/>
    <w:rsid w:val="00C77D3A"/>
    <w:rsid w:val="00C8053A"/>
    <w:rsid w:val="00C8158F"/>
    <w:rsid w:val="00C81705"/>
    <w:rsid w:val="00C81D7D"/>
    <w:rsid w:val="00C81FCC"/>
    <w:rsid w:val="00C831A9"/>
    <w:rsid w:val="00C8394F"/>
    <w:rsid w:val="00C8398F"/>
    <w:rsid w:val="00C84AF6"/>
    <w:rsid w:val="00C84C12"/>
    <w:rsid w:val="00C85593"/>
    <w:rsid w:val="00C85863"/>
    <w:rsid w:val="00C860B5"/>
    <w:rsid w:val="00C87063"/>
    <w:rsid w:val="00C87630"/>
    <w:rsid w:val="00C8764C"/>
    <w:rsid w:val="00C878CC"/>
    <w:rsid w:val="00C91602"/>
    <w:rsid w:val="00C94FFA"/>
    <w:rsid w:val="00C9500F"/>
    <w:rsid w:val="00C95687"/>
    <w:rsid w:val="00C961E1"/>
    <w:rsid w:val="00C96493"/>
    <w:rsid w:val="00C96A63"/>
    <w:rsid w:val="00C97904"/>
    <w:rsid w:val="00CA1866"/>
    <w:rsid w:val="00CA1FDC"/>
    <w:rsid w:val="00CA2147"/>
    <w:rsid w:val="00CA2442"/>
    <w:rsid w:val="00CA28DE"/>
    <w:rsid w:val="00CA2EB6"/>
    <w:rsid w:val="00CA491A"/>
    <w:rsid w:val="00CA4C01"/>
    <w:rsid w:val="00CA4F14"/>
    <w:rsid w:val="00CA540B"/>
    <w:rsid w:val="00CA69BD"/>
    <w:rsid w:val="00CA6DFE"/>
    <w:rsid w:val="00CA7108"/>
    <w:rsid w:val="00CA7648"/>
    <w:rsid w:val="00CA7E02"/>
    <w:rsid w:val="00CB05A0"/>
    <w:rsid w:val="00CB060D"/>
    <w:rsid w:val="00CB0A5B"/>
    <w:rsid w:val="00CB0DD1"/>
    <w:rsid w:val="00CB1808"/>
    <w:rsid w:val="00CB2030"/>
    <w:rsid w:val="00CB2072"/>
    <w:rsid w:val="00CB2753"/>
    <w:rsid w:val="00CB2FD1"/>
    <w:rsid w:val="00CB357D"/>
    <w:rsid w:val="00CB4826"/>
    <w:rsid w:val="00CB4E95"/>
    <w:rsid w:val="00CB4EF6"/>
    <w:rsid w:val="00CB700F"/>
    <w:rsid w:val="00CB7030"/>
    <w:rsid w:val="00CB7554"/>
    <w:rsid w:val="00CB760E"/>
    <w:rsid w:val="00CB764F"/>
    <w:rsid w:val="00CB7717"/>
    <w:rsid w:val="00CB7A40"/>
    <w:rsid w:val="00CB7EF7"/>
    <w:rsid w:val="00CC0050"/>
    <w:rsid w:val="00CC0E85"/>
    <w:rsid w:val="00CC11FD"/>
    <w:rsid w:val="00CC211F"/>
    <w:rsid w:val="00CC3212"/>
    <w:rsid w:val="00CC3352"/>
    <w:rsid w:val="00CC376D"/>
    <w:rsid w:val="00CC3D93"/>
    <w:rsid w:val="00CC5792"/>
    <w:rsid w:val="00CC6B3C"/>
    <w:rsid w:val="00CC7F85"/>
    <w:rsid w:val="00CD014C"/>
    <w:rsid w:val="00CD0972"/>
    <w:rsid w:val="00CD0D97"/>
    <w:rsid w:val="00CD1319"/>
    <w:rsid w:val="00CD22F8"/>
    <w:rsid w:val="00CD2A5B"/>
    <w:rsid w:val="00CD36A6"/>
    <w:rsid w:val="00CD376A"/>
    <w:rsid w:val="00CD3C1E"/>
    <w:rsid w:val="00CD3EC8"/>
    <w:rsid w:val="00CD4144"/>
    <w:rsid w:val="00CD454A"/>
    <w:rsid w:val="00CD4A89"/>
    <w:rsid w:val="00CD4CE4"/>
    <w:rsid w:val="00CD4D2D"/>
    <w:rsid w:val="00CD6568"/>
    <w:rsid w:val="00CD73E0"/>
    <w:rsid w:val="00CE1531"/>
    <w:rsid w:val="00CE1976"/>
    <w:rsid w:val="00CE3505"/>
    <w:rsid w:val="00CE3955"/>
    <w:rsid w:val="00CE3F1C"/>
    <w:rsid w:val="00CE4386"/>
    <w:rsid w:val="00CE56AA"/>
    <w:rsid w:val="00CE58EB"/>
    <w:rsid w:val="00CE62AE"/>
    <w:rsid w:val="00CE688E"/>
    <w:rsid w:val="00CE6D97"/>
    <w:rsid w:val="00CE73C1"/>
    <w:rsid w:val="00CF026A"/>
    <w:rsid w:val="00CF347B"/>
    <w:rsid w:val="00CF3BAD"/>
    <w:rsid w:val="00CF3EFE"/>
    <w:rsid w:val="00CF3FDF"/>
    <w:rsid w:val="00CF4B19"/>
    <w:rsid w:val="00CF4CB3"/>
    <w:rsid w:val="00CF636F"/>
    <w:rsid w:val="00CF6AD4"/>
    <w:rsid w:val="00CF6F76"/>
    <w:rsid w:val="00CF7EB9"/>
    <w:rsid w:val="00CF7ED7"/>
    <w:rsid w:val="00CF7EE8"/>
    <w:rsid w:val="00D0008E"/>
    <w:rsid w:val="00D00294"/>
    <w:rsid w:val="00D01C8E"/>
    <w:rsid w:val="00D02562"/>
    <w:rsid w:val="00D02C72"/>
    <w:rsid w:val="00D03C6B"/>
    <w:rsid w:val="00D04FD4"/>
    <w:rsid w:val="00D05066"/>
    <w:rsid w:val="00D056B7"/>
    <w:rsid w:val="00D06127"/>
    <w:rsid w:val="00D06460"/>
    <w:rsid w:val="00D06665"/>
    <w:rsid w:val="00D067D9"/>
    <w:rsid w:val="00D06B6B"/>
    <w:rsid w:val="00D0725A"/>
    <w:rsid w:val="00D07B77"/>
    <w:rsid w:val="00D10F54"/>
    <w:rsid w:val="00D116CB"/>
    <w:rsid w:val="00D11F20"/>
    <w:rsid w:val="00D12109"/>
    <w:rsid w:val="00D1222D"/>
    <w:rsid w:val="00D123EE"/>
    <w:rsid w:val="00D132D2"/>
    <w:rsid w:val="00D137AB"/>
    <w:rsid w:val="00D1389F"/>
    <w:rsid w:val="00D13C2E"/>
    <w:rsid w:val="00D14AE6"/>
    <w:rsid w:val="00D14B81"/>
    <w:rsid w:val="00D162A7"/>
    <w:rsid w:val="00D164D4"/>
    <w:rsid w:val="00D16851"/>
    <w:rsid w:val="00D174EE"/>
    <w:rsid w:val="00D17C9F"/>
    <w:rsid w:val="00D17E93"/>
    <w:rsid w:val="00D17EAE"/>
    <w:rsid w:val="00D2073E"/>
    <w:rsid w:val="00D208A8"/>
    <w:rsid w:val="00D20C4E"/>
    <w:rsid w:val="00D21078"/>
    <w:rsid w:val="00D2249C"/>
    <w:rsid w:val="00D2352B"/>
    <w:rsid w:val="00D244FA"/>
    <w:rsid w:val="00D24E3E"/>
    <w:rsid w:val="00D25861"/>
    <w:rsid w:val="00D26199"/>
    <w:rsid w:val="00D268CB"/>
    <w:rsid w:val="00D2695D"/>
    <w:rsid w:val="00D27A95"/>
    <w:rsid w:val="00D27AFA"/>
    <w:rsid w:val="00D30210"/>
    <w:rsid w:val="00D312E7"/>
    <w:rsid w:val="00D320B9"/>
    <w:rsid w:val="00D3235D"/>
    <w:rsid w:val="00D332C9"/>
    <w:rsid w:val="00D336FD"/>
    <w:rsid w:val="00D33BC0"/>
    <w:rsid w:val="00D33F5E"/>
    <w:rsid w:val="00D3451C"/>
    <w:rsid w:val="00D346D0"/>
    <w:rsid w:val="00D34A6B"/>
    <w:rsid w:val="00D35143"/>
    <w:rsid w:val="00D36DCA"/>
    <w:rsid w:val="00D379B5"/>
    <w:rsid w:val="00D37F8C"/>
    <w:rsid w:val="00D40DE3"/>
    <w:rsid w:val="00D41333"/>
    <w:rsid w:val="00D42D4A"/>
    <w:rsid w:val="00D4386B"/>
    <w:rsid w:val="00D456E4"/>
    <w:rsid w:val="00D459A0"/>
    <w:rsid w:val="00D46181"/>
    <w:rsid w:val="00D46568"/>
    <w:rsid w:val="00D4669E"/>
    <w:rsid w:val="00D46D11"/>
    <w:rsid w:val="00D472B2"/>
    <w:rsid w:val="00D476F4"/>
    <w:rsid w:val="00D479A6"/>
    <w:rsid w:val="00D479C1"/>
    <w:rsid w:val="00D47CD6"/>
    <w:rsid w:val="00D51C3B"/>
    <w:rsid w:val="00D52390"/>
    <w:rsid w:val="00D5263F"/>
    <w:rsid w:val="00D529BD"/>
    <w:rsid w:val="00D541C0"/>
    <w:rsid w:val="00D54574"/>
    <w:rsid w:val="00D546AC"/>
    <w:rsid w:val="00D54701"/>
    <w:rsid w:val="00D54B0A"/>
    <w:rsid w:val="00D55224"/>
    <w:rsid w:val="00D55ACE"/>
    <w:rsid w:val="00D5693A"/>
    <w:rsid w:val="00D6037A"/>
    <w:rsid w:val="00D60602"/>
    <w:rsid w:val="00D60BB9"/>
    <w:rsid w:val="00D60F09"/>
    <w:rsid w:val="00D61325"/>
    <w:rsid w:val="00D6185D"/>
    <w:rsid w:val="00D61B27"/>
    <w:rsid w:val="00D61C75"/>
    <w:rsid w:val="00D6277C"/>
    <w:rsid w:val="00D6443F"/>
    <w:rsid w:val="00D64F7D"/>
    <w:rsid w:val="00D65C36"/>
    <w:rsid w:val="00D67762"/>
    <w:rsid w:val="00D67A41"/>
    <w:rsid w:val="00D67A7F"/>
    <w:rsid w:val="00D707DD"/>
    <w:rsid w:val="00D715FB"/>
    <w:rsid w:val="00D716DB"/>
    <w:rsid w:val="00D719DC"/>
    <w:rsid w:val="00D72084"/>
    <w:rsid w:val="00D72450"/>
    <w:rsid w:val="00D72867"/>
    <w:rsid w:val="00D72962"/>
    <w:rsid w:val="00D72D2E"/>
    <w:rsid w:val="00D72DB7"/>
    <w:rsid w:val="00D7375B"/>
    <w:rsid w:val="00D73B43"/>
    <w:rsid w:val="00D74164"/>
    <w:rsid w:val="00D74792"/>
    <w:rsid w:val="00D762E2"/>
    <w:rsid w:val="00D76B56"/>
    <w:rsid w:val="00D76B6C"/>
    <w:rsid w:val="00D77E21"/>
    <w:rsid w:val="00D81194"/>
    <w:rsid w:val="00D815F6"/>
    <w:rsid w:val="00D81D58"/>
    <w:rsid w:val="00D82725"/>
    <w:rsid w:val="00D82900"/>
    <w:rsid w:val="00D82C3A"/>
    <w:rsid w:val="00D83097"/>
    <w:rsid w:val="00D834EA"/>
    <w:rsid w:val="00D83522"/>
    <w:rsid w:val="00D8387A"/>
    <w:rsid w:val="00D8454E"/>
    <w:rsid w:val="00D84593"/>
    <w:rsid w:val="00D848F1"/>
    <w:rsid w:val="00D85E60"/>
    <w:rsid w:val="00D8602A"/>
    <w:rsid w:val="00D869CE"/>
    <w:rsid w:val="00D86A40"/>
    <w:rsid w:val="00D86FFE"/>
    <w:rsid w:val="00D87109"/>
    <w:rsid w:val="00D90097"/>
    <w:rsid w:val="00D900E3"/>
    <w:rsid w:val="00D90631"/>
    <w:rsid w:val="00D9081F"/>
    <w:rsid w:val="00D9237F"/>
    <w:rsid w:val="00D9239B"/>
    <w:rsid w:val="00D92F93"/>
    <w:rsid w:val="00D93065"/>
    <w:rsid w:val="00D93176"/>
    <w:rsid w:val="00D935DC"/>
    <w:rsid w:val="00D94B29"/>
    <w:rsid w:val="00D94E24"/>
    <w:rsid w:val="00D951C7"/>
    <w:rsid w:val="00D974CC"/>
    <w:rsid w:val="00D9793A"/>
    <w:rsid w:val="00DA0A38"/>
    <w:rsid w:val="00DA0CF7"/>
    <w:rsid w:val="00DA0ED2"/>
    <w:rsid w:val="00DA1D59"/>
    <w:rsid w:val="00DA2E13"/>
    <w:rsid w:val="00DA38AF"/>
    <w:rsid w:val="00DA4981"/>
    <w:rsid w:val="00DA4F0D"/>
    <w:rsid w:val="00DA5059"/>
    <w:rsid w:val="00DA584F"/>
    <w:rsid w:val="00DA623D"/>
    <w:rsid w:val="00DA6E43"/>
    <w:rsid w:val="00DA6FAE"/>
    <w:rsid w:val="00DA7103"/>
    <w:rsid w:val="00DA7B0F"/>
    <w:rsid w:val="00DB08A3"/>
    <w:rsid w:val="00DB0CD2"/>
    <w:rsid w:val="00DB0D83"/>
    <w:rsid w:val="00DB0F5D"/>
    <w:rsid w:val="00DB11B5"/>
    <w:rsid w:val="00DB11CE"/>
    <w:rsid w:val="00DB1348"/>
    <w:rsid w:val="00DB185A"/>
    <w:rsid w:val="00DB30D0"/>
    <w:rsid w:val="00DB3113"/>
    <w:rsid w:val="00DB36D0"/>
    <w:rsid w:val="00DB4264"/>
    <w:rsid w:val="00DB57C6"/>
    <w:rsid w:val="00DB58AC"/>
    <w:rsid w:val="00DB614D"/>
    <w:rsid w:val="00DB682A"/>
    <w:rsid w:val="00DB70D2"/>
    <w:rsid w:val="00DC01E7"/>
    <w:rsid w:val="00DC0C98"/>
    <w:rsid w:val="00DC0D6D"/>
    <w:rsid w:val="00DC184D"/>
    <w:rsid w:val="00DC1915"/>
    <w:rsid w:val="00DC21AD"/>
    <w:rsid w:val="00DC21E7"/>
    <w:rsid w:val="00DC234F"/>
    <w:rsid w:val="00DC2B59"/>
    <w:rsid w:val="00DC30C3"/>
    <w:rsid w:val="00DC34E6"/>
    <w:rsid w:val="00DC39B1"/>
    <w:rsid w:val="00DC3FEF"/>
    <w:rsid w:val="00DC477B"/>
    <w:rsid w:val="00DC4A0B"/>
    <w:rsid w:val="00DC4B3C"/>
    <w:rsid w:val="00DC553D"/>
    <w:rsid w:val="00DC5799"/>
    <w:rsid w:val="00DC6EBF"/>
    <w:rsid w:val="00DC7EE9"/>
    <w:rsid w:val="00DD1294"/>
    <w:rsid w:val="00DD1C70"/>
    <w:rsid w:val="00DD1E04"/>
    <w:rsid w:val="00DD37D2"/>
    <w:rsid w:val="00DD4C75"/>
    <w:rsid w:val="00DD584A"/>
    <w:rsid w:val="00DD5D34"/>
    <w:rsid w:val="00DD6B42"/>
    <w:rsid w:val="00DD767F"/>
    <w:rsid w:val="00DE0065"/>
    <w:rsid w:val="00DE131A"/>
    <w:rsid w:val="00DE176B"/>
    <w:rsid w:val="00DE3298"/>
    <w:rsid w:val="00DE34ED"/>
    <w:rsid w:val="00DE3856"/>
    <w:rsid w:val="00DE52A5"/>
    <w:rsid w:val="00DE5C04"/>
    <w:rsid w:val="00DE6F64"/>
    <w:rsid w:val="00DE717F"/>
    <w:rsid w:val="00DE7620"/>
    <w:rsid w:val="00DE7DAF"/>
    <w:rsid w:val="00DF2B27"/>
    <w:rsid w:val="00DF3D1C"/>
    <w:rsid w:val="00DF4775"/>
    <w:rsid w:val="00DF482E"/>
    <w:rsid w:val="00DF58C9"/>
    <w:rsid w:val="00DF6766"/>
    <w:rsid w:val="00DF689F"/>
    <w:rsid w:val="00E00080"/>
    <w:rsid w:val="00E004E5"/>
    <w:rsid w:val="00E011BF"/>
    <w:rsid w:val="00E01BF6"/>
    <w:rsid w:val="00E01F3C"/>
    <w:rsid w:val="00E04351"/>
    <w:rsid w:val="00E04A6B"/>
    <w:rsid w:val="00E053E3"/>
    <w:rsid w:val="00E05EFC"/>
    <w:rsid w:val="00E06937"/>
    <w:rsid w:val="00E07284"/>
    <w:rsid w:val="00E10B68"/>
    <w:rsid w:val="00E10C63"/>
    <w:rsid w:val="00E10D21"/>
    <w:rsid w:val="00E119F0"/>
    <w:rsid w:val="00E11E5A"/>
    <w:rsid w:val="00E121EE"/>
    <w:rsid w:val="00E12491"/>
    <w:rsid w:val="00E1377E"/>
    <w:rsid w:val="00E13DF1"/>
    <w:rsid w:val="00E143CC"/>
    <w:rsid w:val="00E14622"/>
    <w:rsid w:val="00E1475D"/>
    <w:rsid w:val="00E154CD"/>
    <w:rsid w:val="00E15A34"/>
    <w:rsid w:val="00E15F53"/>
    <w:rsid w:val="00E162FA"/>
    <w:rsid w:val="00E16922"/>
    <w:rsid w:val="00E16B28"/>
    <w:rsid w:val="00E17087"/>
    <w:rsid w:val="00E17650"/>
    <w:rsid w:val="00E17817"/>
    <w:rsid w:val="00E20054"/>
    <w:rsid w:val="00E20482"/>
    <w:rsid w:val="00E2151B"/>
    <w:rsid w:val="00E2188C"/>
    <w:rsid w:val="00E21D0B"/>
    <w:rsid w:val="00E2227A"/>
    <w:rsid w:val="00E22A9D"/>
    <w:rsid w:val="00E239A4"/>
    <w:rsid w:val="00E23AC3"/>
    <w:rsid w:val="00E23DCC"/>
    <w:rsid w:val="00E251EB"/>
    <w:rsid w:val="00E252FB"/>
    <w:rsid w:val="00E2577F"/>
    <w:rsid w:val="00E25976"/>
    <w:rsid w:val="00E26C02"/>
    <w:rsid w:val="00E2729A"/>
    <w:rsid w:val="00E27721"/>
    <w:rsid w:val="00E27C1F"/>
    <w:rsid w:val="00E27DB1"/>
    <w:rsid w:val="00E30B46"/>
    <w:rsid w:val="00E31FFB"/>
    <w:rsid w:val="00E323DA"/>
    <w:rsid w:val="00E32B68"/>
    <w:rsid w:val="00E33DA7"/>
    <w:rsid w:val="00E34AA6"/>
    <w:rsid w:val="00E34F5C"/>
    <w:rsid w:val="00E3540B"/>
    <w:rsid w:val="00E358DB"/>
    <w:rsid w:val="00E36CD3"/>
    <w:rsid w:val="00E37B91"/>
    <w:rsid w:val="00E37C10"/>
    <w:rsid w:val="00E4025A"/>
    <w:rsid w:val="00E4152F"/>
    <w:rsid w:val="00E415C0"/>
    <w:rsid w:val="00E41887"/>
    <w:rsid w:val="00E42BB8"/>
    <w:rsid w:val="00E42D5C"/>
    <w:rsid w:val="00E43701"/>
    <w:rsid w:val="00E43AAF"/>
    <w:rsid w:val="00E4425B"/>
    <w:rsid w:val="00E45390"/>
    <w:rsid w:val="00E45CF5"/>
    <w:rsid w:val="00E46137"/>
    <w:rsid w:val="00E478D7"/>
    <w:rsid w:val="00E47C46"/>
    <w:rsid w:val="00E47D10"/>
    <w:rsid w:val="00E502A6"/>
    <w:rsid w:val="00E508D2"/>
    <w:rsid w:val="00E509E7"/>
    <w:rsid w:val="00E50FEF"/>
    <w:rsid w:val="00E51ED1"/>
    <w:rsid w:val="00E54F07"/>
    <w:rsid w:val="00E57DD7"/>
    <w:rsid w:val="00E600ED"/>
    <w:rsid w:val="00E609D9"/>
    <w:rsid w:val="00E619AE"/>
    <w:rsid w:val="00E61D84"/>
    <w:rsid w:val="00E6208E"/>
    <w:rsid w:val="00E620DB"/>
    <w:rsid w:val="00E636DD"/>
    <w:rsid w:val="00E639BD"/>
    <w:rsid w:val="00E643B3"/>
    <w:rsid w:val="00E64ECA"/>
    <w:rsid w:val="00E6505A"/>
    <w:rsid w:val="00E656EC"/>
    <w:rsid w:val="00E65BD9"/>
    <w:rsid w:val="00E6653D"/>
    <w:rsid w:val="00E668BD"/>
    <w:rsid w:val="00E67ABA"/>
    <w:rsid w:val="00E70494"/>
    <w:rsid w:val="00E70BC8"/>
    <w:rsid w:val="00E7114C"/>
    <w:rsid w:val="00E7118B"/>
    <w:rsid w:val="00E7183D"/>
    <w:rsid w:val="00E723FE"/>
    <w:rsid w:val="00E72682"/>
    <w:rsid w:val="00E73D08"/>
    <w:rsid w:val="00E747DE"/>
    <w:rsid w:val="00E7481A"/>
    <w:rsid w:val="00E74C12"/>
    <w:rsid w:val="00E75A69"/>
    <w:rsid w:val="00E75FAC"/>
    <w:rsid w:val="00E76EE2"/>
    <w:rsid w:val="00E80D8C"/>
    <w:rsid w:val="00E84718"/>
    <w:rsid w:val="00E84882"/>
    <w:rsid w:val="00E85636"/>
    <w:rsid w:val="00E91726"/>
    <w:rsid w:val="00E92180"/>
    <w:rsid w:val="00E93627"/>
    <w:rsid w:val="00E93AD0"/>
    <w:rsid w:val="00E93D63"/>
    <w:rsid w:val="00E93DC2"/>
    <w:rsid w:val="00E94D5F"/>
    <w:rsid w:val="00E955E4"/>
    <w:rsid w:val="00E963B7"/>
    <w:rsid w:val="00EA0D94"/>
    <w:rsid w:val="00EA3070"/>
    <w:rsid w:val="00EA3404"/>
    <w:rsid w:val="00EA3AA3"/>
    <w:rsid w:val="00EA4156"/>
    <w:rsid w:val="00EA41B2"/>
    <w:rsid w:val="00EA5663"/>
    <w:rsid w:val="00EA5B0E"/>
    <w:rsid w:val="00EA5BB5"/>
    <w:rsid w:val="00EA5D1F"/>
    <w:rsid w:val="00EA75EB"/>
    <w:rsid w:val="00EB0D4F"/>
    <w:rsid w:val="00EB0F3B"/>
    <w:rsid w:val="00EB15D1"/>
    <w:rsid w:val="00EB1684"/>
    <w:rsid w:val="00EB1C32"/>
    <w:rsid w:val="00EB207E"/>
    <w:rsid w:val="00EB2868"/>
    <w:rsid w:val="00EB31E1"/>
    <w:rsid w:val="00EB571C"/>
    <w:rsid w:val="00EB5931"/>
    <w:rsid w:val="00EB5B07"/>
    <w:rsid w:val="00EB5C5A"/>
    <w:rsid w:val="00EB5E89"/>
    <w:rsid w:val="00EB6437"/>
    <w:rsid w:val="00EB6580"/>
    <w:rsid w:val="00EC019B"/>
    <w:rsid w:val="00EC048D"/>
    <w:rsid w:val="00EC10E6"/>
    <w:rsid w:val="00EC1732"/>
    <w:rsid w:val="00EC1875"/>
    <w:rsid w:val="00EC2395"/>
    <w:rsid w:val="00EC2E49"/>
    <w:rsid w:val="00EC424E"/>
    <w:rsid w:val="00EC47CB"/>
    <w:rsid w:val="00EC488B"/>
    <w:rsid w:val="00EC4F2A"/>
    <w:rsid w:val="00EC59EC"/>
    <w:rsid w:val="00EC6153"/>
    <w:rsid w:val="00EC623B"/>
    <w:rsid w:val="00EC6911"/>
    <w:rsid w:val="00EC732B"/>
    <w:rsid w:val="00ED0BE4"/>
    <w:rsid w:val="00ED164C"/>
    <w:rsid w:val="00ED1991"/>
    <w:rsid w:val="00ED28C2"/>
    <w:rsid w:val="00ED3AB5"/>
    <w:rsid w:val="00ED3BED"/>
    <w:rsid w:val="00ED41D8"/>
    <w:rsid w:val="00ED5C88"/>
    <w:rsid w:val="00ED5FD9"/>
    <w:rsid w:val="00ED62F3"/>
    <w:rsid w:val="00ED7769"/>
    <w:rsid w:val="00ED7B20"/>
    <w:rsid w:val="00ED7F8E"/>
    <w:rsid w:val="00EE09C7"/>
    <w:rsid w:val="00EE0ACC"/>
    <w:rsid w:val="00EE0EB8"/>
    <w:rsid w:val="00EE134E"/>
    <w:rsid w:val="00EE16C6"/>
    <w:rsid w:val="00EE21B8"/>
    <w:rsid w:val="00EE2492"/>
    <w:rsid w:val="00EE33DB"/>
    <w:rsid w:val="00EE3AE2"/>
    <w:rsid w:val="00EE3FF5"/>
    <w:rsid w:val="00EE445D"/>
    <w:rsid w:val="00EE4A89"/>
    <w:rsid w:val="00EE5B93"/>
    <w:rsid w:val="00EE5E8C"/>
    <w:rsid w:val="00EE6122"/>
    <w:rsid w:val="00EE67CE"/>
    <w:rsid w:val="00EE79CF"/>
    <w:rsid w:val="00EF0918"/>
    <w:rsid w:val="00EF0BEF"/>
    <w:rsid w:val="00EF102F"/>
    <w:rsid w:val="00EF11E0"/>
    <w:rsid w:val="00EF1554"/>
    <w:rsid w:val="00EF1A33"/>
    <w:rsid w:val="00EF28BC"/>
    <w:rsid w:val="00EF36AB"/>
    <w:rsid w:val="00EF3941"/>
    <w:rsid w:val="00EF40C6"/>
    <w:rsid w:val="00EF4129"/>
    <w:rsid w:val="00EF46EC"/>
    <w:rsid w:val="00EF4A00"/>
    <w:rsid w:val="00EF513A"/>
    <w:rsid w:val="00EF6E3E"/>
    <w:rsid w:val="00EF7CF8"/>
    <w:rsid w:val="00F00217"/>
    <w:rsid w:val="00F00428"/>
    <w:rsid w:val="00F00E38"/>
    <w:rsid w:val="00F0175A"/>
    <w:rsid w:val="00F02126"/>
    <w:rsid w:val="00F025AB"/>
    <w:rsid w:val="00F027C3"/>
    <w:rsid w:val="00F03603"/>
    <w:rsid w:val="00F03660"/>
    <w:rsid w:val="00F036AF"/>
    <w:rsid w:val="00F03704"/>
    <w:rsid w:val="00F03952"/>
    <w:rsid w:val="00F04128"/>
    <w:rsid w:val="00F04837"/>
    <w:rsid w:val="00F0614E"/>
    <w:rsid w:val="00F10FF4"/>
    <w:rsid w:val="00F11057"/>
    <w:rsid w:val="00F11823"/>
    <w:rsid w:val="00F1329C"/>
    <w:rsid w:val="00F13584"/>
    <w:rsid w:val="00F152D0"/>
    <w:rsid w:val="00F154A7"/>
    <w:rsid w:val="00F16139"/>
    <w:rsid w:val="00F16A70"/>
    <w:rsid w:val="00F20408"/>
    <w:rsid w:val="00F20859"/>
    <w:rsid w:val="00F20924"/>
    <w:rsid w:val="00F20DFB"/>
    <w:rsid w:val="00F20EF9"/>
    <w:rsid w:val="00F217A6"/>
    <w:rsid w:val="00F2257C"/>
    <w:rsid w:val="00F23A60"/>
    <w:rsid w:val="00F23BB4"/>
    <w:rsid w:val="00F247BE"/>
    <w:rsid w:val="00F247F2"/>
    <w:rsid w:val="00F255BE"/>
    <w:rsid w:val="00F2573E"/>
    <w:rsid w:val="00F257A7"/>
    <w:rsid w:val="00F257AA"/>
    <w:rsid w:val="00F26FC4"/>
    <w:rsid w:val="00F30103"/>
    <w:rsid w:val="00F301E9"/>
    <w:rsid w:val="00F31F7F"/>
    <w:rsid w:val="00F3232C"/>
    <w:rsid w:val="00F32462"/>
    <w:rsid w:val="00F32A0E"/>
    <w:rsid w:val="00F3337C"/>
    <w:rsid w:val="00F33704"/>
    <w:rsid w:val="00F33A62"/>
    <w:rsid w:val="00F340FA"/>
    <w:rsid w:val="00F345B2"/>
    <w:rsid w:val="00F34BAA"/>
    <w:rsid w:val="00F352EC"/>
    <w:rsid w:val="00F36E39"/>
    <w:rsid w:val="00F3728D"/>
    <w:rsid w:val="00F40ECF"/>
    <w:rsid w:val="00F41C75"/>
    <w:rsid w:val="00F42494"/>
    <w:rsid w:val="00F42732"/>
    <w:rsid w:val="00F4287D"/>
    <w:rsid w:val="00F432DA"/>
    <w:rsid w:val="00F43B5E"/>
    <w:rsid w:val="00F45B49"/>
    <w:rsid w:val="00F45C92"/>
    <w:rsid w:val="00F4776C"/>
    <w:rsid w:val="00F50409"/>
    <w:rsid w:val="00F51740"/>
    <w:rsid w:val="00F51ED8"/>
    <w:rsid w:val="00F5429D"/>
    <w:rsid w:val="00F5492F"/>
    <w:rsid w:val="00F54CB9"/>
    <w:rsid w:val="00F54FAD"/>
    <w:rsid w:val="00F551B7"/>
    <w:rsid w:val="00F557E5"/>
    <w:rsid w:val="00F55AAA"/>
    <w:rsid w:val="00F578BD"/>
    <w:rsid w:val="00F611E7"/>
    <w:rsid w:val="00F6334E"/>
    <w:rsid w:val="00F63C35"/>
    <w:rsid w:val="00F6422B"/>
    <w:rsid w:val="00F64288"/>
    <w:rsid w:val="00F64AF4"/>
    <w:rsid w:val="00F65F34"/>
    <w:rsid w:val="00F6601A"/>
    <w:rsid w:val="00F66AB8"/>
    <w:rsid w:val="00F673C1"/>
    <w:rsid w:val="00F677D5"/>
    <w:rsid w:val="00F67A50"/>
    <w:rsid w:val="00F701F3"/>
    <w:rsid w:val="00F70B26"/>
    <w:rsid w:val="00F7144F"/>
    <w:rsid w:val="00F7152A"/>
    <w:rsid w:val="00F71613"/>
    <w:rsid w:val="00F71622"/>
    <w:rsid w:val="00F71FA7"/>
    <w:rsid w:val="00F727EF"/>
    <w:rsid w:val="00F73022"/>
    <w:rsid w:val="00F7426F"/>
    <w:rsid w:val="00F74671"/>
    <w:rsid w:val="00F75D16"/>
    <w:rsid w:val="00F75F83"/>
    <w:rsid w:val="00F7670A"/>
    <w:rsid w:val="00F76AFD"/>
    <w:rsid w:val="00F77631"/>
    <w:rsid w:val="00F8014F"/>
    <w:rsid w:val="00F80954"/>
    <w:rsid w:val="00F81BC6"/>
    <w:rsid w:val="00F82578"/>
    <w:rsid w:val="00F82AAC"/>
    <w:rsid w:val="00F83339"/>
    <w:rsid w:val="00F8344B"/>
    <w:rsid w:val="00F83E18"/>
    <w:rsid w:val="00F84B65"/>
    <w:rsid w:val="00F84CD5"/>
    <w:rsid w:val="00F865C7"/>
    <w:rsid w:val="00F87693"/>
    <w:rsid w:val="00F90241"/>
    <w:rsid w:val="00F9085E"/>
    <w:rsid w:val="00F9097C"/>
    <w:rsid w:val="00F90A15"/>
    <w:rsid w:val="00F90BEB"/>
    <w:rsid w:val="00F91A8F"/>
    <w:rsid w:val="00F92C5D"/>
    <w:rsid w:val="00F9311E"/>
    <w:rsid w:val="00F94EDC"/>
    <w:rsid w:val="00F95C62"/>
    <w:rsid w:val="00F96504"/>
    <w:rsid w:val="00F96820"/>
    <w:rsid w:val="00F973BB"/>
    <w:rsid w:val="00F9751E"/>
    <w:rsid w:val="00FA0AEF"/>
    <w:rsid w:val="00FA1AFF"/>
    <w:rsid w:val="00FA2918"/>
    <w:rsid w:val="00FA29B6"/>
    <w:rsid w:val="00FA2FEA"/>
    <w:rsid w:val="00FA360B"/>
    <w:rsid w:val="00FA3C36"/>
    <w:rsid w:val="00FA63C7"/>
    <w:rsid w:val="00FA7132"/>
    <w:rsid w:val="00FA7919"/>
    <w:rsid w:val="00FA7B1E"/>
    <w:rsid w:val="00FA7DC6"/>
    <w:rsid w:val="00FB0128"/>
    <w:rsid w:val="00FB0D53"/>
    <w:rsid w:val="00FB1C8B"/>
    <w:rsid w:val="00FB1CDA"/>
    <w:rsid w:val="00FB2372"/>
    <w:rsid w:val="00FB32F9"/>
    <w:rsid w:val="00FB33CD"/>
    <w:rsid w:val="00FB356F"/>
    <w:rsid w:val="00FB3CC7"/>
    <w:rsid w:val="00FB45CE"/>
    <w:rsid w:val="00FB4939"/>
    <w:rsid w:val="00FB49CC"/>
    <w:rsid w:val="00FB4B1C"/>
    <w:rsid w:val="00FB5763"/>
    <w:rsid w:val="00FB59EB"/>
    <w:rsid w:val="00FB6690"/>
    <w:rsid w:val="00FB74BF"/>
    <w:rsid w:val="00FB7FD1"/>
    <w:rsid w:val="00FC12BC"/>
    <w:rsid w:val="00FC2D04"/>
    <w:rsid w:val="00FC3825"/>
    <w:rsid w:val="00FC3834"/>
    <w:rsid w:val="00FC3B2B"/>
    <w:rsid w:val="00FC64C7"/>
    <w:rsid w:val="00FC792C"/>
    <w:rsid w:val="00FC7B65"/>
    <w:rsid w:val="00FC7EA0"/>
    <w:rsid w:val="00FD03FC"/>
    <w:rsid w:val="00FD04D7"/>
    <w:rsid w:val="00FD06A3"/>
    <w:rsid w:val="00FD0718"/>
    <w:rsid w:val="00FD1206"/>
    <w:rsid w:val="00FD1B08"/>
    <w:rsid w:val="00FD27D1"/>
    <w:rsid w:val="00FD2AD6"/>
    <w:rsid w:val="00FD2F85"/>
    <w:rsid w:val="00FD3213"/>
    <w:rsid w:val="00FD33D3"/>
    <w:rsid w:val="00FD3EBA"/>
    <w:rsid w:val="00FD426A"/>
    <w:rsid w:val="00FD493D"/>
    <w:rsid w:val="00FD5850"/>
    <w:rsid w:val="00FD592B"/>
    <w:rsid w:val="00FD6F82"/>
    <w:rsid w:val="00FE04D8"/>
    <w:rsid w:val="00FE1095"/>
    <w:rsid w:val="00FE23E8"/>
    <w:rsid w:val="00FE2428"/>
    <w:rsid w:val="00FE2B6E"/>
    <w:rsid w:val="00FE3047"/>
    <w:rsid w:val="00FE3C73"/>
    <w:rsid w:val="00FE488C"/>
    <w:rsid w:val="00FE4E05"/>
    <w:rsid w:val="00FE5992"/>
    <w:rsid w:val="00FE5A7C"/>
    <w:rsid w:val="00FE6267"/>
    <w:rsid w:val="00FE754C"/>
    <w:rsid w:val="00FE7822"/>
    <w:rsid w:val="00FF0673"/>
    <w:rsid w:val="00FF14A1"/>
    <w:rsid w:val="00FF198D"/>
    <w:rsid w:val="00FF1AF1"/>
    <w:rsid w:val="00FF1B68"/>
    <w:rsid w:val="00FF1E1C"/>
    <w:rsid w:val="00FF2597"/>
    <w:rsid w:val="00FF285A"/>
    <w:rsid w:val="00FF31D8"/>
    <w:rsid w:val="00FF3709"/>
    <w:rsid w:val="00FF3AFC"/>
    <w:rsid w:val="00FF3B3B"/>
    <w:rsid w:val="00FF3DED"/>
    <w:rsid w:val="00FF431B"/>
    <w:rsid w:val="00FF5477"/>
    <w:rsid w:val="00FF5DB1"/>
    <w:rsid w:val="00FF66BA"/>
    <w:rsid w:val="00FF6CC6"/>
    <w:rsid w:val="00FF6CE9"/>
    <w:rsid w:val="00FF6E47"/>
    <w:rsid w:val="00FF7121"/>
    <w:rsid w:val="00FF7463"/>
    <w:rsid w:val="00FF7768"/>
    <w:rsid w:val="00FF7A08"/>
    <w:rsid w:val="00FF7FC6"/>
    <w:rsid w:val="134916A4"/>
    <w:rsid w:val="17C2F685"/>
    <w:rsid w:val="1CBE8213"/>
    <w:rsid w:val="291D19FE"/>
    <w:rsid w:val="529E1607"/>
    <w:rsid w:val="5AD0818B"/>
    <w:rsid w:val="6F2FB5C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61EB93"/>
  <w15:chartTrackingRefBased/>
  <w15:docId w15:val="{126A5E6E-01C2-4750-80E1-181807A7D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2DA"/>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37320E"/>
    <w:pPr>
      <w:keepNext/>
      <w:keepLines/>
      <w:numPr>
        <w:numId w:val="18"/>
      </w:numPr>
      <w:spacing w:before="480" w:after="0"/>
      <w:outlineLvl w:val="0"/>
    </w:pPr>
    <w:rPr>
      <w:rFonts w:eastAsiaTheme="majorEastAsia" w:cstheme="majorBidi"/>
      <w:b/>
      <w:color w:val="000000" w:themeColor="text1"/>
      <w:sz w:val="32"/>
      <w:szCs w:val="32"/>
    </w:rPr>
  </w:style>
  <w:style w:type="paragraph" w:styleId="Heading2">
    <w:name w:val="heading 2"/>
    <w:basedOn w:val="Heading1"/>
    <w:next w:val="Heading1"/>
    <w:link w:val="Heading2Char"/>
    <w:autoRedefine/>
    <w:uiPriority w:val="9"/>
    <w:unhideWhenUsed/>
    <w:qFormat/>
    <w:rsid w:val="00DC34E6"/>
    <w:pPr>
      <w:numPr>
        <w:ilvl w:val="1"/>
      </w:numPr>
      <w:spacing w:before="100" w:beforeAutospacing="1"/>
      <w:outlineLvl w:val="1"/>
    </w:pPr>
    <w:rPr>
      <w:sz w:val="28"/>
      <w:szCs w:val="26"/>
    </w:rPr>
  </w:style>
  <w:style w:type="paragraph" w:styleId="Heading3">
    <w:name w:val="heading 3"/>
    <w:basedOn w:val="Heading2"/>
    <w:next w:val="Heading2"/>
    <w:link w:val="Heading3Char"/>
    <w:autoRedefine/>
    <w:uiPriority w:val="9"/>
    <w:unhideWhenUsed/>
    <w:qFormat/>
    <w:rsid w:val="002318CE"/>
    <w:pPr>
      <w:numPr>
        <w:ilvl w:val="2"/>
      </w:numPr>
      <w:outlineLvl w:val="2"/>
    </w:pPr>
    <w:rPr>
      <w:sz w:val="24"/>
      <w:szCs w:val="24"/>
    </w:rPr>
  </w:style>
  <w:style w:type="paragraph" w:styleId="Heading4">
    <w:name w:val="heading 4"/>
    <w:aliases w:val="titre fig"/>
    <w:basedOn w:val="Normal"/>
    <w:next w:val="Normal"/>
    <w:link w:val="Heading4Char"/>
    <w:uiPriority w:val="9"/>
    <w:unhideWhenUsed/>
    <w:qFormat/>
    <w:rsid w:val="007D67D1"/>
    <w:pPr>
      <w:keepNext/>
      <w:keepLines/>
      <w:spacing w:after="100" w:afterAutospacing="1" w:line="240" w:lineRule="auto"/>
      <w:ind w:left="720" w:right="720"/>
      <w:jc w:val="center"/>
      <w:outlineLvl w:val="3"/>
    </w:pPr>
    <w:rPr>
      <w:rFonts w:eastAsiaTheme="majorEastAsia" w:cstheme="majorBidi"/>
      <w:i/>
      <w:iCs/>
      <w:sz w:val="22"/>
    </w:rPr>
  </w:style>
  <w:style w:type="paragraph" w:styleId="Heading5">
    <w:name w:val="heading 5"/>
    <w:aliases w:val="notes"/>
    <w:basedOn w:val="Normal"/>
    <w:next w:val="Normal"/>
    <w:link w:val="Heading5Char"/>
    <w:uiPriority w:val="9"/>
    <w:unhideWhenUsed/>
    <w:qFormat/>
    <w:rsid w:val="0060172A"/>
    <w:pPr>
      <w:keepNext/>
      <w:keepLines/>
      <w:numPr>
        <w:ilvl w:val="4"/>
        <w:numId w:val="18"/>
      </w:numPr>
      <w:spacing w:after="100" w:afterAutospacing="1" w:line="240" w:lineRule="auto"/>
      <w:outlineLvl w:val="4"/>
    </w:pPr>
    <w:rPr>
      <w:rFonts w:eastAsiaTheme="majorEastAsia" w:cstheme="majorBidi"/>
      <w:color w:val="4472C4" w:themeColor="accent1"/>
      <w:sz w:val="20"/>
    </w:rPr>
  </w:style>
  <w:style w:type="paragraph" w:styleId="Heading6">
    <w:name w:val="heading 6"/>
    <w:basedOn w:val="Normal"/>
    <w:next w:val="Normal"/>
    <w:link w:val="Heading6Char"/>
    <w:uiPriority w:val="9"/>
    <w:unhideWhenUsed/>
    <w:rsid w:val="008D6CD8"/>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rsid w:val="00A26A9A"/>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26A9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26A9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5390"/>
    <w:rPr>
      <w:color w:val="0563C1" w:themeColor="hyperlink"/>
      <w:u w:val="single"/>
    </w:rPr>
  </w:style>
  <w:style w:type="character" w:styleId="UnresolvedMention">
    <w:name w:val="Unresolved Mention"/>
    <w:basedOn w:val="DefaultParagraphFont"/>
    <w:uiPriority w:val="99"/>
    <w:semiHidden/>
    <w:unhideWhenUsed/>
    <w:rsid w:val="00E45390"/>
    <w:rPr>
      <w:color w:val="605E5C"/>
      <w:shd w:val="clear" w:color="auto" w:fill="E1DFDD"/>
    </w:rPr>
  </w:style>
  <w:style w:type="character" w:styleId="Strong">
    <w:name w:val="Strong"/>
    <w:basedOn w:val="DefaultParagraphFont"/>
    <w:uiPriority w:val="22"/>
    <w:qFormat/>
    <w:rsid w:val="00CD1319"/>
    <w:rPr>
      <w:b/>
      <w:bCs/>
    </w:rPr>
  </w:style>
  <w:style w:type="paragraph" w:styleId="ListParagraph">
    <w:name w:val="List Paragraph"/>
    <w:basedOn w:val="Normal"/>
    <w:uiPriority w:val="34"/>
    <w:rsid w:val="007109A7"/>
    <w:pPr>
      <w:ind w:left="720"/>
      <w:contextualSpacing/>
    </w:pPr>
  </w:style>
  <w:style w:type="table" w:styleId="TableGrid">
    <w:name w:val="Table Grid"/>
    <w:basedOn w:val="TableNormal"/>
    <w:uiPriority w:val="39"/>
    <w:rsid w:val="00C15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7D05"/>
    <w:rPr>
      <w:color w:val="954F72" w:themeColor="followedHyperlink"/>
      <w:u w:val="single"/>
    </w:rPr>
  </w:style>
  <w:style w:type="character" w:styleId="CommentReference">
    <w:name w:val="annotation reference"/>
    <w:basedOn w:val="DefaultParagraphFont"/>
    <w:uiPriority w:val="99"/>
    <w:semiHidden/>
    <w:unhideWhenUsed/>
    <w:rsid w:val="007B5C72"/>
    <w:rPr>
      <w:sz w:val="16"/>
      <w:szCs w:val="16"/>
    </w:rPr>
  </w:style>
  <w:style w:type="paragraph" w:styleId="CommentText">
    <w:name w:val="annotation text"/>
    <w:basedOn w:val="Normal"/>
    <w:link w:val="CommentTextChar"/>
    <w:uiPriority w:val="99"/>
    <w:unhideWhenUsed/>
    <w:rsid w:val="007B5C72"/>
    <w:pPr>
      <w:spacing w:line="240" w:lineRule="auto"/>
    </w:pPr>
    <w:rPr>
      <w:sz w:val="20"/>
      <w:szCs w:val="20"/>
    </w:rPr>
  </w:style>
  <w:style w:type="character" w:customStyle="1" w:styleId="CommentTextChar">
    <w:name w:val="Comment Text Char"/>
    <w:basedOn w:val="DefaultParagraphFont"/>
    <w:link w:val="CommentText"/>
    <w:uiPriority w:val="99"/>
    <w:rsid w:val="007B5C72"/>
    <w:rPr>
      <w:sz w:val="20"/>
      <w:szCs w:val="20"/>
    </w:rPr>
  </w:style>
  <w:style w:type="paragraph" w:styleId="CommentSubject">
    <w:name w:val="annotation subject"/>
    <w:basedOn w:val="CommentText"/>
    <w:next w:val="CommentText"/>
    <w:link w:val="CommentSubjectChar"/>
    <w:uiPriority w:val="99"/>
    <w:semiHidden/>
    <w:unhideWhenUsed/>
    <w:rsid w:val="007B5C72"/>
    <w:rPr>
      <w:b/>
      <w:bCs/>
    </w:rPr>
  </w:style>
  <w:style w:type="character" w:customStyle="1" w:styleId="CommentSubjectChar">
    <w:name w:val="Comment Subject Char"/>
    <w:basedOn w:val="CommentTextChar"/>
    <w:link w:val="CommentSubject"/>
    <w:uiPriority w:val="99"/>
    <w:semiHidden/>
    <w:rsid w:val="007B5C72"/>
    <w:rPr>
      <w:b/>
      <w:bCs/>
      <w:sz w:val="20"/>
      <w:szCs w:val="20"/>
    </w:rPr>
  </w:style>
  <w:style w:type="character" w:customStyle="1" w:styleId="cf01">
    <w:name w:val="cf01"/>
    <w:basedOn w:val="DefaultParagraphFont"/>
    <w:rsid w:val="001D41D7"/>
    <w:rPr>
      <w:rFonts w:ascii="Segoe UI" w:hAnsi="Segoe UI" w:cs="Segoe UI" w:hint="default"/>
      <w:b/>
      <w:bCs/>
      <w:sz w:val="18"/>
      <w:szCs w:val="18"/>
    </w:rPr>
  </w:style>
  <w:style w:type="paragraph" w:styleId="Header">
    <w:name w:val="header"/>
    <w:basedOn w:val="Normal"/>
    <w:link w:val="HeaderChar"/>
    <w:uiPriority w:val="99"/>
    <w:unhideWhenUsed/>
    <w:rsid w:val="0075626B"/>
    <w:pPr>
      <w:tabs>
        <w:tab w:val="center" w:pos="4703"/>
        <w:tab w:val="right" w:pos="9406"/>
      </w:tabs>
      <w:spacing w:after="0" w:line="240" w:lineRule="auto"/>
    </w:pPr>
  </w:style>
  <w:style w:type="character" w:customStyle="1" w:styleId="HeaderChar">
    <w:name w:val="Header Char"/>
    <w:basedOn w:val="DefaultParagraphFont"/>
    <w:link w:val="Header"/>
    <w:uiPriority w:val="99"/>
    <w:rsid w:val="0075626B"/>
  </w:style>
  <w:style w:type="paragraph" w:styleId="Footer">
    <w:name w:val="footer"/>
    <w:basedOn w:val="Normal"/>
    <w:link w:val="FooterChar"/>
    <w:uiPriority w:val="99"/>
    <w:unhideWhenUsed/>
    <w:rsid w:val="0075626B"/>
    <w:pPr>
      <w:tabs>
        <w:tab w:val="center" w:pos="4703"/>
        <w:tab w:val="right" w:pos="9406"/>
      </w:tabs>
      <w:spacing w:after="0" w:line="240" w:lineRule="auto"/>
    </w:pPr>
  </w:style>
  <w:style w:type="character" w:customStyle="1" w:styleId="FooterChar">
    <w:name w:val="Footer Char"/>
    <w:basedOn w:val="DefaultParagraphFont"/>
    <w:link w:val="Footer"/>
    <w:uiPriority w:val="99"/>
    <w:rsid w:val="0075626B"/>
  </w:style>
  <w:style w:type="paragraph" w:styleId="Bibliography">
    <w:name w:val="Bibliography"/>
    <w:basedOn w:val="Normal"/>
    <w:next w:val="Normal"/>
    <w:uiPriority w:val="37"/>
    <w:unhideWhenUsed/>
    <w:rsid w:val="00C12C55"/>
    <w:pPr>
      <w:spacing w:after="0" w:line="480" w:lineRule="auto"/>
      <w:ind w:left="720" w:hanging="720"/>
    </w:pPr>
  </w:style>
  <w:style w:type="character" w:customStyle="1" w:styleId="Heading1Char">
    <w:name w:val="Heading 1 Char"/>
    <w:basedOn w:val="DefaultParagraphFont"/>
    <w:link w:val="Heading1"/>
    <w:uiPriority w:val="9"/>
    <w:rsid w:val="0037320E"/>
    <w:rPr>
      <w:rFonts w:ascii="Times New Roman" w:eastAsiaTheme="majorEastAsia" w:hAnsi="Times New Roman" w:cstheme="majorBidi"/>
      <w:b/>
      <w:color w:val="000000" w:themeColor="text1"/>
      <w:sz w:val="32"/>
      <w:szCs w:val="32"/>
      <w:lang w:val="fr-FR"/>
    </w:rPr>
  </w:style>
  <w:style w:type="character" w:customStyle="1" w:styleId="Heading2Char">
    <w:name w:val="Heading 2 Char"/>
    <w:basedOn w:val="DefaultParagraphFont"/>
    <w:link w:val="Heading2"/>
    <w:uiPriority w:val="9"/>
    <w:rsid w:val="00DC34E6"/>
    <w:rPr>
      <w:rFonts w:ascii="Times New Roman" w:eastAsiaTheme="majorEastAsia" w:hAnsi="Times New Roman" w:cstheme="majorBidi"/>
      <w:b/>
      <w:color w:val="000000" w:themeColor="text1"/>
      <w:sz w:val="28"/>
      <w:szCs w:val="26"/>
      <w:lang w:val="fr-FR"/>
    </w:rPr>
  </w:style>
  <w:style w:type="character" w:customStyle="1" w:styleId="Heading3Char">
    <w:name w:val="Heading 3 Char"/>
    <w:basedOn w:val="DefaultParagraphFont"/>
    <w:link w:val="Heading3"/>
    <w:uiPriority w:val="9"/>
    <w:rsid w:val="002318CE"/>
    <w:rPr>
      <w:rFonts w:ascii="Times New Roman" w:eastAsiaTheme="majorEastAsia" w:hAnsi="Times New Roman" w:cstheme="majorBidi"/>
      <w:b/>
      <w:color w:val="000000" w:themeColor="text1"/>
      <w:sz w:val="24"/>
      <w:szCs w:val="24"/>
      <w:lang w:val="fr-FR"/>
    </w:rPr>
  </w:style>
  <w:style w:type="character" w:customStyle="1" w:styleId="Heading4Char">
    <w:name w:val="Heading 4 Char"/>
    <w:aliases w:val="titre fig Char"/>
    <w:basedOn w:val="DefaultParagraphFont"/>
    <w:link w:val="Heading4"/>
    <w:uiPriority w:val="9"/>
    <w:rsid w:val="007D67D1"/>
    <w:rPr>
      <w:rFonts w:ascii="Times New Roman" w:eastAsiaTheme="majorEastAsia" w:hAnsi="Times New Roman" w:cstheme="majorBidi"/>
      <w:i/>
      <w:iCs/>
      <w:lang w:val="fr-FR"/>
    </w:rPr>
  </w:style>
  <w:style w:type="character" w:customStyle="1" w:styleId="Heading5Char">
    <w:name w:val="Heading 5 Char"/>
    <w:aliases w:val="notes Char"/>
    <w:basedOn w:val="DefaultParagraphFont"/>
    <w:link w:val="Heading5"/>
    <w:uiPriority w:val="9"/>
    <w:rsid w:val="00D82725"/>
    <w:rPr>
      <w:rFonts w:ascii="Times New Roman" w:eastAsiaTheme="majorEastAsia" w:hAnsi="Times New Roman" w:cstheme="majorBidi"/>
      <w:color w:val="4472C4" w:themeColor="accent1"/>
      <w:sz w:val="20"/>
      <w:lang w:val="fr-FR"/>
    </w:rPr>
  </w:style>
  <w:style w:type="character" w:customStyle="1" w:styleId="Heading6Char">
    <w:name w:val="Heading 6 Char"/>
    <w:basedOn w:val="DefaultParagraphFont"/>
    <w:link w:val="Heading6"/>
    <w:uiPriority w:val="9"/>
    <w:rsid w:val="008D6CD8"/>
    <w:rPr>
      <w:rFonts w:asciiTheme="majorHAnsi" w:eastAsiaTheme="majorEastAsia" w:hAnsiTheme="majorHAnsi" w:cstheme="majorBidi"/>
      <w:color w:val="1F3763" w:themeColor="accent1" w:themeShade="7F"/>
      <w:sz w:val="24"/>
      <w:lang w:val="fr-FR"/>
    </w:rPr>
  </w:style>
  <w:style w:type="character" w:customStyle="1" w:styleId="Heading7Char">
    <w:name w:val="Heading 7 Char"/>
    <w:basedOn w:val="DefaultParagraphFont"/>
    <w:link w:val="Heading7"/>
    <w:uiPriority w:val="9"/>
    <w:semiHidden/>
    <w:rsid w:val="00A26A9A"/>
    <w:rPr>
      <w:rFonts w:asciiTheme="majorHAnsi" w:eastAsiaTheme="majorEastAsia" w:hAnsiTheme="majorHAnsi" w:cstheme="majorBidi"/>
      <w:i/>
      <w:iCs/>
      <w:color w:val="1F3763" w:themeColor="accent1" w:themeShade="7F"/>
      <w:sz w:val="24"/>
      <w:lang w:val="fr-FR"/>
    </w:rPr>
  </w:style>
  <w:style w:type="character" w:customStyle="1" w:styleId="Heading8Char">
    <w:name w:val="Heading 8 Char"/>
    <w:basedOn w:val="DefaultParagraphFont"/>
    <w:link w:val="Heading8"/>
    <w:uiPriority w:val="9"/>
    <w:semiHidden/>
    <w:rsid w:val="00A26A9A"/>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A26A9A"/>
    <w:rPr>
      <w:rFonts w:asciiTheme="majorHAnsi" w:eastAsiaTheme="majorEastAsia" w:hAnsiTheme="majorHAnsi" w:cstheme="majorBidi"/>
      <w:i/>
      <w:iCs/>
      <w:color w:val="272727" w:themeColor="text1" w:themeTint="D8"/>
      <w:sz w:val="21"/>
      <w:szCs w:val="21"/>
      <w:lang w:val="fr-FR"/>
    </w:rPr>
  </w:style>
  <w:style w:type="paragraph" w:styleId="NormalWeb">
    <w:name w:val="Normal (Web)"/>
    <w:basedOn w:val="Normal"/>
    <w:uiPriority w:val="99"/>
    <w:unhideWhenUsed/>
    <w:rsid w:val="00D123EE"/>
    <w:pPr>
      <w:spacing w:before="100" w:beforeAutospacing="1" w:after="100" w:afterAutospacing="1" w:line="240" w:lineRule="auto"/>
      <w:jc w:val="left"/>
    </w:pPr>
    <w:rPr>
      <w:rFonts w:eastAsia="Times New Roman" w:cs="Times New Roman"/>
      <w:kern w:val="0"/>
      <w:szCs w:val="24"/>
      <w:lang w:eastAsia="fr-FR"/>
      <w14:ligatures w14:val="none"/>
    </w:rPr>
  </w:style>
  <w:style w:type="paragraph" w:styleId="Revision">
    <w:name w:val="Revision"/>
    <w:hidden/>
    <w:uiPriority w:val="99"/>
    <w:semiHidden/>
    <w:rsid w:val="00B20918"/>
    <w:pPr>
      <w:spacing w:after="0" w:line="240" w:lineRule="auto"/>
    </w:pPr>
    <w:rPr>
      <w:rFonts w:ascii="Times New Roman" w:hAnsi="Times New Roman"/>
      <w:sz w:val="24"/>
      <w:lang w:val="fr-FR"/>
    </w:rPr>
  </w:style>
  <w:style w:type="paragraph" w:styleId="BalloonText">
    <w:name w:val="Balloon Text"/>
    <w:basedOn w:val="Normal"/>
    <w:link w:val="BalloonTextChar"/>
    <w:uiPriority w:val="99"/>
    <w:semiHidden/>
    <w:unhideWhenUsed/>
    <w:rsid w:val="00BB37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3790"/>
    <w:rPr>
      <w:rFonts w:ascii="Segoe UI" w:hAnsi="Segoe UI" w:cs="Segoe UI"/>
      <w:sz w:val="18"/>
      <w:szCs w:val="18"/>
      <w:lang w:val="fr-FR"/>
    </w:rPr>
  </w:style>
  <w:style w:type="table" w:styleId="ListTable1Light">
    <w:name w:val="List Table 1 Light"/>
    <w:basedOn w:val="TableNormal"/>
    <w:uiPriority w:val="46"/>
    <w:rsid w:val="00853F5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D7E6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40549">
      <w:bodyDiv w:val="1"/>
      <w:marLeft w:val="0"/>
      <w:marRight w:val="0"/>
      <w:marTop w:val="0"/>
      <w:marBottom w:val="0"/>
      <w:divBdr>
        <w:top w:val="none" w:sz="0" w:space="0" w:color="auto"/>
        <w:left w:val="none" w:sz="0" w:space="0" w:color="auto"/>
        <w:bottom w:val="none" w:sz="0" w:space="0" w:color="auto"/>
        <w:right w:val="none" w:sz="0" w:space="0" w:color="auto"/>
      </w:divBdr>
      <w:divsChild>
        <w:div w:id="1659843060">
          <w:marLeft w:val="480"/>
          <w:marRight w:val="0"/>
          <w:marTop w:val="0"/>
          <w:marBottom w:val="0"/>
          <w:divBdr>
            <w:top w:val="none" w:sz="0" w:space="0" w:color="auto"/>
            <w:left w:val="none" w:sz="0" w:space="0" w:color="auto"/>
            <w:bottom w:val="none" w:sz="0" w:space="0" w:color="auto"/>
            <w:right w:val="none" w:sz="0" w:space="0" w:color="auto"/>
          </w:divBdr>
          <w:divsChild>
            <w:div w:id="15862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7702">
      <w:bodyDiv w:val="1"/>
      <w:marLeft w:val="0"/>
      <w:marRight w:val="0"/>
      <w:marTop w:val="0"/>
      <w:marBottom w:val="0"/>
      <w:divBdr>
        <w:top w:val="none" w:sz="0" w:space="0" w:color="auto"/>
        <w:left w:val="none" w:sz="0" w:space="0" w:color="auto"/>
        <w:bottom w:val="none" w:sz="0" w:space="0" w:color="auto"/>
        <w:right w:val="none" w:sz="0" w:space="0" w:color="auto"/>
      </w:divBdr>
    </w:div>
    <w:div w:id="27293334">
      <w:bodyDiv w:val="1"/>
      <w:marLeft w:val="0"/>
      <w:marRight w:val="0"/>
      <w:marTop w:val="0"/>
      <w:marBottom w:val="0"/>
      <w:divBdr>
        <w:top w:val="none" w:sz="0" w:space="0" w:color="auto"/>
        <w:left w:val="none" w:sz="0" w:space="0" w:color="auto"/>
        <w:bottom w:val="none" w:sz="0" w:space="0" w:color="auto"/>
        <w:right w:val="none" w:sz="0" w:space="0" w:color="auto"/>
      </w:divBdr>
    </w:div>
    <w:div w:id="31540934">
      <w:bodyDiv w:val="1"/>
      <w:marLeft w:val="0"/>
      <w:marRight w:val="0"/>
      <w:marTop w:val="0"/>
      <w:marBottom w:val="0"/>
      <w:divBdr>
        <w:top w:val="none" w:sz="0" w:space="0" w:color="auto"/>
        <w:left w:val="none" w:sz="0" w:space="0" w:color="auto"/>
        <w:bottom w:val="none" w:sz="0" w:space="0" w:color="auto"/>
        <w:right w:val="none" w:sz="0" w:space="0" w:color="auto"/>
      </w:divBdr>
    </w:div>
    <w:div w:id="32538359">
      <w:bodyDiv w:val="1"/>
      <w:marLeft w:val="0"/>
      <w:marRight w:val="0"/>
      <w:marTop w:val="0"/>
      <w:marBottom w:val="0"/>
      <w:divBdr>
        <w:top w:val="none" w:sz="0" w:space="0" w:color="auto"/>
        <w:left w:val="none" w:sz="0" w:space="0" w:color="auto"/>
        <w:bottom w:val="none" w:sz="0" w:space="0" w:color="auto"/>
        <w:right w:val="none" w:sz="0" w:space="0" w:color="auto"/>
      </w:divBdr>
      <w:divsChild>
        <w:div w:id="1905067265">
          <w:marLeft w:val="480"/>
          <w:marRight w:val="0"/>
          <w:marTop w:val="0"/>
          <w:marBottom w:val="0"/>
          <w:divBdr>
            <w:top w:val="none" w:sz="0" w:space="0" w:color="auto"/>
            <w:left w:val="none" w:sz="0" w:space="0" w:color="auto"/>
            <w:bottom w:val="none" w:sz="0" w:space="0" w:color="auto"/>
            <w:right w:val="none" w:sz="0" w:space="0" w:color="auto"/>
          </w:divBdr>
          <w:divsChild>
            <w:div w:id="147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7866">
      <w:bodyDiv w:val="1"/>
      <w:marLeft w:val="0"/>
      <w:marRight w:val="0"/>
      <w:marTop w:val="0"/>
      <w:marBottom w:val="0"/>
      <w:divBdr>
        <w:top w:val="none" w:sz="0" w:space="0" w:color="auto"/>
        <w:left w:val="none" w:sz="0" w:space="0" w:color="auto"/>
        <w:bottom w:val="none" w:sz="0" w:space="0" w:color="auto"/>
        <w:right w:val="none" w:sz="0" w:space="0" w:color="auto"/>
      </w:divBdr>
    </w:div>
    <w:div w:id="136917614">
      <w:bodyDiv w:val="1"/>
      <w:marLeft w:val="0"/>
      <w:marRight w:val="0"/>
      <w:marTop w:val="0"/>
      <w:marBottom w:val="0"/>
      <w:divBdr>
        <w:top w:val="none" w:sz="0" w:space="0" w:color="auto"/>
        <w:left w:val="none" w:sz="0" w:space="0" w:color="auto"/>
        <w:bottom w:val="none" w:sz="0" w:space="0" w:color="auto"/>
        <w:right w:val="none" w:sz="0" w:space="0" w:color="auto"/>
      </w:divBdr>
    </w:div>
    <w:div w:id="299464765">
      <w:bodyDiv w:val="1"/>
      <w:marLeft w:val="0"/>
      <w:marRight w:val="0"/>
      <w:marTop w:val="0"/>
      <w:marBottom w:val="0"/>
      <w:divBdr>
        <w:top w:val="none" w:sz="0" w:space="0" w:color="auto"/>
        <w:left w:val="none" w:sz="0" w:space="0" w:color="auto"/>
        <w:bottom w:val="none" w:sz="0" w:space="0" w:color="auto"/>
        <w:right w:val="none" w:sz="0" w:space="0" w:color="auto"/>
      </w:divBdr>
    </w:div>
    <w:div w:id="318577396">
      <w:bodyDiv w:val="1"/>
      <w:marLeft w:val="0"/>
      <w:marRight w:val="0"/>
      <w:marTop w:val="0"/>
      <w:marBottom w:val="0"/>
      <w:divBdr>
        <w:top w:val="none" w:sz="0" w:space="0" w:color="auto"/>
        <w:left w:val="none" w:sz="0" w:space="0" w:color="auto"/>
        <w:bottom w:val="none" w:sz="0" w:space="0" w:color="auto"/>
        <w:right w:val="none" w:sz="0" w:space="0" w:color="auto"/>
      </w:divBdr>
    </w:div>
    <w:div w:id="330643987">
      <w:bodyDiv w:val="1"/>
      <w:marLeft w:val="0"/>
      <w:marRight w:val="0"/>
      <w:marTop w:val="0"/>
      <w:marBottom w:val="0"/>
      <w:divBdr>
        <w:top w:val="none" w:sz="0" w:space="0" w:color="auto"/>
        <w:left w:val="none" w:sz="0" w:space="0" w:color="auto"/>
        <w:bottom w:val="none" w:sz="0" w:space="0" w:color="auto"/>
        <w:right w:val="none" w:sz="0" w:space="0" w:color="auto"/>
      </w:divBdr>
    </w:div>
    <w:div w:id="416484019">
      <w:bodyDiv w:val="1"/>
      <w:marLeft w:val="0"/>
      <w:marRight w:val="0"/>
      <w:marTop w:val="0"/>
      <w:marBottom w:val="0"/>
      <w:divBdr>
        <w:top w:val="none" w:sz="0" w:space="0" w:color="auto"/>
        <w:left w:val="none" w:sz="0" w:space="0" w:color="auto"/>
        <w:bottom w:val="none" w:sz="0" w:space="0" w:color="auto"/>
        <w:right w:val="none" w:sz="0" w:space="0" w:color="auto"/>
      </w:divBdr>
    </w:div>
    <w:div w:id="424112293">
      <w:bodyDiv w:val="1"/>
      <w:marLeft w:val="0"/>
      <w:marRight w:val="0"/>
      <w:marTop w:val="0"/>
      <w:marBottom w:val="0"/>
      <w:divBdr>
        <w:top w:val="none" w:sz="0" w:space="0" w:color="auto"/>
        <w:left w:val="none" w:sz="0" w:space="0" w:color="auto"/>
        <w:bottom w:val="none" w:sz="0" w:space="0" w:color="auto"/>
        <w:right w:val="none" w:sz="0" w:space="0" w:color="auto"/>
      </w:divBdr>
    </w:div>
    <w:div w:id="439028106">
      <w:bodyDiv w:val="1"/>
      <w:marLeft w:val="0"/>
      <w:marRight w:val="0"/>
      <w:marTop w:val="0"/>
      <w:marBottom w:val="0"/>
      <w:divBdr>
        <w:top w:val="none" w:sz="0" w:space="0" w:color="auto"/>
        <w:left w:val="none" w:sz="0" w:space="0" w:color="auto"/>
        <w:bottom w:val="none" w:sz="0" w:space="0" w:color="auto"/>
        <w:right w:val="none" w:sz="0" w:space="0" w:color="auto"/>
      </w:divBdr>
    </w:div>
    <w:div w:id="472716899">
      <w:bodyDiv w:val="1"/>
      <w:marLeft w:val="0"/>
      <w:marRight w:val="0"/>
      <w:marTop w:val="0"/>
      <w:marBottom w:val="0"/>
      <w:divBdr>
        <w:top w:val="none" w:sz="0" w:space="0" w:color="auto"/>
        <w:left w:val="none" w:sz="0" w:space="0" w:color="auto"/>
        <w:bottom w:val="none" w:sz="0" w:space="0" w:color="auto"/>
        <w:right w:val="none" w:sz="0" w:space="0" w:color="auto"/>
      </w:divBdr>
    </w:div>
    <w:div w:id="476726040">
      <w:bodyDiv w:val="1"/>
      <w:marLeft w:val="0"/>
      <w:marRight w:val="0"/>
      <w:marTop w:val="0"/>
      <w:marBottom w:val="0"/>
      <w:divBdr>
        <w:top w:val="none" w:sz="0" w:space="0" w:color="auto"/>
        <w:left w:val="none" w:sz="0" w:space="0" w:color="auto"/>
        <w:bottom w:val="none" w:sz="0" w:space="0" w:color="auto"/>
        <w:right w:val="none" w:sz="0" w:space="0" w:color="auto"/>
      </w:divBdr>
    </w:div>
    <w:div w:id="485897591">
      <w:bodyDiv w:val="1"/>
      <w:marLeft w:val="0"/>
      <w:marRight w:val="0"/>
      <w:marTop w:val="0"/>
      <w:marBottom w:val="0"/>
      <w:divBdr>
        <w:top w:val="none" w:sz="0" w:space="0" w:color="auto"/>
        <w:left w:val="none" w:sz="0" w:space="0" w:color="auto"/>
        <w:bottom w:val="none" w:sz="0" w:space="0" w:color="auto"/>
        <w:right w:val="none" w:sz="0" w:space="0" w:color="auto"/>
      </w:divBdr>
    </w:div>
    <w:div w:id="520093870">
      <w:bodyDiv w:val="1"/>
      <w:marLeft w:val="0"/>
      <w:marRight w:val="0"/>
      <w:marTop w:val="0"/>
      <w:marBottom w:val="0"/>
      <w:divBdr>
        <w:top w:val="none" w:sz="0" w:space="0" w:color="auto"/>
        <w:left w:val="none" w:sz="0" w:space="0" w:color="auto"/>
        <w:bottom w:val="none" w:sz="0" w:space="0" w:color="auto"/>
        <w:right w:val="none" w:sz="0" w:space="0" w:color="auto"/>
      </w:divBdr>
    </w:div>
    <w:div w:id="524371106">
      <w:bodyDiv w:val="1"/>
      <w:marLeft w:val="0"/>
      <w:marRight w:val="0"/>
      <w:marTop w:val="0"/>
      <w:marBottom w:val="0"/>
      <w:divBdr>
        <w:top w:val="none" w:sz="0" w:space="0" w:color="auto"/>
        <w:left w:val="none" w:sz="0" w:space="0" w:color="auto"/>
        <w:bottom w:val="none" w:sz="0" w:space="0" w:color="auto"/>
        <w:right w:val="none" w:sz="0" w:space="0" w:color="auto"/>
      </w:divBdr>
    </w:div>
    <w:div w:id="536433163">
      <w:bodyDiv w:val="1"/>
      <w:marLeft w:val="0"/>
      <w:marRight w:val="0"/>
      <w:marTop w:val="0"/>
      <w:marBottom w:val="0"/>
      <w:divBdr>
        <w:top w:val="none" w:sz="0" w:space="0" w:color="auto"/>
        <w:left w:val="none" w:sz="0" w:space="0" w:color="auto"/>
        <w:bottom w:val="none" w:sz="0" w:space="0" w:color="auto"/>
        <w:right w:val="none" w:sz="0" w:space="0" w:color="auto"/>
      </w:divBdr>
      <w:divsChild>
        <w:div w:id="283849058">
          <w:marLeft w:val="480"/>
          <w:marRight w:val="0"/>
          <w:marTop w:val="0"/>
          <w:marBottom w:val="0"/>
          <w:divBdr>
            <w:top w:val="none" w:sz="0" w:space="0" w:color="auto"/>
            <w:left w:val="none" w:sz="0" w:space="0" w:color="auto"/>
            <w:bottom w:val="none" w:sz="0" w:space="0" w:color="auto"/>
            <w:right w:val="none" w:sz="0" w:space="0" w:color="auto"/>
          </w:divBdr>
          <w:divsChild>
            <w:div w:id="14798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50690">
      <w:bodyDiv w:val="1"/>
      <w:marLeft w:val="0"/>
      <w:marRight w:val="0"/>
      <w:marTop w:val="0"/>
      <w:marBottom w:val="0"/>
      <w:divBdr>
        <w:top w:val="none" w:sz="0" w:space="0" w:color="auto"/>
        <w:left w:val="none" w:sz="0" w:space="0" w:color="auto"/>
        <w:bottom w:val="none" w:sz="0" w:space="0" w:color="auto"/>
        <w:right w:val="none" w:sz="0" w:space="0" w:color="auto"/>
      </w:divBdr>
    </w:div>
    <w:div w:id="568805522">
      <w:bodyDiv w:val="1"/>
      <w:marLeft w:val="0"/>
      <w:marRight w:val="0"/>
      <w:marTop w:val="0"/>
      <w:marBottom w:val="0"/>
      <w:divBdr>
        <w:top w:val="none" w:sz="0" w:space="0" w:color="auto"/>
        <w:left w:val="none" w:sz="0" w:space="0" w:color="auto"/>
        <w:bottom w:val="none" w:sz="0" w:space="0" w:color="auto"/>
        <w:right w:val="none" w:sz="0" w:space="0" w:color="auto"/>
      </w:divBdr>
    </w:div>
    <w:div w:id="582908882">
      <w:bodyDiv w:val="1"/>
      <w:marLeft w:val="0"/>
      <w:marRight w:val="0"/>
      <w:marTop w:val="0"/>
      <w:marBottom w:val="0"/>
      <w:divBdr>
        <w:top w:val="none" w:sz="0" w:space="0" w:color="auto"/>
        <w:left w:val="none" w:sz="0" w:space="0" w:color="auto"/>
        <w:bottom w:val="none" w:sz="0" w:space="0" w:color="auto"/>
        <w:right w:val="none" w:sz="0" w:space="0" w:color="auto"/>
      </w:divBdr>
    </w:div>
    <w:div w:id="636186370">
      <w:bodyDiv w:val="1"/>
      <w:marLeft w:val="0"/>
      <w:marRight w:val="0"/>
      <w:marTop w:val="0"/>
      <w:marBottom w:val="0"/>
      <w:divBdr>
        <w:top w:val="none" w:sz="0" w:space="0" w:color="auto"/>
        <w:left w:val="none" w:sz="0" w:space="0" w:color="auto"/>
        <w:bottom w:val="none" w:sz="0" w:space="0" w:color="auto"/>
        <w:right w:val="none" w:sz="0" w:space="0" w:color="auto"/>
      </w:divBdr>
    </w:div>
    <w:div w:id="669522651">
      <w:bodyDiv w:val="1"/>
      <w:marLeft w:val="0"/>
      <w:marRight w:val="0"/>
      <w:marTop w:val="0"/>
      <w:marBottom w:val="0"/>
      <w:divBdr>
        <w:top w:val="none" w:sz="0" w:space="0" w:color="auto"/>
        <w:left w:val="none" w:sz="0" w:space="0" w:color="auto"/>
        <w:bottom w:val="none" w:sz="0" w:space="0" w:color="auto"/>
        <w:right w:val="none" w:sz="0" w:space="0" w:color="auto"/>
      </w:divBdr>
    </w:div>
    <w:div w:id="711880772">
      <w:bodyDiv w:val="1"/>
      <w:marLeft w:val="0"/>
      <w:marRight w:val="0"/>
      <w:marTop w:val="0"/>
      <w:marBottom w:val="0"/>
      <w:divBdr>
        <w:top w:val="none" w:sz="0" w:space="0" w:color="auto"/>
        <w:left w:val="none" w:sz="0" w:space="0" w:color="auto"/>
        <w:bottom w:val="none" w:sz="0" w:space="0" w:color="auto"/>
        <w:right w:val="none" w:sz="0" w:space="0" w:color="auto"/>
      </w:divBdr>
    </w:div>
    <w:div w:id="718237914">
      <w:bodyDiv w:val="1"/>
      <w:marLeft w:val="0"/>
      <w:marRight w:val="0"/>
      <w:marTop w:val="0"/>
      <w:marBottom w:val="0"/>
      <w:divBdr>
        <w:top w:val="none" w:sz="0" w:space="0" w:color="auto"/>
        <w:left w:val="none" w:sz="0" w:space="0" w:color="auto"/>
        <w:bottom w:val="none" w:sz="0" w:space="0" w:color="auto"/>
        <w:right w:val="none" w:sz="0" w:space="0" w:color="auto"/>
      </w:divBdr>
    </w:div>
    <w:div w:id="743799178">
      <w:bodyDiv w:val="1"/>
      <w:marLeft w:val="0"/>
      <w:marRight w:val="0"/>
      <w:marTop w:val="0"/>
      <w:marBottom w:val="0"/>
      <w:divBdr>
        <w:top w:val="none" w:sz="0" w:space="0" w:color="auto"/>
        <w:left w:val="none" w:sz="0" w:space="0" w:color="auto"/>
        <w:bottom w:val="none" w:sz="0" w:space="0" w:color="auto"/>
        <w:right w:val="none" w:sz="0" w:space="0" w:color="auto"/>
      </w:divBdr>
    </w:div>
    <w:div w:id="771585962">
      <w:bodyDiv w:val="1"/>
      <w:marLeft w:val="0"/>
      <w:marRight w:val="0"/>
      <w:marTop w:val="0"/>
      <w:marBottom w:val="0"/>
      <w:divBdr>
        <w:top w:val="none" w:sz="0" w:space="0" w:color="auto"/>
        <w:left w:val="none" w:sz="0" w:space="0" w:color="auto"/>
        <w:bottom w:val="none" w:sz="0" w:space="0" w:color="auto"/>
        <w:right w:val="none" w:sz="0" w:space="0" w:color="auto"/>
      </w:divBdr>
      <w:divsChild>
        <w:div w:id="929849135">
          <w:marLeft w:val="480"/>
          <w:marRight w:val="0"/>
          <w:marTop w:val="0"/>
          <w:marBottom w:val="0"/>
          <w:divBdr>
            <w:top w:val="none" w:sz="0" w:space="0" w:color="auto"/>
            <w:left w:val="none" w:sz="0" w:space="0" w:color="auto"/>
            <w:bottom w:val="none" w:sz="0" w:space="0" w:color="auto"/>
            <w:right w:val="none" w:sz="0" w:space="0" w:color="auto"/>
          </w:divBdr>
          <w:divsChild>
            <w:div w:id="190918162">
              <w:marLeft w:val="0"/>
              <w:marRight w:val="0"/>
              <w:marTop w:val="0"/>
              <w:marBottom w:val="0"/>
              <w:divBdr>
                <w:top w:val="none" w:sz="0" w:space="0" w:color="auto"/>
                <w:left w:val="none" w:sz="0" w:space="0" w:color="auto"/>
                <w:bottom w:val="none" w:sz="0" w:space="0" w:color="auto"/>
                <w:right w:val="none" w:sz="0" w:space="0" w:color="auto"/>
              </w:divBdr>
            </w:div>
            <w:div w:id="269435661">
              <w:marLeft w:val="0"/>
              <w:marRight w:val="0"/>
              <w:marTop w:val="0"/>
              <w:marBottom w:val="0"/>
              <w:divBdr>
                <w:top w:val="none" w:sz="0" w:space="0" w:color="auto"/>
                <w:left w:val="none" w:sz="0" w:space="0" w:color="auto"/>
                <w:bottom w:val="none" w:sz="0" w:space="0" w:color="auto"/>
                <w:right w:val="none" w:sz="0" w:space="0" w:color="auto"/>
              </w:divBdr>
            </w:div>
            <w:div w:id="406071753">
              <w:marLeft w:val="0"/>
              <w:marRight w:val="0"/>
              <w:marTop w:val="0"/>
              <w:marBottom w:val="0"/>
              <w:divBdr>
                <w:top w:val="none" w:sz="0" w:space="0" w:color="auto"/>
                <w:left w:val="none" w:sz="0" w:space="0" w:color="auto"/>
                <w:bottom w:val="none" w:sz="0" w:space="0" w:color="auto"/>
                <w:right w:val="none" w:sz="0" w:space="0" w:color="auto"/>
              </w:divBdr>
            </w:div>
            <w:div w:id="427847560">
              <w:marLeft w:val="0"/>
              <w:marRight w:val="0"/>
              <w:marTop w:val="0"/>
              <w:marBottom w:val="0"/>
              <w:divBdr>
                <w:top w:val="none" w:sz="0" w:space="0" w:color="auto"/>
                <w:left w:val="none" w:sz="0" w:space="0" w:color="auto"/>
                <w:bottom w:val="none" w:sz="0" w:space="0" w:color="auto"/>
                <w:right w:val="none" w:sz="0" w:space="0" w:color="auto"/>
              </w:divBdr>
            </w:div>
            <w:div w:id="441192862">
              <w:marLeft w:val="0"/>
              <w:marRight w:val="0"/>
              <w:marTop w:val="0"/>
              <w:marBottom w:val="0"/>
              <w:divBdr>
                <w:top w:val="none" w:sz="0" w:space="0" w:color="auto"/>
                <w:left w:val="none" w:sz="0" w:space="0" w:color="auto"/>
                <w:bottom w:val="none" w:sz="0" w:space="0" w:color="auto"/>
                <w:right w:val="none" w:sz="0" w:space="0" w:color="auto"/>
              </w:divBdr>
            </w:div>
            <w:div w:id="515921401">
              <w:marLeft w:val="0"/>
              <w:marRight w:val="0"/>
              <w:marTop w:val="0"/>
              <w:marBottom w:val="0"/>
              <w:divBdr>
                <w:top w:val="none" w:sz="0" w:space="0" w:color="auto"/>
                <w:left w:val="none" w:sz="0" w:space="0" w:color="auto"/>
                <w:bottom w:val="none" w:sz="0" w:space="0" w:color="auto"/>
                <w:right w:val="none" w:sz="0" w:space="0" w:color="auto"/>
              </w:divBdr>
            </w:div>
            <w:div w:id="730272917">
              <w:marLeft w:val="0"/>
              <w:marRight w:val="0"/>
              <w:marTop w:val="0"/>
              <w:marBottom w:val="0"/>
              <w:divBdr>
                <w:top w:val="none" w:sz="0" w:space="0" w:color="auto"/>
                <w:left w:val="none" w:sz="0" w:space="0" w:color="auto"/>
                <w:bottom w:val="none" w:sz="0" w:space="0" w:color="auto"/>
                <w:right w:val="none" w:sz="0" w:space="0" w:color="auto"/>
              </w:divBdr>
            </w:div>
            <w:div w:id="848567900">
              <w:marLeft w:val="0"/>
              <w:marRight w:val="0"/>
              <w:marTop w:val="0"/>
              <w:marBottom w:val="0"/>
              <w:divBdr>
                <w:top w:val="none" w:sz="0" w:space="0" w:color="auto"/>
                <w:left w:val="none" w:sz="0" w:space="0" w:color="auto"/>
                <w:bottom w:val="none" w:sz="0" w:space="0" w:color="auto"/>
                <w:right w:val="none" w:sz="0" w:space="0" w:color="auto"/>
              </w:divBdr>
            </w:div>
            <w:div w:id="865413983">
              <w:marLeft w:val="0"/>
              <w:marRight w:val="0"/>
              <w:marTop w:val="0"/>
              <w:marBottom w:val="0"/>
              <w:divBdr>
                <w:top w:val="none" w:sz="0" w:space="0" w:color="auto"/>
                <w:left w:val="none" w:sz="0" w:space="0" w:color="auto"/>
                <w:bottom w:val="none" w:sz="0" w:space="0" w:color="auto"/>
                <w:right w:val="none" w:sz="0" w:space="0" w:color="auto"/>
              </w:divBdr>
            </w:div>
            <w:div w:id="881594291">
              <w:marLeft w:val="0"/>
              <w:marRight w:val="0"/>
              <w:marTop w:val="0"/>
              <w:marBottom w:val="0"/>
              <w:divBdr>
                <w:top w:val="none" w:sz="0" w:space="0" w:color="auto"/>
                <w:left w:val="none" w:sz="0" w:space="0" w:color="auto"/>
                <w:bottom w:val="none" w:sz="0" w:space="0" w:color="auto"/>
                <w:right w:val="none" w:sz="0" w:space="0" w:color="auto"/>
              </w:divBdr>
            </w:div>
            <w:div w:id="890922393">
              <w:marLeft w:val="0"/>
              <w:marRight w:val="0"/>
              <w:marTop w:val="0"/>
              <w:marBottom w:val="0"/>
              <w:divBdr>
                <w:top w:val="none" w:sz="0" w:space="0" w:color="auto"/>
                <w:left w:val="none" w:sz="0" w:space="0" w:color="auto"/>
                <w:bottom w:val="none" w:sz="0" w:space="0" w:color="auto"/>
                <w:right w:val="none" w:sz="0" w:space="0" w:color="auto"/>
              </w:divBdr>
            </w:div>
            <w:div w:id="948587441">
              <w:marLeft w:val="0"/>
              <w:marRight w:val="0"/>
              <w:marTop w:val="0"/>
              <w:marBottom w:val="0"/>
              <w:divBdr>
                <w:top w:val="none" w:sz="0" w:space="0" w:color="auto"/>
                <w:left w:val="none" w:sz="0" w:space="0" w:color="auto"/>
                <w:bottom w:val="none" w:sz="0" w:space="0" w:color="auto"/>
                <w:right w:val="none" w:sz="0" w:space="0" w:color="auto"/>
              </w:divBdr>
            </w:div>
            <w:div w:id="995376128">
              <w:marLeft w:val="0"/>
              <w:marRight w:val="0"/>
              <w:marTop w:val="0"/>
              <w:marBottom w:val="0"/>
              <w:divBdr>
                <w:top w:val="none" w:sz="0" w:space="0" w:color="auto"/>
                <w:left w:val="none" w:sz="0" w:space="0" w:color="auto"/>
                <w:bottom w:val="none" w:sz="0" w:space="0" w:color="auto"/>
                <w:right w:val="none" w:sz="0" w:space="0" w:color="auto"/>
              </w:divBdr>
            </w:div>
            <w:div w:id="1116291635">
              <w:marLeft w:val="0"/>
              <w:marRight w:val="0"/>
              <w:marTop w:val="0"/>
              <w:marBottom w:val="0"/>
              <w:divBdr>
                <w:top w:val="none" w:sz="0" w:space="0" w:color="auto"/>
                <w:left w:val="none" w:sz="0" w:space="0" w:color="auto"/>
                <w:bottom w:val="none" w:sz="0" w:space="0" w:color="auto"/>
                <w:right w:val="none" w:sz="0" w:space="0" w:color="auto"/>
              </w:divBdr>
            </w:div>
            <w:div w:id="1143156981">
              <w:marLeft w:val="0"/>
              <w:marRight w:val="0"/>
              <w:marTop w:val="0"/>
              <w:marBottom w:val="0"/>
              <w:divBdr>
                <w:top w:val="none" w:sz="0" w:space="0" w:color="auto"/>
                <w:left w:val="none" w:sz="0" w:space="0" w:color="auto"/>
                <w:bottom w:val="none" w:sz="0" w:space="0" w:color="auto"/>
                <w:right w:val="none" w:sz="0" w:space="0" w:color="auto"/>
              </w:divBdr>
            </w:div>
            <w:div w:id="1228688438">
              <w:marLeft w:val="0"/>
              <w:marRight w:val="0"/>
              <w:marTop w:val="0"/>
              <w:marBottom w:val="0"/>
              <w:divBdr>
                <w:top w:val="none" w:sz="0" w:space="0" w:color="auto"/>
                <w:left w:val="none" w:sz="0" w:space="0" w:color="auto"/>
                <w:bottom w:val="none" w:sz="0" w:space="0" w:color="auto"/>
                <w:right w:val="none" w:sz="0" w:space="0" w:color="auto"/>
              </w:divBdr>
            </w:div>
            <w:div w:id="1319966148">
              <w:marLeft w:val="0"/>
              <w:marRight w:val="0"/>
              <w:marTop w:val="0"/>
              <w:marBottom w:val="0"/>
              <w:divBdr>
                <w:top w:val="none" w:sz="0" w:space="0" w:color="auto"/>
                <w:left w:val="none" w:sz="0" w:space="0" w:color="auto"/>
                <w:bottom w:val="none" w:sz="0" w:space="0" w:color="auto"/>
                <w:right w:val="none" w:sz="0" w:space="0" w:color="auto"/>
              </w:divBdr>
            </w:div>
            <w:div w:id="1369337888">
              <w:marLeft w:val="0"/>
              <w:marRight w:val="0"/>
              <w:marTop w:val="0"/>
              <w:marBottom w:val="0"/>
              <w:divBdr>
                <w:top w:val="none" w:sz="0" w:space="0" w:color="auto"/>
                <w:left w:val="none" w:sz="0" w:space="0" w:color="auto"/>
                <w:bottom w:val="none" w:sz="0" w:space="0" w:color="auto"/>
                <w:right w:val="none" w:sz="0" w:space="0" w:color="auto"/>
              </w:divBdr>
            </w:div>
            <w:div w:id="1466193710">
              <w:marLeft w:val="0"/>
              <w:marRight w:val="0"/>
              <w:marTop w:val="0"/>
              <w:marBottom w:val="0"/>
              <w:divBdr>
                <w:top w:val="none" w:sz="0" w:space="0" w:color="auto"/>
                <w:left w:val="none" w:sz="0" w:space="0" w:color="auto"/>
                <w:bottom w:val="none" w:sz="0" w:space="0" w:color="auto"/>
                <w:right w:val="none" w:sz="0" w:space="0" w:color="auto"/>
              </w:divBdr>
            </w:div>
            <w:div w:id="1468663095">
              <w:marLeft w:val="0"/>
              <w:marRight w:val="0"/>
              <w:marTop w:val="0"/>
              <w:marBottom w:val="0"/>
              <w:divBdr>
                <w:top w:val="none" w:sz="0" w:space="0" w:color="auto"/>
                <w:left w:val="none" w:sz="0" w:space="0" w:color="auto"/>
                <w:bottom w:val="none" w:sz="0" w:space="0" w:color="auto"/>
                <w:right w:val="none" w:sz="0" w:space="0" w:color="auto"/>
              </w:divBdr>
            </w:div>
            <w:div w:id="1482191255">
              <w:marLeft w:val="0"/>
              <w:marRight w:val="0"/>
              <w:marTop w:val="0"/>
              <w:marBottom w:val="0"/>
              <w:divBdr>
                <w:top w:val="none" w:sz="0" w:space="0" w:color="auto"/>
                <w:left w:val="none" w:sz="0" w:space="0" w:color="auto"/>
                <w:bottom w:val="none" w:sz="0" w:space="0" w:color="auto"/>
                <w:right w:val="none" w:sz="0" w:space="0" w:color="auto"/>
              </w:divBdr>
            </w:div>
            <w:div w:id="1550261528">
              <w:marLeft w:val="0"/>
              <w:marRight w:val="0"/>
              <w:marTop w:val="0"/>
              <w:marBottom w:val="0"/>
              <w:divBdr>
                <w:top w:val="none" w:sz="0" w:space="0" w:color="auto"/>
                <w:left w:val="none" w:sz="0" w:space="0" w:color="auto"/>
                <w:bottom w:val="none" w:sz="0" w:space="0" w:color="auto"/>
                <w:right w:val="none" w:sz="0" w:space="0" w:color="auto"/>
              </w:divBdr>
            </w:div>
            <w:div w:id="1606812947">
              <w:marLeft w:val="0"/>
              <w:marRight w:val="0"/>
              <w:marTop w:val="0"/>
              <w:marBottom w:val="0"/>
              <w:divBdr>
                <w:top w:val="none" w:sz="0" w:space="0" w:color="auto"/>
                <w:left w:val="none" w:sz="0" w:space="0" w:color="auto"/>
                <w:bottom w:val="none" w:sz="0" w:space="0" w:color="auto"/>
                <w:right w:val="none" w:sz="0" w:space="0" w:color="auto"/>
              </w:divBdr>
            </w:div>
            <w:div w:id="1660575161">
              <w:marLeft w:val="0"/>
              <w:marRight w:val="0"/>
              <w:marTop w:val="0"/>
              <w:marBottom w:val="0"/>
              <w:divBdr>
                <w:top w:val="none" w:sz="0" w:space="0" w:color="auto"/>
                <w:left w:val="none" w:sz="0" w:space="0" w:color="auto"/>
                <w:bottom w:val="none" w:sz="0" w:space="0" w:color="auto"/>
                <w:right w:val="none" w:sz="0" w:space="0" w:color="auto"/>
              </w:divBdr>
            </w:div>
            <w:div w:id="1709991382">
              <w:marLeft w:val="0"/>
              <w:marRight w:val="0"/>
              <w:marTop w:val="0"/>
              <w:marBottom w:val="0"/>
              <w:divBdr>
                <w:top w:val="none" w:sz="0" w:space="0" w:color="auto"/>
                <w:left w:val="none" w:sz="0" w:space="0" w:color="auto"/>
                <w:bottom w:val="none" w:sz="0" w:space="0" w:color="auto"/>
                <w:right w:val="none" w:sz="0" w:space="0" w:color="auto"/>
              </w:divBdr>
            </w:div>
            <w:div w:id="1723092017">
              <w:marLeft w:val="0"/>
              <w:marRight w:val="0"/>
              <w:marTop w:val="0"/>
              <w:marBottom w:val="0"/>
              <w:divBdr>
                <w:top w:val="none" w:sz="0" w:space="0" w:color="auto"/>
                <w:left w:val="none" w:sz="0" w:space="0" w:color="auto"/>
                <w:bottom w:val="none" w:sz="0" w:space="0" w:color="auto"/>
                <w:right w:val="none" w:sz="0" w:space="0" w:color="auto"/>
              </w:divBdr>
            </w:div>
            <w:div w:id="1752965028">
              <w:marLeft w:val="0"/>
              <w:marRight w:val="0"/>
              <w:marTop w:val="0"/>
              <w:marBottom w:val="0"/>
              <w:divBdr>
                <w:top w:val="none" w:sz="0" w:space="0" w:color="auto"/>
                <w:left w:val="none" w:sz="0" w:space="0" w:color="auto"/>
                <w:bottom w:val="none" w:sz="0" w:space="0" w:color="auto"/>
                <w:right w:val="none" w:sz="0" w:space="0" w:color="auto"/>
              </w:divBdr>
            </w:div>
            <w:div w:id="1814981084">
              <w:marLeft w:val="0"/>
              <w:marRight w:val="0"/>
              <w:marTop w:val="0"/>
              <w:marBottom w:val="0"/>
              <w:divBdr>
                <w:top w:val="none" w:sz="0" w:space="0" w:color="auto"/>
                <w:left w:val="none" w:sz="0" w:space="0" w:color="auto"/>
                <w:bottom w:val="none" w:sz="0" w:space="0" w:color="auto"/>
                <w:right w:val="none" w:sz="0" w:space="0" w:color="auto"/>
              </w:divBdr>
            </w:div>
            <w:div w:id="1841117867">
              <w:marLeft w:val="0"/>
              <w:marRight w:val="0"/>
              <w:marTop w:val="0"/>
              <w:marBottom w:val="0"/>
              <w:divBdr>
                <w:top w:val="none" w:sz="0" w:space="0" w:color="auto"/>
                <w:left w:val="none" w:sz="0" w:space="0" w:color="auto"/>
                <w:bottom w:val="none" w:sz="0" w:space="0" w:color="auto"/>
                <w:right w:val="none" w:sz="0" w:space="0" w:color="auto"/>
              </w:divBdr>
            </w:div>
            <w:div w:id="1877039777">
              <w:marLeft w:val="0"/>
              <w:marRight w:val="0"/>
              <w:marTop w:val="0"/>
              <w:marBottom w:val="0"/>
              <w:divBdr>
                <w:top w:val="none" w:sz="0" w:space="0" w:color="auto"/>
                <w:left w:val="none" w:sz="0" w:space="0" w:color="auto"/>
                <w:bottom w:val="none" w:sz="0" w:space="0" w:color="auto"/>
                <w:right w:val="none" w:sz="0" w:space="0" w:color="auto"/>
              </w:divBdr>
            </w:div>
            <w:div w:id="1882787533">
              <w:marLeft w:val="0"/>
              <w:marRight w:val="0"/>
              <w:marTop w:val="0"/>
              <w:marBottom w:val="0"/>
              <w:divBdr>
                <w:top w:val="none" w:sz="0" w:space="0" w:color="auto"/>
                <w:left w:val="none" w:sz="0" w:space="0" w:color="auto"/>
                <w:bottom w:val="none" w:sz="0" w:space="0" w:color="auto"/>
                <w:right w:val="none" w:sz="0" w:space="0" w:color="auto"/>
              </w:divBdr>
            </w:div>
            <w:div w:id="213794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6826">
      <w:bodyDiv w:val="1"/>
      <w:marLeft w:val="0"/>
      <w:marRight w:val="0"/>
      <w:marTop w:val="0"/>
      <w:marBottom w:val="0"/>
      <w:divBdr>
        <w:top w:val="none" w:sz="0" w:space="0" w:color="auto"/>
        <w:left w:val="none" w:sz="0" w:space="0" w:color="auto"/>
        <w:bottom w:val="none" w:sz="0" w:space="0" w:color="auto"/>
        <w:right w:val="none" w:sz="0" w:space="0" w:color="auto"/>
      </w:divBdr>
    </w:div>
    <w:div w:id="816998116">
      <w:bodyDiv w:val="1"/>
      <w:marLeft w:val="0"/>
      <w:marRight w:val="0"/>
      <w:marTop w:val="0"/>
      <w:marBottom w:val="0"/>
      <w:divBdr>
        <w:top w:val="none" w:sz="0" w:space="0" w:color="auto"/>
        <w:left w:val="none" w:sz="0" w:space="0" w:color="auto"/>
        <w:bottom w:val="none" w:sz="0" w:space="0" w:color="auto"/>
        <w:right w:val="none" w:sz="0" w:space="0" w:color="auto"/>
      </w:divBdr>
    </w:div>
    <w:div w:id="823353074">
      <w:bodyDiv w:val="1"/>
      <w:marLeft w:val="0"/>
      <w:marRight w:val="0"/>
      <w:marTop w:val="0"/>
      <w:marBottom w:val="0"/>
      <w:divBdr>
        <w:top w:val="none" w:sz="0" w:space="0" w:color="auto"/>
        <w:left w:val="none" w:sz="0" w:space="0" w:color="auto"/>
        <w:bottom w:val="none" w:sz="0" w:space="0" w:color="auto"/>
        <w:right w:val="none" w:sz="0" w:space="0" w:color="auto"/>
      </w:divBdr>
    </w:div>
    <w:div w:id="890460800">
      <w:bodyDiv w:val="1"/>
      <w:marLeft w:val="0"/>
      <w:marRight w:val="0"/>
      <w:marTop w:val="0"/>
      <w:marBottom w:val="0"/>
      <w:divBdr>
        <w:top w:val="none" w:sz="0" w:space="0" w:color="auto"/>
        <w:left w:val="none" w:sz="0" w:space="0" w:color="auto"/>
        <w:bottom w:val="none" w:sz="0" w:space="0" w:color="auto"/>
        <w:right w:val="none" w:sz="0" w:space="0" w:color="auto"/>
      </w:divBdr>
    </w:div>
    <w:div w:id="913970687">
      <w:bodyDiv w:val="1"/>
      <w:marLeft w:val="0"/>
      <w:marRight w:val="0"/>
      <w:marTop w:val="0"/>
      <w:marBottom w:val="0"/>
      <w:divBdr>
        <w:top w:val="none" w:sz="0" w:space="0" w:color="auto"/>
        <w:left w:val="none" w:sz="0" w:space="0" w:color="auto"/>
        <w:bottom w:val="none" w:sz="0" w:space="0" w:color="auto"/>
        <w:right w:val="none" w:sz="0" w:space="0" w:color="auto"/>
      </w:divBdr>
    </w:div>
    <w:div w:id="979579419">
      <w:bodyDiv w:val="1"/>
      <w:marLeft w:val="0"/>
      <w:marRight w:val="0"/>
      <w:marTop w:val="0"/>
      <w:marBottom w:val="0"/>
      <w:divBdr>
        <w:top w:val="none" w:sz="0" w:space="0" w:color="auto"/>
        <w:left w:val="none" w:sz="0" w:space="0" w:color="auto"/>
        <w:bottom w:val="none" w:sz="0" w:space="0" w:color="auto"/>
        <w:right w:val="none" w:sz="0" w:space="0" w:color="auto"/>
      </w:divBdr>
    </w:div>
    <w:div w:id="999235883">
      <w:bodyDiv w:val="1"/>
      <w:marLeft w:val="0"/>
      <w:marRight w:val="0"/>
      <w:marTop w:val="0"/>
      <w:marBottom w:val="0"/>
      <w:divBdr>
        <w:top w:val="none" w:sz="0" w:space="0" w:color="auto"/>
        <w:left w:val="none" w:sz="0" w:space="0" w:color="auto"/>
        <w:bottom w:val="none" w:sz="0" w:space="0" w:color="auto"/>
        <w:right w:val="none" w:sz="0" w:space="0" w:color="auto"/>
      </w:divBdr>
    </w:div>
    <w:div w:id="1077484211">
      <w:bodyDiv w:val="1"/>
      <w:marLeft w:val="0"/>
      <w:marRight w:val="0"/>
      <w:marTop w:val="0"/>
      <w:marBottom w:val="0"/>
      <w:divBdr>
        <w:top w:val="none" w:sz="0" w:space="0" w:color="auto"/>
        <w:left w:val="none" w:sz="0" w:space="0" w:color="auto"/>
        <w:bottom w:val="none" w:sz="0" w:space="0" w:color="auto"/>
        <w:right w:val="none" w:sz="0" w:space="0" w:color="auto"/>
      </w:divBdr>
    </w:div>
    <w:div w:id="1123500304">
      <w:bodyDiv w:val="1"/>
      <w:marLeft w:val="0"/>
      <w:marRight w:val="0"/>
      <w:marTop w:val="0"/>
      <w:marBottom w:val="0"/>
      <w:divBdr>
        <w:top w:val="none" w:sz="0" w:space="0" w:color="auto"/>
        <w:left w:val="none" w:sz="0" w:space="0" w:color="auto"/>
        <w:bottom w:val="none" w:sz="0" w:space="0" w:color="auto"/>
        <w:right w:val="none" w:sz="0" w:space="0" w:color="auto"/>
      </w:divBdr>
    </w:div>
    <w:div w:id="1125075488">
      <w:bodyDiv w:val="1"/>
      <w:marLeft w:val="0"/>
      <w:marRight w:val="0"/>
      <w:marTop w:val="0"/>
      <w:marBottom w:val="0"/>
      <w:divBdr>
        <w:top w:val="none" w:sz="0" w:space="0" w:color="auto"/>
        <w:left w:val="none" w:sz="0" w:space="0" w:color="auto"/>
        <w:bottom w:val="none" w:sz="0" w:space="0" w:color="auto"/>
        <w:right w:val="none" w:sz="0" w:space="0" w:color="auto"/>
      </w:divBdr>
    </w:div>
    <w:div w:id="1151948780">
      <w:bodyDiv w:val="1"/>
      <w:marLeft w:val="0"/>
      <w:marRight w:val="0"/>
      <w:marTop w:val="0"/>
      <w:marBottom w:val="0"/>
      <w:divBdr>
        <w:top w:val="none" w:sz="0" w:space="0" w:color="auto"/>
        <w:left w:val="none" w:sz="0" w:space="0" w:color="auto"/>
        <w:bottom w:val="none" w:sz="0" w:space="0" w:color="auto"/>
        <w:right w:val="none" w:sz="0" w:space="0" w:color="auto"/>
      </w:divBdr>
    </w:div>
    <w:div w:id="1172256350">
      <w:bodyDiv w:val="1"/>
      <w:marLeft w:val="0"/>
      <w:marRight w:val="0"/>
      <w:marTop w:val="0"/>
      <w:marBottom w:val="0"/>
      <w:divBdr>
        <w:top w:val="none" w:sz="0" w:space="0" w:color="auto"/>
        <w:left w:val="none" w:sz="0" w:space="0" w:color="auto"/>
        <w:bottom w:val="none" w:sz="0" w:space="0" w:color="auto"/>
        <w:right w:val="none" w:sz="0" w:space="0" w:color="auto"/>
      </w:divBdr>
    </w:div>
    <w:div w:id="1180968108">
      <w:bodyDiv w:val="1"/>
      <w:marLeft w:val="0"/>
      <w:marRight w:val="0"/>
      <w:marTop w:val="0"/>
      <w:marBottom w:val="0"/>
      <w:divBdr>
        <w:top w:val="none" w:sz="0" w:space="0" w:color="auto"/>
        <w:left w:val="none" w:sz="0" w:space="0" w:color="auto"/>
        <w:bottom w:val="none" w:sz="0" w:space="0" w:color="auto"/>
        <w:right w:val="none" w:sz="0" w:space="0" w:color="auto"/>
      </w:divBdr>
    </w:div>
    <w:div w:id="1199703225">
      <w:bodyDiv w:val="1"/>
      <w:marLeft w:val="0"/>
      <w:marRight w:val="0"/>
      <w:marTop w:val="0"/>
      <w:marBottom w:val="0"/>
      <w:divBdr>
        <w:top w:val="none" w:sz="0" w:space="0" w:color="auto"/>
        <w:left w:val="none" w:sz="0" w:space="0" w:color="auto"/>
        <w:bottom w:val="none" w:sz="0" w:space="0" w:color="auto"/>
        <w:right w:val="none" w:sz="0" w:space="0" w:color="auto"/>
      </w:divBdr>
    </w:div>
    <w:div w:id="1210914597">
      <w:bodyDiv w:val="1"/>
      <w:marLeft w:val="0"/>
      <w:marRight w:val="0"/>
      <w:marTop w:val="0"/>
      <w:marBottom w:val="0"/>
      <w:divBdr>
        <w:top w:val="none" w:sz="0" w:space="0" w:color="auto"/>
        <w:left w:val="none" w:sz="0" w:space="0" w:color="auto"/>
        <w:bottom w:val="none" w:sz="0" w:space="0" w:color="auto"/>
        <w:right w:val="none" w:sz="0" w:space="0" w:color="auto"/>
      </w:divBdr>
    </w:div>
    <w:div w:id="1235773760">
      <w:bodyDiv w:val="1"/>
      <w:marLeft w:val="0"/>
      <w:marRight w:val="0"/>
      <w:marTop w:val="0"/>
      <w:marBottom w:val="0"/>
      <w:divBdr>
        <w:top w:val="none" w:sz="0" w:space="0" w:color="auto"/>
        <w:left w:val="none" w:sz="0" w:space="0" w:color="auto"/>
        <w:bottom w:val="none" w:sz="0" w:space="0" w:color="auto"/>
        <w:right w:val="none" w:sz="0" w:space="0" w:color="auto"/>
      </w:divBdr>
    </w:div>
    <w:div w:id="1409613975">
      <w:bodyDiv w:val="1"/>
      <w:marLeft w:val="0"/>
      <w:marRight w:val="0"/>
      <w:marTop w:val="0"/>
      <w:marBottom w:val="0"/>
      <w:divBdr>
        <w:top w:val="none" w:sz="0" w:space="0" w:color="auto"/>
        <w:left w:val="none" w:sz="0" w:space="0" w:color="auto"/>
        <w:bottom w:val="none" w:sz="0" w:space="0" w:color="auto"/>
        <w:right w:val="none" w:sz="0" w:space="0" w:color="auto"/>
      </w:divBdr>
    </w:div>
    <w:div w:id="1479030177">
      <w:bodyDiv w:val="1"/>
      <w:marLeft w:val="0"/>
      <w:marRight w:val="0"/>
      <w:marTop w:val="0"/>
      <w:marBottom w:val="0"/>
      <w:divBdr>
        <w:top w:val="none" w:sz="0" w:space="0" w:color="auto"/>
        <w:left w:val="none" w:sz="0" w:space="0" w:color="auto"/>
        <w:bottom w:val="none" w:sz="0" w:space="0" w:color="auto"/>
        <w:right w:val="none" w:sz="0" w:space="0" w:color="auto"/>
      </w:divBdr>
    </w:div>
    <w:div w:id="1484930522">
      <w:bodyDiv w:val="1"/>
      <w:marLeft w:val="0"/>
      <w:marRight w:val="0"/>
      <w:marTop w:val="0"/>
      <w:marBottom w:val="0"/>
      <w:divBdr>
        <w:top w:val="none" w:sz="0" w:space="0" w:color="auto"/>
        <w:left w:val="none" w:sz="0" w:space="0" w:color="auto"/>
        <w:bottom w:val="none" w:sz="0" w:space="0" w:color="auto"/>
        <w:right w:val="none" w:sz="0" w:space="0" w:color="auto"/>
      </w:divBdr>
      <w:divsChild>
        <w:div w:id="1794590027">
          <w:marLeft w:val="480"/>
          <w:marRight w:val="0"/>
          <w:marTop w:val="0"/>
          <w:marBottom w:val="0"/>
          <w:divBdr>
            <w:top w:val="none" w:sz="0" w:space="0" w:color="auto"/>
            <w:left w:val="none" w:sz="0" w:space="0" w:color="auto"/>
            <w:bottom w:val="none" w:sz="0" w:space="0" w:color="auto"/>
            <w:right w:val="none" w:sz="0" w:space="0" w:color="auto"/>
          </w:divBdr>
          <w:divsChild>
            <w:div w:id="167190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04356">
      <w:bodyDiv w:val="1"/>
      <w:marLeft w:val="0"/>
      <w:marRight w:val="0"/>
      <w:marTop w:val="0"/>
      <w:marBottom w:val="0"/>
      <w:divBdr>
        <w:top w:val="none" w:sz="0" w:space="0" w:color="auto"/>
        <w:left w:val="none" w:sz="0" w:space="0" w:color="auto"/>
        <w:bottom w:val="none" w:sz="0" w:space="0" w:color="auto"/>
        <w:right w:val="none" w:sz="0" w:space="0" w:color="auto"/>
      </w:divBdr>
    </w:div>
    <w:div w:id="1521159515">
      <w:bodyDiv w:val="1"/>
      <w:marLeft w:val="0"/>
      <w:marRight w:val="0"/>
      <w:marTop w:val="0"/>
      <w:marBottom w:val="0"/>
      <w:divBdr>
        <w:top w:val="none" w:sz="0" w:space="0" w:color="auto"/>
        <w:left w:val="none" w:sz="0" w:space="0" w:color="auto"/>
        <w:bottom w:val="none" w:sz="0" w:space="0" w:color="auto"/>
        <w:right w:val="none" w:sz="0" w:space="0" w:color="auto"/>
      </w:divBdr>
    </w:div>
    <w:div w:id="1561090570">
      <w:bodyDiv w:val="1"/>
      <w:marLeft w:val="0"/>
      <w:marRight w:val="0"/>
      <w:marTop w:val="0"/>
      <w:marBottom w:val="0"/>
      <w:divBdr>
        <w:top w:val="none" w:sz="0" w:space="0" w:color="auto"/>
        <w:left w:val="none" w:sz="0" w:space="0" w:color="auto"/>
        <w:bottom w:val="none" w:sz="0" w:space="0" w:color="auto"/>
        <w:right w:val="none" w:sz="0" w:space="0" w:color="auto"/>
      </w:divBdr>
      <w:divsChild>
        <w:div w:id="1790734807">
          <w:marLeft w:val="480"/>
          <w:marRight w:val="0"/>
          <w:marTop w:val="0"/>
          <w:marBottom w:val="0"/>
          <w:divBdr>
            <w:top w:val="none" w:sz="0" w:space="0" w:color="auto"/>
            <w:left w:val="none" w:sz="0" w:space="0" w:color="auto"/>
            <w:bottom w:val="none" w:sz="0" w:space="0" w:color="auto"/>
            <w:right w:val="none" w:sz="0" w:space="0" w:color="auto"/>
          </w:divBdr>
          <w:divsChild>
            <w:div w:id="6696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59324">
      <w:bodyDiv w:val="1"/>
      <w:marLeft w:val="0"/>
      <w:marRight w:val="0"/>
      <w:marTop w:val="0"/>
      <w:marBottom w:val="0"/>
      <w:divBdr>
        <w:top w:val="none" w:sz="0" w:space="0" w:color="auto"/>
        <w:left w:val="none" w:sz="0" w:space="0" w:color="auto"/>
        <w:bottom w:val="none" w:sz="0" w:space="0" w:color="auto"/>
        <w:right w:val="none" w:sz="0" w:space="0" w:color="auto"/>
      </w:divBdr>
    </w:div>
    <w:div w:id="1603487131">
      <w:bodyDiv w:val="1"/>
      <w:marLeft w:val="0"/>
      <w:marRight w:val="0"/>
      <w:marTop w:val="0"/>
      <w:marBottom w:val="0"/>
      <w:divBdr>
        <w:top w:val="none" w:sz="0" w:space="0" w:color="auto"/>
        <w:left w:val="none" w:sz="0" w:space="0" w:color="auto"/>
        <w:bottom w:val="none" w:sz="0" w:space="0" w:color="auto"/>
        <w:right w:val="none" w:sz="0" w:space="0" w:color="auto"/>
      </w:divBdr>
    </w:div>
    <w:div w:id="1603731674">
      <w:bodyDiv w:val="1"/>
      <w:marLeft w:val="0"/>
      <w:marRight w:val="0"/>
      <w:marTop w:val="0"/>
      <w:marBottom w:val="0"/>
      <w:divBdr>
        <w:top w:val="none" w:sz="0" w:space="0" w:color="auto"/>
        <w:left w:val="none" w:sz="0" w:space="0" w:color="auto"/>
        <w:bottom w:val="none" w:sz="0" w:space="0" w:color="auto"/>
        <w:right w:val="none" w:sz="0" w:space="0" w:color="auto"/>
      </w:divBdr>
    </w:div>
    <w:div w:id="1632590974">
      <w:bodyDiv w:val="1"/>
      <w:marLeft w:val="0"/>
      <w:marRight w:val="0"/>
      <w:marTop w:val="0"/>
      <w:marBottom w:val="0"/>
      <w:divBdr>
        <w:top w:val="none" w:sz="0" w:space="0" w:color="auto"/>
        <w:left w:val="none" w:sz="0" w:space="0" w:color="auto"/>
        <w:bottom w:val="none" w:sz="0" w:space="0" w:color="auto"/>
        <w:right w:val="none" w:sz="0" w:space="0" w:color="auto"/>
      </w:divBdr>
    </w:div>
    <w:div w:id="1660228197">
      <w:bodyDiv w:val="1"/>
      <w:marLeft w:val="0"/>
      <w:marRight w:val="0"/>
      <w:marTop w:val="0"/>
      <w:marBottom w:val="0"/>
      <w:divBdr>
        <w:top w:val="none" w:sz="0" w:space="0" w:color="auto"/>
        <w:left w:val="none" w:sz="0" w:space="0" w:color="auto"/>
        <w:bottom w:val="none" w:sz="0" w:space="0" w:color="auto"/>
        <w:right w:val="none" w:sz="0" w:space="0" w:color="auto"/>
      </w:divBdr>
    </w:div>
    <w:div w:id="1698971992">
      <w:bodyDiv w:val="1"/>
      <w:marLeft w:val="0"/>
      <w:marRight w:val="0"/>
      <w:marTop w:val="0"/>
      <w:marBottom w:val="0"/>
      <w:divBdr>
        <w:top w:val="none" w:sz="0" w:space="0" w:color="auto"/>
        <w:left w:val="none" w:sz="0" w:space="0" w:color="auto"/>
        <w:bottom w:val="none" w:sz="0" w:space="0" w:color="auto"/>
        <w:right w:val="none" w:sz="0" w:space="0" w:color="auto"/>
      </w:divBdr>
    </w:div>
    <w:div w:id="1778983517">
      <w:bodyDiv w:val="1"/>
      <w:marLeft w:val="0"/>
      <w:marRight w:val="0"/>
      <w:marTop w:val="0"/>
      <w:marBottom w:val="0"/>
      <w:divBdr>
        <w:top w:val="none" w:sz="0" w:space="0" w:color="auto"/>
        <w:left w:val="none" w:sz="0" w:space="0" w:color="auto"/>
        <w:bottom w:val="none" w:sz="0" w:space="0" w:color="auto"/>
        <w:right w:val="none" w:sz="0" w:space="0" w:color="auto"/>
      </w:divBdr>
      <w:divsChild>
        <w:div w:id="1582836475">
          <w:marLeft w:val="480"/>
          <w:marRight w:val="0"/>
          <w:marTop w:val="0"/>
          <w:marBottom w:val="0"/>
          <w:divBdr>
            <w:top w:val="none" w:sz="0" w:space="0" w:color="auto"/>
            <w:left w:val="none" w:sz="0" w:space="0" w:color="auto"/>
            <w:bottom w:val="none" w:sz="0" w:space="0" w:color="auto"/>
            <w:right w:val="none" w:sz="0" w:space="0" w:color="auto"/>
          </w:divBdr>
          <w:divsChild>
            <w:div w:id="170571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39602">
      <w:bodyDiv w:val="1"/>
      <w:marLeft w:val="0"/>
      <w:marRight w:val="0"/>
      <w:marTop w:val="0"/>
      <w:marBottom w:val="0"/>
      <w:divBdr>
        <w:top w:val="none" w:sz="0" w:space="0" w:color="auto"/>
        <w:left w:val="none" w:sz="0" w:space="0" w:color="auto"/>
        <w:bottom w:val="none" w:sz="0" w:space="0" w:color="auto"/>
        <w:right w:val="none" w:sz="0" w:space="0" w:color="auto"/>
      </w:divBdr>
      <w:divsChild>
        <w:div w:id="545875681">
          <w:marLeft w:val="480"/>
          <w:marRight w:val="0"/>
          <w:marTop w:val="0"/>
          <w:marBottom w:val="0"/>
          <w:divBdr>
            <w:top w:val="none" w:sz="0" w:space="0" w:color="auto"/>
            <w:left w:val="none" w:sz="0" w:space="0" w:color="auto"/>
            <w:bottom w:val="none" w:sz="0" w:space="0" w:color="auto"/>
            <w:right w:val="none" w:sz="0" w:space="0" w:color="auto"/>
          </w:divBdr>
          <w:divsChild>
            <w:div w:id="172073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62343">
      <w:bodyDiv w:val="1"/>
      <w:marLeft w:val="0"/>
      <w:marRight w:val="0"/>
      <w:marTop w:val="0"/>
      <w:marBottom w:val="0"/>
      <w:divBdr>
        <w:top w:val="none" w:sz="0" w:space="0" w:color="auto"/>
        <w:left w:val="none" w:sz="0" w:space="0" w:color="auto"/>
        <w:bottom w:val="none" w:sz="0" w:space="0" w:color="auto"/>
        <w:right w:val="none" w:sz="0" w:space="0" w:color="auto"/>
      </w:divBdr>
    </w:div>
    <w:div w:id="1853228034">
      <w:bodyDiv w:val="1"/>
      <w:marLeft w:val="0"/>
      <w:marRight w:val="0"/>
      <w:marTop w:val="0"/>
      <w:marBottom w:val="0"/>
      <w:divBdr>
        <w:top w:val="none" w:sz="0" w:space="0" w:color="auto"/>
        <w:left w:val="none" w:sz="0" w:space="0" w:color="auto"/>
        <w:bottom w:val="none" w:sz="0" w:space="0" w:color="auto"/>
        <w:right w:val="none" w:sz="0" w:space="0" w:color="auto"/>
      </w:divBdr>
    </w:div>
    <w:div w:id="1970667840">
      <w:bodyDiv w:val="1"/>
      <w:marLeft w:val="0"/>
      <w:marRight w:val="0"/>
      <w:marTop w:val="0"/>
      <w:marBottom w:val="0"/>
      <w:divBdr>
        <w:top w:val="none" w:sz="0" w:space="0" w:color="auto"/>
        <w:left w:val="none" w:sz="0" w:space="0" w:color="auto"/>
        <w:bottom w:val="none" w:sz="0" w:space="0" w:color="auto"/>
        <w:right w:val="none" w:sz="0" w:space="0" w:color="auto"/>
      </w:divBdr>
      <w:divsChild>
        <w:div w:id="527108693">
          <w:marLeft w:val="480"/>
          <w:marRight w:val="0"/>
          <w:marTop w:val="0"/>
          <w:marBottom w:val="0"/>
          <w:divBdr>
            <w:top w:val="none" w:sz="0" w:space="0" w:color="auto"/>
            <w:left w:val="none" w:sz="0" w:space="0" w:color="auto"/>
            <w:bottom w:val="none" w:sz="0" w:space="0" w:color="auto"/>
            <w:right w:val="none" w:sz="0" w:space="0" w:color="auto"/>
          </w:divBdr>
          <w:divsChild>
            <w:div w:id="89262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30732">
      <w:bodyDiv w:val="1"/>
      <w:marLeft w:val="0"/>
      <w:marRight w:val="0"/>
      <w:marTop w:val="0"/>
      <w:marBottom w:val="0"/>
      <w:divBdr>
        <w:top w:val="none" w:sz="0" w:space="0" w:color="auto"/>
        <w:left w:val="none" w:sz="0" w:space="0" w:color="auto"/>
        <w:bottom w:val="none" w:sz="0" w:space="0" w:color="auto"/>
        <w:right w:val="none" w:sz="0" w:space="0" w:color="auto"/>
      </w:divBdr>
    </w:div>
    <w:div w:id="2020884758">
      <w:bodyDiv w:val="1"/>
      <w:marLeft w:val="0"/>
      <w:marRight w:val="0"/>
      <w:marTop w:val="0"/>
      <w:marBottom w:val="0"/>
      <w:divBdr>
        <w:top w:val="none" w:sz="0" w:space="0" w:color="auto"/>
        <w:left w:val="none" w:sz="0" w:space="0" w:color="auto"/>
        <w:bottom w:val="none" w:sz="0" w:space="0" w:color="auto"/>
        <w:right w:val="none" w:sz="0" w:space="0" w:color="auto"/>
      </w:divBdr>
    </w:div>
    <w:div w:id="207955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AEA27-EB6D-4692-A0B6-D03CD476B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7578</Words>
  <Characters>45080</Characters>
  <Application>Microsoft Office Word</Application>
  <DocSecurity>0</DocSecurity>
  <Lines>1074</Lines>
  <Paragraphs>386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Abdourahmane DIALLO</dc:creator>
  <cp:keywords/>
  <dc:description/>
  <cp:lastModifiedBy>Abdourahmane DIALLO</cp:lastModifiedBy>
  <cp:revision>432</cp:revision>
  <dcterms:created xsi:type="dcterms:W3CDTF">2024-05-21T12:43:00Z</dcterms:created>
  <dcterms:modified xsi:type="dcterms:W3CDTF">2024-06-04T11:34:00Z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024e10ff0fb35cf4f20f52f90bde329eba192f9e6d5f7e3d37f0f21da79e9a3f</vt:lpwstr>
  </property>
  <property fmtid="{D5CDD505-2E9C-101B-9397-08002B2CF9AE}" pid="3" name="ZOTERO_PREF_1">
    <vt:lpwstr>&lt;data data-version="3" zotero-version="6.0.36"&gt;&lt;session id="FG8AH2Y1"/&gt;&lt;style id="http://www.zotero.org/styles/apa" locale="fr-FR"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