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Enamine 4.6 Millions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2026-07-28</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MPM2</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MPM2,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MPM2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w:t>
      </w:r>
      <w:r>
        <w:t xml:space="preserve"> </w:t>
      </w:r>
      <w:r>
        <w:t xml:space="preserve">“Application of Bioactive Molecular Networking to Identify Corneal-Cytoprotective Compounds from</w:t>
      </w:r>
      <w:r>
        <w:t xml:space="preserve"> </w:t>
      </w:r>
      <w:r>
        <w:t xml:space="preserve">Dialium</w:t>
      </w:r>
      <w:r>
        <w:t xml:space="preserve"> </w:t>
      </w:r>
      <w:r>
        <w:t xml:space="preserve">Cochinchinense</w:t>
      </w:r>
      <w:r>
        <w:t xml:space="preserve"> </w:t>
      </w:r>
      <w:r>
        <w:t xml:space="preserve">Pierre</w:t>
      </w:r>
      <w:r>
        <w:t xml:space="preserve">. Leaves”</w:t>
      </w:r>
      <w:r>
        <w:t xml:space="preserve"> </w:t>
      </w:r>
      <w:r>
        <w:t xml:space="preserve">2025)</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104"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The candidates differed in</w:t>
      </w:r>
      <w:r>
        <w:t xml:space="preserve"> </w:t>
      </w:r>
      <w:r>
        <w:t xml:space="preserve">molecular size, ring architecture, heteroatom content, substitution patterns,</w:t>
      </w:r>
      <w:r>
        <w:t xml:space="preserve"> </w:t>
      </w:r>
      <w:r>
        <w:t xml:space="preserve">and stereochemical complexity. Z1723441401 and Z31277728 contain several</w:t>
      </w:r>
      <w:r>
        <w:t xml:space="preserve"> </w:t>
      </w:r>
      <w:r>
        <w:t xml:space="preserve">carbonyl and heterocyclic features, while Z9033488415 and 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0"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Unless otherwise stated, time-averaged parameters were</w:t>
      </w:r>
      <w:r>
        <w:t xml:space="preserve"> </w:t>
      </w:r>
      <w:r>
        <w:t xml:space="preserve">calculated over the 20–100 ns interval to minimize the influence of initial</w:t>
      </w:r>
      <w:r>
        <w:t xml:space="preserve"> </w:t>
      </w:r>
      <w:r>
        <w:t xml:space="preserve">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39" w:name="mmgbsa-binding-energy-estimates"/>
    <w:p>
      <w:pPr>
        <w:pStyle w:val="Heading3"/>
      </w:pPr>
      <w:r>
        <w:t xml:space="preserve">3.2.3 MM/GBSA binding-energy estimates</w:t>
      </w:r>
    </w:p>
    <w:p>
      <w:pPr>
        <w:pStyle w:val="FirstParagraph"/>
      </w:pPr>
      <w:r>
        <w:rPr>
          <w:b/>
          <w:bCs/>
        </w:rP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rPr>
                <w:b/>
                <w:bCs/>
              </w:rPr>
              <w:t xml:space="preserve">Ligand</w:t>
            </w:r>
          </w:p>
        </w:tc>
        <w:tc>
          <w:tcPr/>
          <w:p>
            <w:pPr>
              <w:pStyle w:val="Compact"/>
              <w:jc w:val="right"/>
            </w:pPr>
            <w:r>
              <w:rPr>
                <w:b/>
                <w:bCs/>
              </w:rPr>
              <w:t xml:space="preserve">ΔE</w:t>
            </w:r>
            <w:r>
              <w:rPr>
                <w:b/>
                <w:bCs/>
              </w:rPr>
              <w:t xml:space="preserve">VDW</w:t>
            </w:r>
          </w:p>
        </w:tc>
        <w:tc>
          <w:tcPr/>
          <w:p>
            <w:pPr>
              <w:pStyle w:val="Compact"/>
              <w:jc w:val="right"/>
            </w:pPr>
            <w:r>
              <w:rPr>
                <w:b/>
                <w:bCs/>
              </w:rPr>
              <w:t xml:space="preserve">ΔE</w:t>
            </w:r>
            <w:r>
              <w:rPr>
                <w:b/>
                <w:bCs/>
              </w:rPr>
              <w:t xml:space="preserve">ELE</w:t>
            </w:r>
          </w:p>
        </w:tc>
        <w:tc>
          <w:tcPr/>
          <w:p>
            <w:pPr>
              <w:pStyle w:val="Compact"/>
              <w:jc w:val="right"/>
            </w:pPr>
            <w:r>
              <w:rPr>
                <w:b/>
                <w:bCs/>
              </w:rPr>
              <w:t xml:space="preserve">ΔE</w:t>
            </w:r>
            <w:r>
              <w:rPr>
                <w:b/>
                <w:bCs/>
              </w:rPr>
              <w:t xml:space="preserve">GB</w:t>
            </w:r>
          </w:p>
        </w:tc>
        <w:tc>
          <w:tcPr/>
          <w:p>
            <w:pPr>
              <w:pStyle w:val="Compact"/>
              <w:jc w:val="right"/>
            </w:pPr>
            <w:r>
              <w:rPr>
                <w:b/>
                <w:bCs/>
              </w:rPr>
              <w:t xml:space="preserve">ΔE</w:t>
            </w:r>
            <w:r>
              <w:rPr>
                <w:b/>
                <w:bCs/>
              </w:rPr>
              <w:t xml:space="preserve">SURF</w:t>
            </w:r>
          </w:p>
        </w:tc>
        <w:tc>
          <w:tcPr/>
          <w:p>
            <w:pPr>
              <w:pStyle w:val="Compact"/>
              <w:jc w:val="right"/>
            </w:pPr>
            <w:r>
              <w:rPr>
                <w:b/>
                <w:bCs/>
              </w:rPr>
              <w:t xml:space="preserve">ΔG</w:t>
            </w:r>
            <w:r>
              <w:rPr>
                <w:b/>
                <w:bCs/>
              </w:rPr>
              <w:t xml:space="preserve">GAS</w:t>
            </w:r>
          </w:p>
        </w:tc>
        <w:tc>
          <w:tcPr/>
          <w:p>
            <w:pPr>
              <w:pStyle w:val="Compact"/>
              <w:jc w:val="right"/>
            </w:pPr>
            <w:r>
              <w:rPr>
                <w:b/>
                <w:bCs/>
              </w:rPr>
              <w:t xml:space="preserve">ΔG</w:t>
            </w:r>
            <w:r>
              <w:rPr>
                <w:b/>
                <w:bCs/>
              </w:rPr>
              <w:t xml:space="preserve">SOLV</w:t>
            </w:r>
          </w:p>
        </w:tc>
        <w:tc>
          <w:tcPr/>
          <w:p>
            <w:pPr>
              <w:pStyle w:val="Compact"/>
              <w:jc w:val="right"/>
            </w:pPr>
            <w:r>
              <w:rPr>
                <w:b/>
                <w:bCs/>
              </w:rPr>
              <w:t xml:space="preserve">ΔG</w:t>
            </w:r>
            <w:r>
              <w:rPr>
                <w:b/>
                <w:bCs/>
              </w:rPr>
              <w:t xml:space="preserve">MM/GBSA</w:t>
            </w:r>
          </w:p>
        </w:tc>
      </w:tr>
      <w:tr>
        <w:tc>
          <w:tcPr/>
          <w:p>
            <w:pPr>
              <w:pStyle w:val="Compact"/>
            </w:pPr>
            <w:r>
              <w:rPr>
                <w:b/>
                <w:bCs/>
              </w:rPr>
              <w:t xml:space="preserve">I5K</w:t>
            </w:r>
          </w:p>
        </w:tc>
        <w:tc>
          <w:tcPr/>
          <w:p>
            <w:pPr>
              <w:pStyle w:val="Compact"/>
              <w:jc w:val="right"/>
            </w:pPr>
            <w:r>
              <w:t xml:space="preserve">-14.59 ± 0.64</w:t>
            </w:r>
          </w:p>
        </w:tc>
        <w:tc>
          <w:tcPr/>
          <w:p>
            <w:pPr>
              <w:pStyle w:val="Compact"/>
              <w:jc w:val="right"/>
            </w:pPr>
            <w:r>
              <w:t xml:space="preserve">-9.94 ± 0.45</w:t>
            </w:r>
          </w:p>
        </w:tc>
        <w:tc>
          <w:tcPr/>
          <w:p>
            <w:pPr>
              <w:pStyle w:val="Compact"/>
              <w:jc w:val="right"/>
            </w:pPr>
            <w:r>
              <w:t xml:space="preserve">14.10 ± 0.60</w:t>
            </w:r>
          </w:p>
        </w:tc>
        <w:tc>
          <w:tcPr/>
          <w:p>
            <w:pPr>
              <w:pStyle w:val="Compact"/>
              <w:jc w:val="right"/>
            </w:pPr>
            <w:r>
              <w:t xml:space="preserve">-2.22 ± 0.10</w:t>
            </w:r>
          </w:p>
        </w:tc>
        <w:tc>
          <w:tcPr/>
          <w:p>
            <w:pPr>
              <w:pStyle w:val="Compact"/>
              <w:jc w:val="right"/>
            </w:pPr>
            <w:r>
              <w:t xml:space="preserve">-24.53 ± 1.06</w:t>
            </w:r>
          </w:p>
        </w:tc>
        <w:tc>
          <w:tcPr/>
          <w:p>
            <w:pPr>
              <w:pStyle w:val="Compact"/>
              <w:jc w:val="right"/>
            </w:pPr>
            <w:r>
              <w:t xml:space="preserve">11.88 ± 0.51</w:t>
            </w:r>
          </w:p>
        </w:tc>
        <w:tc>
          <w:tcPr/>
          <w:p>
            <w:pPr>
              <w:pStyle w:val="Compact"/>
              <w:jc w:val="right"/>
            </w:pPr>
            <w:r>
              <w:t xml:space="preserve">-12.65 ± 0.56</w:t>
            </w:r>
          </w:p>
        </w:tc>
      </w:tr>
      <w:tr>
        <w:tc>
          <w:tcPr/>
          <w:p>
            <w:pPr>
              <w:pStyle w:val="Compact"/>
            </w:pPr>
            <w:r>
              <w:rPr>
                <w:b/>
                <w:bCs/>
              </w:rPr>
              <w:t xml:space="preserve">Z1723441401</w:t>
            </w:r>
          </w:p>
        </w:tc>
        <w:tc>
          <w:tcPr/>
          <w:p>
            <w:pPr>
              <w:pStyle w:val="Compact"/>
              <w:jc w:val="right"/>
            </w:pPr>
            <w:r>
              <w:t xml:space="preserve">-31.59 ± 1.11</w:t>
            </w:r>
          </w:p>
        </w:tc>
        <w:tc>
          <w:tcPr/>
          <w:p>
            <w:pPr>
              <w:pStyle w:val="Compact"/>
              <w:jc w:val="right"/>
            </w:pPr>
            <w:r>
              <w:t xml:space="preserve">-16.02 ± 0.62</w:t>
            </w:r>
          </w:p>
        </w:tc>
        <w:tc>
          <w:tcPr/>
          <w:p>
            <w:pPr>
              <w:pStyle w:val="Compact"/>
              <w:jc w:val="right"/>
            </w:pPr>
            <w:r>
              <w:t xml:space="preserve">26.67 ± 0.96</w:t>
            </w:r>
          </w:p>
        </w:tc>
        <w:tc>
          <w:tcPr/>
          <w:p>
            <w:pPr>
              <w:pStyle w:val="Compact"/>
              <w:jc w:val="right"/>
            </w:pPr>
            <w:r>
              <w:t xml:space="preserve">-4.00 ± 0.14</w:t>
            </w:r>
          </w:p>
        </w:tc>
        <w:tc>
          <w:tcPr/>
          <w:p>
            <w:pPr>
              <w:pStyle w:val="Compact"/>
              <w:jc w:val="right"/>
            </w:pPr>
            <w:r>
              <w:t xml:space="preserve">-47.60 ± 1.70</w:t>
            </w:r>
          </w:p>
        </w:tc>
        <w:tc>
          <w:tcPr/>
          <w:p>
            <w:pPr>
              <w:pStyle w:val="Compact"/>
              <w:jc w:val="right"/>
            </w:pPr>
            <w:r>
              <w:t xml:space="preserve">22.67 ± 0.82</w:t>
            </w:r>
          </w:p>
        </w:tc>
        <w:tc>
          <w:tcPr/>
          <w:p>
            <w:pPr>
              <w:pStyle w:val="Compact"/>
              <w:jc w:val="right"/>
            </w:pPr>
            <w:r>
              <w:t xml:space="preserve">-24.93 ± 0.89</w:t>
            </w:r>
          </w:p>
        </w:tc>
      </w:tr>
      <w:tr>
        <w:tc>
          <w:tcPr/>
          <w:p>
            <w:pPr>
              <w:pStyle w:val="Compact"/>
            </w:pPr>
            <w:r>
              <w:rPr>
                <w:b/>
                <w:bCs/>
              </w:rPr>
              <w:t xml:space="preserve">Z31277728</w:t>
            </w:r>
          </w:p>
        </w:tc>
        <w:tc>
          <w:tcPr/>
          <w:p>
            <w:pPr>
              <w:pStyle w:val="Compact"/>
              <w:jc w:val="right"/>
            </w:pPr>
            <w:r>
              <w:t xml:space="preserve">-34.49 ± 1.37</w:t>
            </w:r>
          </w:p>
        </w:tc>
        <w:tc>
          <w:tcPr/>
          <w:p>
            <w:pPr>
              <w:pStyle w:val="Compact"/>
              <w:jc w:val="right"/>
            </w:pPr>
            <w:r>
              <w:t xml:space="preserve">-10.35 ± 0.51</w:t>
            </w:r>
          </w:p>
        </w:tc>
        <w:tc>
          <w:tcPr/>
          <w:p>
            <w:pPr>
              <w:pStyle w:val="Compact"/>
              <w:jc w:val="right"/>
            </w:pPr>
            <w:r>
              <w:t xml:space="preserve">27.15 ± 1.11</w:t>
            </w:r>
          </w:p>
        </w:tc>
        <w:tc>
          <w:tcPr/>
          <w:p>
            <w:pPr>
              <w:pStyle w:val="Compact"/>
              <w:jc w:val="right"/>
            </w:pPr>
            <w:r>
              <w:t xml:space="preserve">-4.44 ± 0.18</w:t>
            </w:r>
          </w:p>
        </w:tc>
        <w:tc>
          <w:tcPr/>
          <w:p>
            <w:pPr>
              <w:pStyle w:val="Compact"/>
              <w:jc w:val="right"/>
            </w:pPr>
            <w:r>
              <w:t xml:space="preserve">-44.84 ± 1.83</w:t>
            </w:r>
          </w:p>
        </w:tc>
        <w:tc>
          <w:tcPr/>
          <w:p>
            <w:pPr>
              <w:pStyle w:val="Compact"/>
              <w:jc w:val="right"/>
            </w:pPr>
            <w:r>
              <w:t xml:space="preserve">22.70 ± 0.94</w:t>
            </w:r>
          </w:p>
        </w:tc>
        <w:tc>
          <w:tcPr/>
          <w:p>
            <w:pPr>
              <w:pStyle w:val="Compact"/>
              <w:jc w:val="right"/>
            </w:pPr>
            <w:r>
              <w:t xml:space="preserve">-22.13 ± 0.90</w:t>
            </w:r>
          </w:p>
        </w:tc>
      </w:tr>
      <w:tr>
        <w:tc>
          <w:tcPr/>
          <w:p>
            <w:pPr>
              <w:pStyle w:val="Compact"/>
            </w:pPr>
            <w:r>
              <w:rPr>
                <w:b/>
                <w:bCs/>
              </w:rPr>
              <w:t xml:space="preserve">Z9033488415</w:t>
            </w:r>
          </w:p>
        </w:tc>
        <w:tc>
          <w:tcPr/>
          <w:p>
            <w:pPr>
              <w:pStyle w:val="Compact"/>
              <w:jc w:val="right"/>
            </w:pPr>
            <w:r>
              <w:t xml:space="preserve">-28.96 ± 1.26</w:t>
            </w:r>
          </w:p>
        </w:tc>
        <w:tc>
          <w:tcPr/>
          <w:p>
            <w:pPr>
              <w:pStyle w:val="Compact"/>
              <w:jc w:val="right"/>
            </w:pPr>
            <w:r>
              <w:t xml:space="preserve">12.85 ± 0.84</w:t>
            </w:r>
          </w:p>
        </w:tc>
        <w:tc>
          <w:tcPr/>
          <w:p>
            <w:pPr>
              <w:pStyle w:val="Compact"/>
              <w:jc w:val="right"/>
            </w:pPr>
            <w:r>
              <w:t xml:space="preserve">4.86 ± 1.46</w:t>
            </w:r>
          </w:p>
        </w:tc>
        <w:tc>
          <w:tcPr/>
          <w:p>
            <w:pPr>
              <w:pStyle w:val="Compact"/>
              <w:jc w:val="right"/>
            </w:pPr>
            <w:r>
              <w:t xml:space="preserve">-3.59 ± 0.16</w:t>
            </w:r>
          </w:p>
        </w:tc>
        <w:tc>
          <w:tcPr/>
          <w:p>
            <w:pPr>
              <w:pStyle w:val="Compact"/>
              <w:jc w:val="right"/>
            </w:pPr>
            <w:r>
              <w:t xml:space="preserve">-16.11 ± 1.92</w:t>
            </w:r>
          </w:p>
        </w:tc>
        <w:tc>
          <w:tcPr/>
          <w:p>
            <w:pPr>
              <w:pStyle w:val="Compact"/>
              <w:jc w:val="right"/>
            </w:pPr>
            <w:r>
              <w:t xml:space="preserve">1.27 ± 1.32</w:t>
            </w:r>
          </w:p>
        </w:tc>
        <w:tc>
          <w:tcPr/>
          <w:p>
            <w:pPr>
              <w:pStyle w:val="Compact"/>
              <w:jc w:val="right"/>
            </w:pPr>
            <w:r>
              <w:t xml:space="preserve">-14.85 ± 0.66</w:t>
            </w:r>
          </w:p>
        </w:tc>
      </w:tr>
      <w:tr>
        <w:tc>
          <w:tcPr/>
          <w:p>
            <w:pPr>
              <w:pStyle w:val="Compact"/>
            </w:pPr>
            <w:r>
              <w:rPr>
                <w:b/>
                <w:bCs/>
              </w:rPr>
              <w:t xml:space="preserve">Z9302730850</w:t>
            </w:r>
          </w:p>
        </w:tc>
        <w:tc>
          <w:tcPr/>
          <w:p>
            <w:pPr>
              <w:pStyle w:val="Compact"/>
              <w:jc w:val="right"/>
            </w:pPr>
            <w:r>
              <w:t xml:space="preserve">-28.75 ± 1.21</w:t>
            </w:r>
          </w:p>
        </w:tc>
        <w:tc>
          <w:tcPr/>
          <w:p>
            <w:pPr>
              <w:pStyle w:val="Compact"/>
              <w:jc w:val="right"/>
            </w:pPr>
            <w:r>
              <w:t xml:space="preserve">-18.63 ± 0.81</w:t>
            </w:r>
          </w:p>
        </w:tc>
        <w:tc>
          <w:tcPr/>
          <w:p>
            <w:pPr>
              <w:pStyle w:val="Compact"/>
              <w:jc w:val="right"/>
            </w:pPr>
            <w:r>
              <w:t xml:space="preserve">27.43 ± 1.15</w:t>
            </w:r>
          </w:p>
        </w:tc>
        <w:tc>
          <w:tcPr/>
          <w:p>
            <w:pPr>
              <w:pStyle w:val="Compact"/>
              <w:jc w:val="right"/>
            </w:pPr>
            <w:r>
              <w:t xml:space="preserve">-3.64 ± 0.15</w:t>
            </w:r>
          </w:p>
        </w:tc>
        <w:tc>
          <w:tcPr/>
          <w:p>
            <w:pPr>
              <w:pStyle w:val="Compact"/>
              <w:jc w:val="right"/>
            </w:pPr>
            <w:r>
              <w:t xml:space="preserve">-47.37 ± 1.99</w:t>
            </w:r>
          </w:p>
        </w:tc>
        <w:tc>
          <w:tcPr/>
          <w:p>
            <w:pPr>
              <w:pStyle w:val="Compact"/>
              <w:jc w:val="right"/>
            </w:pPr>
            <w:r>
              <w:t xml:space="preserve">23.79 ± 1.00</w:t>
            </w:r>
          </w:p>
        </w:tc>
        <w:tc>
          <w:tcPr/>
          <w:p>
            <w:pPr>
              <w:pStyle w:val="Compact"/>
              <w:jc w:val="right"/>
            </w:pPr>
            <w:r>
              <w:t xml:space="preserve">-23.58 ± 1.00</w:t>
            </w:r>
          </w:p>
        </w:tc>
      </w:tr>
      <w:tr>
        <w:tc>
          <w:tcPr/>
          <w:p>
            <w:pPr>
              <w:pStyle w:val="Compact"/>
            </w:pPr>
            <w:r>
              <w:rPr>
                <w:b/>
                <w:bCs/>
              </w:rPr>
              <w:t xml:space="preserve">Z985612796</w:t>
            </w:r>
          </w:p>
        </w:tc>
        <w:tc>
          <w:tcPr/>
          <w:p>
            <w:pPr>
              <w:pStyle w:val="Compact"/>
              <w:jc w:val="right"/>
            </w:pPr>
            <w:r>
              <w:t xml:space="preserve">-40.68 ± 0.81</w:t>
            </w:r>
          </w:p>
        </w:tc>
        <w:tc>
          <w:tcPr/>
          <w:p>
            <w:pPr>
              <w:pStyle w:val="Compact"/>
              <w:jc w:val="right"/>
            </w:pPr>
            <w:r>
              <w:t xml:space="preserve">-18.35 ± 0.42</w:t>
            </w:r>
          </w:p>
        </w:tc>
        <w:tc>
          <w:tcPr/>
          <w:p>
            <w:pPr>
              <w:pStyle w:val="Compact"/>
              <w:jc w:val="right"/>
            </w:pPr>
            <w:r>
              <w:t xml:space="preserve">33.48 ± 0.68</w:t>
            </w:r>
          </w:p>
        </w:tc>
        <w:tc>
          <w:tcPr/>
          <w:p>
            <w:pPr>
              <w:pStyle w:val="Compact"/>
              <w:jc w:val="right"/>
            </w:pPr>
            <w:r>
              <w:t xml:space="preserve">-5.15 ± 0.10</w:t>
            </w:r>
          </w:p>
        </w:tc>
        <w:tc>
          <w:tcPr/>
          <w:p>
            <w:pPr>
              <w:pStyle w:val="Compact"/>
              <w:jc w:val="right"/>
            </w:pPr>
            <w:r>
              <w:t xml:space="preserve">-59.03 ± 1.19</w:t>
            </w:r>
          </w:p>
        </w:tc>
        <w:tc>
          <w:tcPr/>
          <w:p>
            <w:pPr>
              <w:pStyle w:val="Compact"/>
              <w:jc w:val="right"/>
            </w:pPr>
            <w:r>
              <w:t xml:space="preserve">28.33 ± 0.58</w:t>
            </w:r>
          </w:p>
        </w:tc>
        <w:tc>
          <w:tcPr/>
          <w:p>
            <w:pPr>
              <w:pStyle w:val="Compact"/>
              <w:jc w:val="right"/>
            </w:pPr>
            <w:r>
              <w:t xml:space="preserve">-30.70 ± 0.63</w:t>
            </w:r>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w:t>
      </w:r>
    </w:p>
    <w:bookmarkEnd w:id="39"/>
    <w:bookmarkEnd w:id="40"/>
    <w:bookmarkStart w:id="41"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w:t>
      </w:r>
    </w:p>
    <w:p>
      <w:pPr>
        <w:pStyle w:val="BodyText"/>
      </w:pPr>
      <w:r>
        <w:t xml:space="preserve">The binding and developability assessments therefore produced different</w:t>
      </w:r>
      <w:r>
        <w:t xml:space="preserve"> </w:t>
      </w:r>
      <w:r>
        <w:t xml:space="preserve">rankings. Z985612796 led the MD/MM/GBSA assessment but retained several</w:t>
      </w:r>
      <w:r>
        <w:t xml:space="preserve"> </w:t>
      </w:r>
      <w:r>
        <w:t xml:space="preserve">predicted safety and transport liabilities. Z1723441401 had a less favorable</w:t>
      </w:r>
      <w:r>
        <w:t xml:space="preserve"> </w:t>
      </w:r>
      <w:r>
        <w:t xml:space="preserve">endpoint binding-energy estimate but the 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1"/>
    <w:bookmarkStart w:id="103"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Start w:id="102" w:name="refs"/>
    <w:bookmarkStart w:id="43"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2">
        <w:r>
          <w:rPr>
            <w:rStyle w:val="Hyperlink"/>
          </w:rPr>
          <w:t xml:space="preserve">https://doi.org/10.1016/j.softx.2015.06.001</w:t>
        </w:r>
      </w:hyperlink>
      <w:r>
        <w:t xml:space="preserve">.</w:t>
      </w:r>
    </w:p>
    <w:bookmarkEnd w:id="43"/>
    <w:bookmarkStart w:id="45"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44">
        <w:r>
          <w:rPr>
            <w:rStyle w:val="Hyperlink"/>
          </w:rPr>
          <w:t xml:space="preserve">https://doi.org/10.1016/j.vetpar.2026.110725</w:t>
        </w:r>
      </w:hyperlink>
      <w:r>
        <w:t xml:space="preserve">.</w:t>
      </w:r>
    </w:p>
    <w:bookmarkEnd w:id="45"/>
    <w:bookmarkStart w:id="47"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46">
        <w:r>
          <w:rPr>
            <w:rStyle w:val="Hyperlink"/>
          </w:rPr>
          <w:t xml:space="preserve">https://doi.org/10.1002/cmdc.202500024</w:t>
        </w:r>
      </w:hyperlink>
      <w:r>
        <w:t xml:space="preserve">.</w:t>
      </w:r>
    </w:p>
    <w:bookmarkEnd w:id="47"/>
    <w:bookmarkStart w:id="49"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48">
        <w:r>
          <w:rPr>
            <w:rStyle w:val="Hyperlink"/>
          </w:rPr>
          <w:t xml:space="preserve">https://doi.org/10.2210/pdb9hhc/pdb</w:t>
        </w:r>
      </w:hyperlink>
      <w:r>
        <w:t xml:space="preserve">.</w:t>
      </w:r>
    </w:p>
    <w:bookmarkEnd w:id="49"/>
    <w:bookmarkStart w:id="51" w:name="ref-ApplicationBioactiveMolecular2025"/>
    <w:p>
      <w:pPr>
        <w:pStyle w:val="Bibliography"/>
      </w:pPr>
      <w:r>
        <w:t xml:space="preserve">“Application of Bioactive Molecular Networking to Identify Corneal-Cytoprotective Compounds from</w:t>
      </w:r>
      <w:r>
        <w:t xml:space="preserve"> </w:t>
      </w:r>
      <w:r>
        <w:t xml:space="preserve">Dialium</w:t>
      </w:r>
      <w:r>
        <w:t xml:space="preserve"> </w:t>
      </w:r>
      <w:r>
        <w:t xml:space="preserve">Cochinchinense</w:t>
      </w:r>
      <w:r>
        <w:t xml:space="preserve"> </w:t>
      </w:r>
      <w:r>
        <w:t xml:space="preserve">Pierre</w:t>
      </w:r>
      <w:r>
        <w:t xml:space="preserve">. Leaves.”</w:t>
      </w:r>
      <w:r>
        <w:t xml:space="preserve"> </w:t>
      </w:r>
      <w:r>
        <w:t xml:space="preserve">2025.</w:t>
      </w:r>
      <w:r>
        <w:t xml:space="preserve"> </w:t>
      </w:r>
      <w:r>
        <w:rPr>
          <w:i/>
          <w:iCs/>
        </w:rPr>
        <w:t xml:space="preserve">Current Plant Biology</w:t>
      </w:r>
      <w:r>
        <w:t xml:space="preserve"> </w:t>
      </w:r>
      <w:r>
        <w:t xml:space="preserve">42 (June): 100489.</w:t>
      </w:r>
      <w:r>
        <w:t xml:space="preserve"> </w:t>
      </w:r>
      <w:hyperlink r:id="rId50">
        <w:r>
          <w:rPr>
            <w:rStyle w:val="Hyperlink"/>
          </w:rPr>
          <w:t xml:space="preserve">https://doi.org/10.1016/j.cpb.2025.100489</w:t>
        </w:r>
      </w:hyperlink>
      <w:r>
        <w:t xml:space="preserve">.</w:t>
      </w:r>
    </w:p>
    <w:bookmarkEnd w:id="51"/>
    <w:bookmarkStart w:id="53"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2">
        <w:r>
          <w:rPr>
            <w:rStyle w:val="Hyperlink"/>
          </w:rPr>
          <w:t xml:space="preserve">https://doi.org/10.1111/bph.16144</w:t>
        </w:r>
      </w:hyperlink>
      <w:r>
        <w:t xml:space="preserve">.</w:t>
      </w:r>
    </w:p>
    <w:bookmarkEnd w:id="53"/>
    <w:bookmarkStart w:id="54"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4"/>
    <w:bookmarkStart w:id="56"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5">
        <w:r>
          <w:rPr>
            <w:rStyle w:val="Hyperlink"/>
          </w:rPr>
          <w:t xml:space="preserve">https://doi.org/10.1186/s12936-016-1675-x</w:t>
        </w:r>
      </w:hyperlink>
      <w:r>
        <w:t xml:space="preserve">.</w:t>
      </w:r>
    </w:p>
    <w:bookmarkEnd w:id="56"/>
    <w:bookmarkStart w:id="58"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57">
        <w:r>
          <w:rPr>
            <w:rStyle w:val="Hyperlink"/>
          </w:rPr>
          <w:t xml:space="preserve">https://doi.org/10.1186/1475-2875-12-187</w:t>
        </w:r>
      </w:hyperlink>
      <w:r>
        <w:t xml:space="preserve">.</w:t>
      </w:r>
    </w:p>
    <w:bookmarkEnd w:id="58"/>
    <w:bookmarkStart w:id="60"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59">
        <w:r>
          <w:rPr>
            <w:rStyle w:val="Hyperlink"/>
          </w:rPr>
          <w:t xml:space="preserve">https://doi.org/10.1063/1.2408420</w:t>
        </w:r>
      </w:hyperlink>
      <w:r>
        <w:t xml:space="preserve">.</w:t>
      </w:r>
    </w:p>
    <w:bookmarkEnd w:id="60"/>
    <w:bookmarkStart w:id="61"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61"/>
    <w:bookmarkStart w:id="63" w:name="ref-compound"/>
    <w:p>
      <w:pPr>
        <w:pStyle w:val="Bibliography"/>
      </w:pPr>
      <w:r>
        <w:rPr>
          <w:i/>
          <w:iCs/>
        </w:rPr>
        <w:t xml:space="preserve">Compound Collections - Enamine</w:t>
      </w:r>
      <w:r>
        <w:t xml:space="preserve">. n.d.</w:t>
      </w:r>
      <w:r>
        <w:t xml:space="preserve"> </w:t>
      </w:r>
      <w:hyperlink r:id="rId62">
        <w:r>
          <w:rPr>
            <w:rStyle w:val="Hyperlink"/>
          </w:rPr>
          <w:t xml:space="preserve">https://enamine.net/compound-collections</w:t>
        </w:r>
      </w:hyperlink>
      <w:r>
        <w:t xml:space="preserve">.</w:t>
      </w:r>
    </w:p>
    <w:bookmarkEnd w:id="63"/>
    <w:bookmarkStart w:id="65"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4">
        <w:r>
          <w:rPr>
            <w:rStyle w:val="Hyperlink"/>
          </w:rPr>
          <w:t xml:space="preserve">https://doi.org/10.1063/1.464397</w:t>
        </w:r>
      </w:hyperlink>
      <w:r>
        <w:t xml:space="preserve">.</w:t>
      </w:r>
    </w:p>
    <w:bookmarkEnd w:id="65"/>
    <w:bookmarkStart w:id="67"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66">
        <w:r>
          <w:rPr>
            <w:rStyle w:val="Hyperlink"/>
          </w:rPr>
          <w:t xml:space="preserve">https://doi.org/10.1371/journal.pcbi.1005659</w:t>
        </w:r>
      </w:hyperlink>
      <w:r>
        <w:t xml:space="preserve">.</w:t>
      </w:r>
    </w:p>
    <w:bookmarkEnd w:id="67"/>
    <w:bookmarkStart w:id="69"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68">
        <w:r>
          <w:rPr>
            <w:rStyle w:val="Hyperlink"/>
          </w:rPr>
          <w:t xml:space="preserve">https://doi.org/10.1007/s11030-023-10770-z</w:t>
        </w:r>
      </w:hyperlink>
      <w:r>
        <w:t xml:space="preserve">.</w:t>
      </w:r>
    </w:p>
    <w:bookmarkEnd w:id="69"/>
    <w:bookmarkStart w:id="71"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70">
        <w:r>
          <w:rPr>
            <w:rStyle w:val="Hyperlink"/>
          </w:rPr>
          <w:t xml:space="preserve">https://doi.org/10.1002/ejoc.202101210</w:t>
        </w:r>
      </w:hyperlink>
      <w:r>
        <w:t xml:space="preserve">.</w:t>
      </w:r>
    </w:p>
    <w:bookmarkEnd w:id="71"/>
    <w:bookmarkStart w:id="73"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2">
        <w:r>
          <w:rPr>
            <w:rStyle w:val="Hyperlink"/>
          </w:rPr>
          <w:t xml:space="preserve">https://doi.org/10.1002/(SICI)1096-987X(199709)18:12&lt;1463::AID-JCC4&gt;3.0.CO;2-H</w:t>
        </w:r>
      </w:hyperlink>
      <w:r>
        <w:t xml:space="preserve">.</w:t>
      </w:r>
    </w:p>
    <w:bookmarkEnd w:id="73"/>
    <w:bookmarkStart w:id="75"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4">
        <w:r>
          <w:rPr>
            <w:rStyle w:val="Hyperlink"/>
          </w:rPr>
          <w:t xml:space="preserve">https://doi.org/10.1002/jcc.23354</w:t>
        </w:r>
      </w:hyperlink>
      <w:r>
        <w:t xml:space="preserve">.</w:t>
      </w:r>
    </w:p>
    <w:bookmarkEnd w:id="75"/>
    <w:bookmarkStart w:id="77"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76">
        <w:r>
          <w:rPr>
            <w:rStyle w:val="Hyperlink"/>
          </w:rPr>
          <w:t xml:space="preserve">https://doi.org/10.1016/j.chom.2015.05.009</w:t>
        </w:r>
      </w:hyperlink>
      <w:r>
        <w:t xml:space="preserve">.</w:t>
      </w:r>
    </w:p>
    <w:bookmarkEnd w:id="77"/>
    <w:bookmarkStart w:id="79" w:name="ref-laboratory2026"/>
    <w:p>
      <w:pPr>
        <w:pStyle w:val="Bibliography"/>
      </w:pPr>
      <w:r>
        <w:t xml:space="preserve">Laboratory, Richardson. 2026.</w:t>
      </w:r>
      <w:r>
        <w:t xml:space="preserve"> </w:t>
      </w:r>
      <w:r>
        <w:rPr>
          <w:i/>
          <w:iCs/>
        </w:rPr>
        <w:t xml:space="preserve">Rlabduke/Reduce</w:t>
      </w:r>
      <w:r>
        <w:t xml:space="preserve">.</w:t>
      </w:r>
      <w:r>
        <w:t xml:space="preserve"> </w:t>
      </w:r>
      <w:hyperlink r:id="rId78">
        <w:r>
          <w:rPr>
            <w:rStyle w:val="Hyperlink"/>
          </w:rPr>
          <w:t xml:space="preserve">https://github.com/rlabduke/reduce</w:t>
        </w:r>
      </w:hyperlink>
      <w:r>
        <w:t xml:space="preserve">.</w:t>
      </w:r>
    </w:p>
    <w:bookmarkEnd w:id="79"/>
    <w:bookmarkStart w:id="81"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80">
        <w:r>
          <w:rPr>
            <w:rStyle w:val="Hyperlink"/>
          </w:rPr>
          <w:t xml:space="preserve">https://doi.org/10.5281/ZENODO.18797641</w:t>
        </w:r>
      </w:hyperlink>
      <w:r>
        <w:t xml:space="preserve">.</w:t>
      </w:r>
    </w:p>
    <w:bookmarkEnd w:id="81"/>
    <w:bookmarkStart w:id="82"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2"/>
    <w:bookmarkStart w:id="84"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3">
        <w:r>
          <w:rPr>
            <w:rStyle w:val="Hyperlink"/>
          </w:rPr>
          <w:t xml:space="preserve">https://doi.org/10.1186/1758-2946-3-33</w:t>
        </w:r>
      </w:hyperlink>
      <w:r>
        <w:t xml:space="preserve">.</w:t>
      </w:r>
    </w:p>
    <w:bookmarkEnd w:id="84"/>
    <w:bookmarkStart w:id="86" w:name="ref-osg2006"/>
    <w:p>
      <w:pPr>
        <w:pStyle w:val="Bibliography"/>
      </w:pPr>
      <w:r>
        <w:t xml:space="preserve">OSG. 2006.</w:t>
      </w:r>
      <w:r>
        <w:t xml:space="preserve"> </w:t>
      </w:r>
      <w:r>
        <w:rPr>
          <w:i/>
          <w:iCs/>
        </w:rPr>
        <w:t xml:space="preserve">OSPool</w:t>
      </w:r>
      <w:r>
        <w:t xml:space="preserve">.</w:t>
      </w:r>
      <w:r>
        <w:t xml:space="preserve"> </w:t>
      </w:r>
      <w:hyperlink r:id="rId85">
        <w:r>
          <w:rPr>
            <w:rStyle w:val="Hyperlink"/>
          </w:rPr>
          <w:t xml:space="preserve">https://doi.org/10.21231/906P-4D78</w:t>
        </w:r>
      </w:hyperlink>
      <w:r>
        <w:t xml:space="preserve">.</w:t>
      </w:r>
    </w:p>
    <w:bookmarkEnd w:id="86"/>
    <w:bookmarkStart w:id="88"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87">
        <w:r>
          <w:rPr>
            <w:rStyle w:val="Hyperlink"/>
          </w:rPr>
          <w:t xml:space="preserve">https://doi.org/10.1063/1.328693</w:t>
        </w:r>
      </w:hyperlink>
      <w:r>
        <w:t xml:space="preserve">.</w:t>
      </w:r>
    </w:p>
    <w:bookmarkEnd w:id="88"/>
    <w:bookmarkStart w:id="90"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89">
        <w:r>
          <w:rPr>
            <w:rStyle w:val="Hyperlink"/>
          </w:rPr>
          <w:t xml:space="preserve">https://doi.org/10.1021/acs.jcim.5c02271</w:t>
        </w:r>
      </w:hyperlink>
      <w:r>
        <w:t xml:space="preserve">.</w:t>
      </w:r>
    </w:p>
    <w:bookmarkEnd w:id="90"/>
    <w:bookmarkStart w:id="92"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91">
        <w:r>
          <w:rPr>
            <w:rStyle w:val="Hyperlink"/>
          </w:rPr>
          <w:t xml:space="preserve">https://doi.org/10.1093/bioinformatics/btae416</w:t>
        </w:r>
      </w:hyperlink>
      <w:r>
        <w:t xml:space="preserve">.</w:t>
      </w:r>
    </w:p>
    <w:bookmarkEnd w:id="92"/>
    <w:bookmarkStart w:id="93"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3"/>
    <w:bookmarkStart w:id="95"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94">
        <w:r>
          <w:rPr>
            <w:rStyle w:val="Hyperlink"/>
          </w:rPr>
          <w:t xml:space="preserve">https://doi.org/10.1002/jcc.21334</w:t>
        </w:r>
      </w:hyperlink>
      <w:r>
        <w:t xml:space="preserve">.</w:t>
      </w:r>
    </w:p>
    <w:bookmarkEnd w:id="95"/>
    <w:bookmarkStart w:id="97"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96">
        <w:r>
          <w:rPr>
            <w:rStyle w:val="Hyperlink"/>
          </w:rPr>
          <w:t xml:space="preserve">https://doi.org/10.1021/acs.jctc.1c00645</w:t>
        </w:r>
      </w:hyperlink>
      <w:r>
        <w:t xml:space="preserve">.</w:t>
      </w:r>
    </w:p>
    <w:bookmarkEnd w:id="97"/>
    <w:bookmarkStart w:id="99"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98">
        <w:r>
          <w:rPr>
            <w:rStyle w:val="Hyperlink"/>
          </w:rPr>
          <w:t xml:space="preserve">https://doi.org/10.1006/jmbi.1998.2401</w:t>
        </w:r>
      </w:hyperlink>
      <w:r>
        <w:t xml:space="preserve">.</w:t>
      </w:r>
    </w:p>
    <w:bookmarkEnd w:id="99"/>
    <w:bookmarkStart w:id="101" w:name="ref-WHO2025Malaria"/>
    <w:p>
      <w:pPr>
        <w:pStyle w:val="Bibliography"/>
      </w:pPr>
      <w:r>
        <w:t xml:space="preserve">World Health Organization. 2025.</w:t>
      </w:r>
      <w:r>
        <w:t xml:space="preserve"> </w:t>
      </w:r>
      <w:r>
        <w:rPr>
          <w:i/>
          <w:iCs/>
        </w:rPr>
        <w:t xml:space="preserve">Malaria</w:t>
      </w:r>
      <w:r>
        <w:t xml:space="preserve">.</w:t>
      </w:r>
      <w:r>
        <w:t xml:space="preserve"> </w:t>
      </w:r>
      <w:hyperlink r:id="rId100">
        <w:r>
          <w:rPr>
            <w:rStyle w:val="Hyperlink"/>
          </w:rPr>
          <w:t xml:space="preserve">https://www.who.int/news-room/fact-sheets/detail/malaria</w:t>
        </w:r>
      </w:hyperlink>
      <w:r>
        <w:t xml:space="preserve">.</w:t>
      </w:r>
    </w:p>
    <w:bookmarkEnd w:id="101"/>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2" Target="https://doi.org/10.1002/(SICI)1096-987X(199709)18:12&lt;1463::AID-JCC4&gt;3.0.CO;2-H" TargetMode="External" /><Relationship Type="http://schemas.openxmlformats.org/officeDocument/2006/relationships/hyperlink" Id="rId46" Target="https://doi.org/10.1002/cmdc.202500024" TargetMode="External" /><Relationship Type="http://schemas.openxmlformats.org/officeDocument/2006/relationships/hyperlink" Id="rId70" Target="https://doi.org/10.1002/ejoc.202101210" TargetMode="External" /><Relationship Type="http://schemas.openxmlformats.org/officeDocument/2006/relationships/hyperlink" Id="rId94" Target="https://doi.org/10.1002/jcc.21334" TargetMode="External" /><Relationship Type="http://schemas.openxmlformats.org/officeDocument/2006/relationships/hyperlink" Id="rId74" Target="https://doi.org/10.1002/jcc.23354" TargetMode="External" /><Relationship Type="http://schemas.openxmlformats.org/officeDocument/2006/relationships/hyperlink" Id="rId98" Target="https://doi.org/10.1006/jmbi.1998.2401" TargetMode="External" /><Relationship Type="http://schemas.openxmlformats.org/officeDocument/2006/relationships/hyperlink" Id="rId68" Target="https://doi.org/10.1007/s11030-023-10770-z" TargetMode="External" /><Relationship Type="http://schemas.openxmlformats.org/officeDocument/2006/relationships/hyperlink" Id="rId76" Target="https://doi.org/10.1016/j.chom.2015.05.009" TargetMode="External" /><Relationship Type="http://schemas.openxmlformats.org/officeDocument/2006/relationships/hyperlink" Id="rId50" Target="https://doi.org/10.1016/j.cpb.2025.100489" TargetMode="External" /><Relationship Type="http://schemas.openxmlformats.org/officeDocument/2006/relationships/hyperlink" Id="rId42" Target="https://doi.org/10.1016/j.softx.2015.06.001" TargetMode="External" /><Relationship Type="http://schemas.openxmlformats.org/officeDocument/2006/relationships/hyperlink" Id="rId44" Target="https://doi.org/10.1016/j.vetpar.2026.110725" TargetMode="External" /><Relationship Type="http://schemas.openxmlformats.org/officeDocument/2006/relationships/hyperlink" Id="rId89" Target="https://doi.org/10.1021/acs.jcim.5c02271" TargetMode="External" /><Relationship Type="http://schemas.openxmlformats.org/officeDocument/2006/relationships/hyperlink" Id="rId96" Target="https://doi.org/10.1021/acs.jctc.1c00645" TargetMode="External" /><Relationship Type="http://schemas.openxmlformats.org/officeDocument/2006/relationships/hyperlink" Id="rId59" Target="https://doi.org/10.1063/1.2408420" TargetMode="External" /><Relationship Type="http://schemas.openxmlformats.org/officeDocument/2006/relationships/hyperlink" Id="rId87" Target="https://doi.org/10.1063/1.328693" TargetMode="External" /><Relationship Type="http://schemas.openxmlformats.org/officeDocument/2006/relationships/hyperlink" Id="rId64" Target="https://doi.org/10.1063/1.464397" TargetMode="External" /><Relationship Type="http://schemas.openxmlformats.org/officeDocument/2006/relationships/hyperlink" Id="rId91" Target="https://doi.org/10.1093/bioinformatics/btae416" TargetMode="External" /><Relationship Type="http://schemas.openxmlformats.org/officeDocument/2006/relationships/hyperlink" Id="rId52" Target="https://doi.org/10.1111/bph.16144" TargetMode="External" /><Relationship Type="http://schemas.openxmlformats.org/officeDocument/2006/relationships/hyperlink" Id="rId57" Target="https://doi.org/10.1186/1475-2875-12-187" TargetMode="External" /><Relationship Type="http://schemas.openxmlformats.org/officeDocument/2006/relationships/hyperlink" Id="rId83" Target="https://doi.org/10.1186/1758-2946-3-33" TargetMode="External" /><Relationship Type="http://schemas.openxmlformats.org/officeDocument/2006/relationships/hyperlink" Id="rId55" Target="https://doi.org/10.1186/s12936-016-1675-x" TargetMode="External" /><Relationship Type="http://schemas.openxmlformats.org/officeDocument/2006/relationships/hyperlink" Id="rId66" Target="https://doi.org/10.1371/journal.pcbi.1005659" TargetMode="External" /><Relationship Type="http://schemas.openxmlformats.org/officeDocument/2006/relationships/hyperlink" Id="rId85" Target="https://doi.org/10.21231/906P-4D78" TargetMode="External" /><Relationship Type="http://schemas.openxmlformats.org/officeDocument/2006/relationships/hyperlink" Id="rId48" Target="https://doi.org/10.2210/pdb9hhc/pdb" TargetMode="External" /><Relationship Type="http://schemas.openxmlformats.org/officeDocument/2006/relationships/hyperlink" Id="rId80" Target="https://doi.org/10.5281/ZENODO.18797641" TargetMode="External" /><Relationship Type="http://schemas.openxmlformats.org/officeDocument/2006/relationships/hyperlink" Id="rId62" Target="https://enamine.net/compound-collections" TargetMode="External" /><Relationship Type="http://schemas.openxmlformats.org/officeDocument/2006/relationships/hyperlink" Id="rId78"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0"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SICI)1096-987X(199709)18:12&lt;1463::AID-JCC4&gt;3.0.CO;2-H" TargetMode="External" /><Relationship Type="http://schemas.openxmlformats.org/officeDocument/2006/relationships/hyperlink" Id="rId46" Target="https://doi.org/10.1002/cmdc.202500024" TargetMode="External" /><Relationship Type="http://schemas.openxmlformats.org/officeDocument/2006/relationships/hyperlink" Id="rId70" Target="https://doi.org/10.1002/ejoc.202101210" TargetMode="External" /><Relationship Type="http://schemas.openxmlformats.org/officeDocument/2006/relationships/hyperlink" Id="rId94" Target="https://doi.org/10.1002/jcc.21334" TargetMode="External" /><Relationship Type="http://schemas.openxmlformats.org/officeDocument/2006/relationships/hyperlink" Id="rId74" Target="https://doi.org/10.1002/jcc.23354" TargetMode="External" /><Relationship Type="http://schemas.openxmlformats.org/officeDocument/2006/relationships/hyperlink" Id="rId98" Target="https://doi.org/10.1006/jmbi.1998.2401" TargetMode="External" /><Relationship Type="http://schemas.openxmlformats.org/officeDocument/2006/relationships/hyperlink" Id="rId68" Target="https://doi.org/10.1007/s11030-023-10770-z" TargetMode="External" /><Relationship Type="http://schemas.openxmlformats.org/officeDocument/2006/relationships/hyperlink" Id="rId76" Target="https://doi.org/10.1016/j.chom.2015.05.009" TargetMode="External" /><Relationship Type="http://schemas.openxmlformats.org/officeDocument/2006/relationships/hyperlink" Id="rId50" Target="https://doi.org/10.1016/j.cpb.2025.100489" TargetMode="External" /><Relationship Type="http://schemas.openxmlformats.org/officeDocument/2006/relationships/hyperlink" Id="rId42" Target="https://doi.org/10.1016/j.softx.2015.06.001" TargetMode="External" /><Relationship Type="http://schemas.openxmlformats.org/officeDocument/2006/relationships/hyperlink" Id="rId44" Target="https://doi.org/10.1016/j.vetpar.2026.110725" TargetMode="External" /><Relationship Type="http://schemas.openxmlformats.org/officeDocument/2006/relationships/hyperlink" Id="rId89" Target="https://doi.org/10.1021/acs.jcim.5c02271" TargetMode="External" /><Relationship Type="http://schemas.openxmlformats.org/officeDocument/2006/relationships/hyperlink" Id="rId96" Target="https://doi.org/10.1021/acs.jctc.1c00645" TargetMode="External" /><Relationship Type="http://schemas.openxmlformats.org/officeDocument/2006/relationships/hyperlink" Id="rId59" Target="https://doi.org/10.1063/1.2408420" TargetMode="External" /><Relationship Type="http://schemas.openxmlformats.org/officeDocument/2006/relationships/hyperlink" Id="rId87" Target="https://doi.org/10.1063/1.328693" TargetMode="External" /><Relationship Type="http://schemas.openxmlformats.org/officeDocument/2006/relationships/hyperlink" Id="rId64" Target="https://doi.org/10.1063/1.464397" TargetMode="External" /><Relationship Type="http://schemas.openxmlformats.org/officeDocument/2006/relationships/hyperlink" Id="rId91" Target="https://doi.org/10.1093/bioinformatics/btae416" TargetMode="External" /><Relationship Type="http://schemas.openxmlformats.org/officeDocument/2006/relationships/hyperlink" Id="rId52" Target="https://doi.org/10.1111/bph.16144" TargetMode="External" /><Relationship Type="http://schemas.openxmlformats.org/officeDocument/2006/relationships/hyperlink" Id="rId57" Target="https://doi.org/10.1186/1475-2875-12-187" TargetMode="External" /><Relationship Type="http://schemas.openxmlformats.org/officeDocument/2006/relationships/hyperlink" Id="rId83" Target="https://doi.org/10.1186/1758-2946-3-33" TargetMode="External" /><Relationship Type="http://schemas.openxmlformats.org/officeDocument/2006/relationships/hyperlink" Id="rId55" Target="https://doi.org/10.1186/s12936-016-1675-x" TargetMode="External" /><Relationship Type="http://schemas.openxmlformats.org/officeDocument/2006/relationships/hyperlink" Id="rId66" Target="https://doi.org/10.1371/journal.pcbi.1005659" TargetMode="External" /><Relationship Type="http://schemas.openxmlformats.org/officeDocument/2006/relationships/hyperlink" Id="rId85" Target="https://doi.org/10.21231/906P-4D78" TargetMode="External" /><Relationship Type="http://schemas.openxmlformats.org/officeDocument/2006/relationships/hyperlink" Id="rId48" Target="https://doi.org/10.2210/pdb9hhc/pdb" TargetMode="External" /><Relationship Type="http://schemas.openxmlformats.org/officeDocument/2006/relationships/hyperlink" Id="rId80" Target="https://doi.org/10.5281/ZENODO.18797641" TargetMode="External" /><Relationship Type="http://schemas.openxmlformats.org/officeDocument/2006/relationships/hyperlink" Id="rId62" Target="https://enamine.net/compound-collections" TargetMode="External" /><Relationship Type="http://schemas.openxmlformats.org/officeDocument/2006/relationships/hyperlink" Id="rId78"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0"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Enamine 4.6 Millions compounds against Plasmodium Bromodomain PfBDP1</dc:title>
  <dc:creator>Bakary N’tji Diallo; Le Anh Tuan Nguyen; Laurent Dembélé; Fidèle Ntie-Kang; Abdoulaye Djimde</dc:creator>
  <cp:keywords>virtual screening, PfBDP1, drug discovery, plasmodium</cp:keywords>
  <dcterms:created xsi:type="dcterms:W3CDTF">2026-07-28T15:39:16Z</dcterms:created>
  <dcterms:modified xsi:type="dcterms:W3CDTF">2026-07-28T15:39:16Z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2026-07-28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upyter">
    <vt:lpwstr>python3</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