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400.0" w:type="dxa"/>
              <w:left w:w="400.0" w:type="dxa"/>
              <w:bottom w:w="4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MICRO-AUDIT DE CONFORMITÉ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dd7ee"/>
                <w:sz w:val="28"/>
                <w:szCs w:val="28"/>
                <w:rtl w:val="0"/>
              </w:rPr>
              <w:t xml:space="preserve">RGPD + IA ACT (EU AI Act)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Rapport personnalisé établi pour :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300.0" w:type="dxa"/>
              <w:left w:w="400.0" w:type="dxa"/>
              <w:bottom w:w="300.0" w:type="dxa"/>
              <w:right w:w="4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40"/>
                <w:szCs w:val="40"/>
                <w:rtl w:val="0"/>
              </w:rPr>
              <w:t xml:space="preserve">{{nom_entreprise}}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{{secteur}}  |  {{nb_salaries}} salarié(s)  |  {{ville}}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Date d'audit : {{date_audit}}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Réalisé par : SMD GLOBAL CONSULTING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Ce document est strictement confidentiel.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36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tblGridChange w:id="0">
          <w:tblGrid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300.0" w:type="dxa"/>
              <w:left w:w="400.0" w:type="dxa"/>
              <w:bottom w:w="300.0" w:type="dxa"/>
              <w:right w:w="4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SCORE DE CONFORMITÉ GLOBAL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{{score_global}} /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{{niveau_conformite}}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1f3864" w:space="1" w:sz="8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1.  RÉSUMÉ EXÉCUTIF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{{introduction_personnalisee}}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800"/>
        <w:gridCol w:w="1640"/>
        <w:gridCol w:w="1586"/>
        <w:tblGridChange w:id="0">
          <w:tblGrid>
            <w:gridCol w:w="3000"/>
            <w:gridCol w:w="2800"/>
            <w:gridCol w:w="1640"/>
            <w:gridCol w:w="15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Domaine audité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Score obtenu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/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 — Registre des traitements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{{score_A}}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{{statut_A}}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 — Site web &amp; Cookies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{{score_B}}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{{statut_B}}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 — Sécurité des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{{score_C}}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{{statut_C}}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 — Sous-traitants &amp; Transferts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{{score_D}}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{{statut_D}}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 — Droits des personnes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{{score_E}}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{{statut_E}}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 — Email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{{score_F}}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{{statut_F}}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 — IA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{{score_G}}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{{statut_G}}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{{score_global}}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{{niveau_conformite}}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1f3864" w:space="1" w:sz="8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2.  ANALYSE DÉTAILLÉE PAR DOMAINE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Bloc A — Registre des traitements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{{analyse_bloc_A}}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Bloc B — Site web &amp; Cookies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{{analyse_bloc_B}}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Bloc C — Sécurité des données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{{analyse_bloc_C}}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Bloc D — Sous-traitants &amp; Transferts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{{analyse_bloc_D}}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Bloc E — Droits des personnes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{{analyse_bloc_E}}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Bloc F — Email marketing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{{analyse_bloc_F}}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Bloc G — IA Act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{{analyse_bloc_G}}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1f3864" w:space="1" w:sz="8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3.  PLAN D'ACTION PRIORISÉ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Les actions suivantes sont classées par ordre de priorité réglementaire et de risque financier.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000"/>
        <w:gridCol w:w="1626"/>
        <w:tblGridChange w:id="0">
          <w:tblGrid>
            <w:gridCol w:w="1400"/>
            <w:gridCol w:w="6000"/>
            <w:gridCol w:w="1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à mener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Échéance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🔴 URGENT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{{action_urgente_1}}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Immédiat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🔴 URGENT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{{action_urgente_2}}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Immédiat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🔴 URGENT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{{action_urgente_3}}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7c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&lt; 30 jours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🟠 3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{{action_3mois_1}}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 mois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🟠 3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{{action_3mois_2}}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 mois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🟠 3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{{action_3mois_3}}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7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 mois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🟢 6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{{action_6mois_1}}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 mois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🟢 6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{{action_6mois_2}}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 mois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2"/>
                <w:szCs w:val="22"/>
                <w:rtl w:val="0"/>
              </w:rPr>
              <w:t xml:space="preserve">⚠️  Risques financiers en cas de non-action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{{risques_financiers}}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1f3864" w:space="1" w:sz="8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4.  CONCLUSION &amp; PROCHAINES ÉTAPES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{{conclusion}}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SMD GLOBAL CONSULTING LLC reste à votre disposition.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5b6"/>
                <w:sz w:val="20"/>
                <w:szCs w:val="20"/>
                <w:rtl w:val="0"/>
              </w:rPr>
              <w:t xml:space="preserve">diallosouleymane19@gmail.com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Ce rapport a été généré automatiquement sur la base de vos réponses au questionnaire d'audit.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color="2e75b6" w:space="1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SMD GLOBAL CONSULTING LLC  |  diallosouleymane19@gmail.com  |  Document confidentiel  |  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bottom w:color="2e75b6" w:space="1" w:sz="6" w:val="single"/>
      </w:pBdr>
      <w:tabs>
        <w:tab w:val="right" w:leader="none" w:pos="8748"/>
      </w:tabs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RAPPORT DE MICRO-AUDIT RGPD / IA ACT  |  SMD GLOBAL CONSULTING LLC{{nom_entreprise}}  —  {{date_audit}}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