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1F4E79" w:sz="16"/>
              <w:bottom w:val="single" w:color="CCCCCC" w:sz="1"/>
              <w:right w:val="single" w:color="CCCCCC" w:sz="1"/>
            </w:tcBorders>
            <w:shd w:fill="1F4E79" w:val="clear"/>
            <w:tcMar>
              <w:top w:type="dxa" w:w="500"/>
              <w:left w:type="dxa" w:w="400"/>
              <w:bottom w:type="dxa" w:w="500"/>
              <w:right w:type="dxa" w:w="400"/>
            </w:tcMar>
          </w:tcPr>
          <w:p>
            <w:pPr>
              <w:jc w:val="center"/>
            </w:pPr>
            <w:r>
              <w:rPr>
                <w:rFonts w:ascii="Arial" w:cs="Arial" w:eastAsia="Arial" w:hAnsi="Arial"/>
                <w:b/>
                <w:bCs/>
                <w:color w:val="AECDE8"/>
                <w:sz w:val="22"/>
                <w:szCs w:val="22"/>
              </w:rPr>
              <w:t xml:space="preserve">ALIGNERR</w:t>
            </w:r>
          </w:p>
          <w:p>
            <w:pPr>
              <w:spacing w:before="200"/>
              <w:jc w:val="center"/>
            </w:pPr>
            <w:r>
              <w:rPr>
                <w:rFonts w:ascii="Arial" w:cs="Arial" w:eastAsia="Arial" w:hAnsi="Arial"/>
                <w:b/>
                <w:bCs/>
                <w:color w:val="FFFFFF"/>
                <w:sz w:val="44"/>
                <w:szCs w:val="44"/>
              </w:rPr>
              <w:t xml:space="preserve">Fiche de Référence Évaluateur</w:t>
            </w:r>
          </w:p>
          <w:p>
            <w:pPr>
              <w:spacing w:before="100"/>
              <w:jc w:val="center"/>
            </w:pPr>
            <w:r>
              <w:rPr>
                <w:rFonts w:ascii="Arial" w:cs="Arial" w:eastAsia="Arial" w:hAnsi="Arial"/>
                <w:i/>
                <w:iCs/>
                <w:color w:val="AECDE8"/>
                <w:sz w:val="26"/>
                <w:szCs w:val="26"/>
              </w:rPr>
              <w:t xml:space="preserve">FCP Eval 2  ·  FCP Financial Eval</w:t>
            </w:r>
          </w:p>
          <w:p>
            <w:pPr>
              <w:spacing w:before="80"/>
              <w:jc w:val="center"/>
            </w:pPr>
            <w:r>
              <w:rPr>
                <w:rFonts w:ascii="Arial" w:cs="Arial" w:eastAsia="Arial" w:hAnsi="Arial"/>
                <w:color w:val="AECDE8"/>
                <w:sz w:val="21"/>
                <w:szCs w:val="21"/>
              </w:rPr>
              <w:t xml:space="preserve">Labeling — Stage : Evaluation</w:t>
            </w:r>
          </w:p>
          <w:p>
            <w:pPr>
              <w:spacing w:before="300"/>
              <w:jc w:val="center"/>
            </w:pPr>
            <w:r>
              <w:rPr>
                <w:rFonts w:ascii="Arial" w:cs="Arial" w:eastAsia="Arial" w:hAnsi="Arial"/>
                <w:color w:val="7FA8C9"/>
                <w:sz w:val="18"/>
                <w:szCs w:val="18"/>
              </w:rPr>
              <w:t xml:space="preserve">Souleymane Diallo — SMD Consulting — Mai 2026</w:t>
            </w:r>
          </w:p>
        </w:tc>
      </w:tr>
    </w:tbl>
    <w:p>
      <w:r>
        <w:br w:type="page"/>
      </w:r>
    </w:p>
    <w:p>
      <w:pPr>
        <w:pStyle w:val="Heading1"/>
        <w:spacing w:after="160" w:before="320"/>
      </w:pPr>
      <w:r>
        <w:rPr>
          <w:rFonts w:ascii="Arial" w:cs="Arial" w:eastAsia="Arial" w:hAnsi="Arial"/>
          <w:b/>
          <w:bCs/>
          <w:color w:val="1F4E79"/>
          <w:sz w:val="34"/>
          <w:szCs w:val="34"/>
        </w:rPr>
        <w:t xml:space="preserve">1. Contexte — Qu'est-ce que FCP Financial Eval ?</w:t>
      </w:r>
    </w:p>
    <w:p>
      <w:pPr>
        <w:spacing w:after="60" w:before="60"/>
      </w:pPr>
      <w:r>
        <w:rPr>
          <w:rFonts w:ascii="Arial" w:cs="Arial" w:eastAsia="Arial" w:hAnsi="Arial"/>
          <w:sz w:val="21"/>
          <w:szCs w:val="21"/>
        </w:rPr>
        <w:t xml:space="preserve">FCP (Financial Content Preference) Financial Eval est un projet de labeling RLHF (Reinforcement Learning from Human Feedback) sur Alignerr. L'objectif est d'évaluer la qualité des réponses générées par un modèle de langage (LLM) sur des sujets financiers et comptables, afin d'améliorer ses performances dans ce domaine.</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9"/>
        <w:gridCol w:w="4859"/>
      </w:tblGrid>
      <w:tr>
        <w:tc>
          <w:tcPr>
            <w:tcW w:type="dxa" w:w="4779"/>
            <w:tcBorders>
              <w:top w:val="none"/>
              <w:left w:val="none"/>
              <w:bottom w:val="none"/>
              <w:right w:val="single" w:color="CCCCCC" w:sz="1"/>
            </w:tcBorders>
            <w:tcMar>
              <w:top w:type="dxa" w:w="80"/>
              <w:left w:type="dxa" w:w="0"/>
              <w:bottom w:type="dxa" w:w="80"/>
              <w:right w:type="dxa" w:w="200"/>
            </w:tcMar>
          </w:tcPr>
          <w:p>
            <w:pPr>
              <w:pStyle w:val="Heading3"/>
              <w:spacing w:after="80" w:before="180"/>
            </w:pPr>
            <w:r>
              <w:rPr>
                <w:rFonts w:ascii="Arial" w:cs="Arial" w:eastAsia="Arial" w:hAnsi="Arial"/>
                <w:b/>
                <w:bCs/>
                <w:color w:val="1A5C38"/>
                <w:sz w:val="22"/>
                <w:szCs w:val="22"/>
              </w:rPr>
              <w:t xml:space="preserve">Votre rôle</w:t>
            </w:r>
          </w:p>
          <w:p>
            <w:pPr>
              <w:pStyle w:val="ListParagraph"/>
              <w:numPr>
                <w:ilvl w:val="0"/>
                <w:numId w:val="2"/>
              </w:numPr>
              <w:spacing w:after="50" w:before="50"/>
            </w:pPr>
            <w:r>
              <w:rPr>
                <w:rFonts w:ascii="Arial" w:cs="Arial" w:eastAsia="Arial" w:hAnsi="Arial"/>
                <w:sz w:val="21"/>
                <w:szCs w:val="21"/>
              </w:rPr>
              <w:t xml:space="preserve">Lire un prompt financier</w:t>
            </w:r>
          </w:p>
          <w:p>
            <w:pPr>
              <w:pStyle w:val="ListParagraph"/>
              <w:numPr>
                <w:ilvl w:val="0"/>
                <w:numId w:val="2"/>
              </w:numPr>
              <w:spacing w:after="50" w:before="50"/>
            </w:pPr>
            <w:r>
              <w:rPr>
                <w:rFonts w:ascii="Arial" w:cs="Arial" w:eastAsia="Arial" w:hAnsi="Arial"/>
                <w:sz w:val="21"/>
                <w:szCs w:val="21"/>
              </w:rPr>
              <w:t xml:space="preserve">Lire 2 réponses générées par l'IA</w:t>
            </w:r>
          </w:p>
          <w:p>
            <w:pPr>
              <w:pStyle w:val="ListParagraph"/>
              <w:numPr>
                <w:ilvl w:val="0"/>
                <w:numId w:val="2"/>
              </w:numPr>
              <w:spacing w:after="50" w:before="50"/>
            </w:pPr>
            <w:r>
              <w:rPr>
                <w:rFonts w:ascii="Arial" w:cs="Arial" w:eastAsia="Arial" w:hAnsi="Arial"/>
                <w:sz w:val="21"/>
                <w:szCs w:val="21"/>
              </w:rPr>
              <w:t xml:space="preserve">Choisir la meilleure (ou noter chaque réponse)</w:t>
            </w:r>
          </w:p>
          <w:p>
            <w:pPr>
              <w:pStyle w:val="ListParagraph"/>
              <w:numPr>
                <w:ilvl w:val="0"/>
                <w:numId w:val="2"/>
              </w:numPr>
              <w:spacing w:after="50" w:before="50"/>
            </w:pPr>
            <w:r>
              <w:rPr>
                <w:rFonts w:ascii="Arial" w:cs="Arial" w:eastAsia="Arial" w:hAnsi="Arial"/>
                <w:sz w:val="21"/>
                <w:szCs w:val="21"/>
              </w:rPr>
              <w:t xml:space="preserve">Justifier votre choix par écrit</w:t>
            </w:r>
          </w:p>
        </w:tc>
        <w:tc>
          <w:tcPr>
            <w:tcW w:type="dxa" w:w="4859"/>
            <w:tcBorders>
              <w:top w:val="none"/>
              <w:left w:val="none"/>
              <w:bottom w:val="none"/>
              <w:right w:val="none"/>
            </w:tcBorders>
            <w:tcMar>
              <w:top w:type="dxa" w:w="80"/>
              <w:left w:type="dxa" w:w="200"/>
              <w:bottom w:type="dxa" w:w="80"/>
              <w:right w:type="dxa" w:w="0"/>
            </w:tcMar>
          </w:tcPr>
          <w:p>
            <w:pPr>
              <w:pStyle w:val="Heading3"/>
              <w:spacing w:after="80" w:before="180"/>
            </w:pPr>
            <w:r>
              <w:rPr>
                <w:rFonts w:ascii="Arial" w:cs="Arial" w:eastAsia="Arial" w:hAnsi="Arial"/>
                <w:b/>
                <w:bCs/>
                <w:color w:val="1A5C38"/>
                <w:sz w:val="22"/>
                <w:szCs w:val="22"/>
              </w:rPr>
              <w:t xml:space="preserve">Ce que vous n'avez PAS à faire</w:t>
            </w:r>
          </w:p>
          <w:p>
            <w:pPr>
              <w:pStyle w:val="ListParagraph"/>
              <w:numPr>
                <w:ilvl w:val="0"/>
                <w:numId w:val="2"/>
              </w:numPr>
              <w:spacing w:after="50" w:before="50"/>
            </w:pPr>
            <w:r>
              <w:rPr>
                <w:rFonts w:ascii="Arial" w:cs="Arial" w:eastAsia="Arial" w:hAnsi="Arial"/>
                <w:sz w:val="21"/>
                <w:szCs w:val="21"/>
              </w:rPr>
              <w:t xml:space="preserve">Vérifier chaque chiffre en profondeur</w:t>
            </w:r>
          </w:p>
          <w:p>
            <w:pPr>
              <w:pStyle w:val="ListParagraph"/>
              <w:numPr>
                <w:ilvl w:val="0"/>
                <w:numId w:val="2"/>
              </w:numPr>
              <w:spacing w:after="50" w:before="50"/>
            </w:pPr>
            <w:r>
              <w:rPr>
                <w:rFonts w:ascii="Arial" w:cs="Arial" w:eastAsia="Arial" w:hAnsi="Arial"/>
                <w:sz w:val="21"/>
                <w:szCs w:val="21"/>
              </w:rPr>
              <w:t xml:space="preserve">Produire des rapports complets</w:t>
            </w:r>
          </w:p>
          <w:p>
            <w:pPr>
              <w:pStyle w:val="ListParagraph"/>
              <w:numPr>
                <w:ilvl w:val="0"/>
                <w:numId w:val="2"/>
              </w:numPr>
              <w:spacing w:after="50" w:before="50"/>
            </w:pPr>
            <w:r>
              <w:rPr>
                <w:rFonts w:ascii="Arial" w:cs="Arial" w:eastAsia="Arial" w:hAnsi="Arial"/>
                <w:sz w:val="21"/>
                <w:szCs w:val="21"/>
              </w:rPr>
              <w:t xml:space="preserve">Reformuler entièrement la réponse</w:t>
            </w:r>
          </w:p>
          <w:p>
            <w:pPr>
              <w:pStyle w:val="ListParagraph"/>
              <w:numPr>
                <w:ilvl w:val="0"/>
                <w:numId w:val="2"/>
              </w:numPr>
              <w:spacing w:after="50" w:before="50"/>
            </w:pPr>
            <w:r>
              <w:rPr>
                <w:rFonts w:ascii="Arial" w:cs="Arial" w:eastAsia="Arial" w:hAnsi="Arial"/>
                <w:sz w:val="21"/>
                <w:szCs w:val="21"/>
              </w:rPr>
              <w:t xml:space="preserve">Utiliser des sources externes obligatoirement</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3"/>
              <w:left w:val="single" w:color="1F4E79" w:sz="14"/>
              <w:bottom w:val="single" w:color="1F4E79" w:sz="3"/>
              <w:right w:val="single" w:color="CCCCCC" w:sz="1"/>
            </w:tcBorders>
            <w:shd w:fill="D5E8F0" w:val="clear"/>
            <w:tcMar>
              <w:top w:type="dxa" w:w="120"/>
              <w:left w:type="dxa" w:w="200"/>
              <w:bottom w:type="dxa" w:w="120"/>
              <w:right w:type="dxa" w:w="120"/>
            </w:tcMar>
          </w:tcPr>
          <w:p>
            <w:pPr>
              <w:spacing w:after="80" w:before="60"/>
            </w:pPr>
            <w:r>
              <w:rPr>
                <w:rFonts w:ascii="Arial" w:cs="Arial" w:eastAsia="Arial" w:hAnsi="Arial"/>
                <w:b/>
                <w:bCs/>
                <w:color w:val="1F4E79"/>
                <w:sz w:val="21"/>
                <w:szCs w:val="21"/>
              </w:rPr>
              <w:t xml:space="preserve">💡  Pourquoi votre expertise comptable est un avantage</w:t>
            </w:r>
          </w:p>
          <w:p>
            <w:pPr>
              <w:pStyle w:val="ListParagraph"/>
              <w:numPr>
                <w:ilvl w:val="0"/>
                <w:numId w:val="2"/>
              </w:numPr>
              <w:spacing w:after="40" w:before="40"/>
            </w:pPr>
            <w:r>
              <w:rPr>
                <w:rFonts w:ascii="Arial" w:cs="Arial" w:eastAsia="Arial" w:hAnsi="Arial"/>
                <w:sz w:val="20"/>
                <w:szCs w:val="20"/>
              </w:rPr>
              <w:t xml:space="preserve">Vous détectez immédiatement les erreurs de taux (IS, TVA, cotisations sociales)</w:t>
            </w:r>
          </w:p>
          <w:p>
            <w:pPr>
              <w:pStyle w:val="ListParagraph"/>
              <w:numPr>
                <w:ilvl w:val="0"/>
                <w:numId w:val="2"/>
              </w:numPr>
              <w:spacing w:after="40" w:before="40"/>
            </w:pPr>
            <w:r>
              <w:rPr>
                <w:rFonts w:ascii="Arial" w:cs="Arial" w:eastAsia="Arial" w:hAnsi="Arial"/>
                <w:sz w:val="20"/>
                <w:szCs w:val="20"/>
              </w:rPr>
              <w:t xml:space="preserve">Vous reconnaissez les comptes PCG / SYSCOHADA corrects vs incorrects</w:t>
            </w:r>
          </w:p>
          <w:p>
            <w:pPr>
              <w:pStyle w:val="ListParagraph"/>
              <w:numPr>
                <w:ilvl w:val="0"/>
                <w:numId w:val="2"/>
              </w:numPr>
              <w:spacing w:after="40" w:before="40"/>
            </w:pPr>
            <w:r>
              <w:rPr>
                <w:rFonts w:ascii="Arial" w:cs="Arial" w:eastAsia="Arial" w:hAnsi="Arial"/>
                <w:sz w:val="20"/>
                <w:szCs w:val="20"/>
              </w:rPr>
              <w:t xml:space="preserve">Vous évaluez la pertinence des SIG, ratios financiers, écritures comptables</w:t>
            </w:r>
          </w:p>
          <w:p>
            <w:pPr>
              <w:pStyle w:val="ListParagraph"/>
              <w:numPr>
                <w:ilvl w:val="0"/>
                <w:numId w:val="2"/>
              </w:numPr>
              <w:spacing w:after="40" w:before="40"/>
            </w:pPr>
            <w:r>
              <w:rPr>
                <w:rFonts w:ascii="Arial" w:cs="Arial" w:eastAsia="Arial" w:hAnsi="Arial"/>
                <w:sz w:val="20"/>
                <w:szCs w:val="20"/>
              </w:rPr>
              <w:t xml:space="preserve">Vous identifiez les réponses génériques sans valeur vs les réponses précises et actionnables</w:t>
            </w:r>
          </w:p>
        </w:tc>
      </w:tr>
    </w:tbl>
    <w:p>
      <w:r>
        <w:br w:type="page"/>
      </w:r>
    </w:p>
    <w:p>
      <w:pPr>
        <w:pStyle w:val="Heading1"/>
        <w:spacing w:after="160" w:before="320"/>
      </w:pPr>
      <w:r>
        <w:rPr>
          <w:rFonts w:ascii="Arial" w:cs="Arial" w:eastAsia="Arial" w:hAnsi="Arial"/>
          <w:b/>
          <w:bCs/>
          <w:color w:val="1F4E79"/>
          <w:sz w:val="34"/>
          <w:szCs w:val="34"/>
        </w:rPr>
        <w:t xml:space="preserve">2. Critères d'évaluation — RLHF Standard</w:t>
      </w:r>
    </w:p>
    <w:p>
      <w:pPr>
        <w:spacing w:after="60" w:before="60"/>
      </w:pPr>
      <w:r>
        <w:rPr>
          <w:rFonts w:ascii="Arial" w:cs="Arial" w:eastAsia="Arial" w:hAnsi="Arial"/>
          <w:sz w:val="21"/>
          <w:szCs w:val="21"/>
        </w:rPr>
        <w:t xml:space="preserve">Les projets FCP utilisent généralement une grille de 4 à 6 critères. Voici les critères typiques et leur application dans un contexte financier.</w:t>
      </w:r>
    </w:p>
    <w:p>
      <w:pPr>
        <w:spacing w:after="40" w:before="40"/>
      </w:pPr>
      <w:r>
        <w:t xml:space="preserve"/>
      </w:r>
    </w:p>
    <w:p>
      <w:pPr>
        <w:pStyle w:val="Heading2"/>
        <w:spacing w:after="120" w:before="240"/>
      </w:pPr>
      <w:r>
        <w:rPr>
          <w:rFonts w:ascii="Arial" w:cs="Arial" w:eastAsia="Arial" w:hAnsi="Arial"/>
          <w:b/>
          <w:bCs/>
          <w:color w:val="1F4E79"/>
          <w:sz w:val="26"/>
          <w:szCs w:val="26"/>
        </w:rPr>
        <w:t xml:space="preserve">2.1 Exactitude factuelle (Factual Accuracy)</w:t>
      </w:r>
    </w:p>
    <w:p>
      <w:pPr>
        <w:spacing w:after="60" w:before="60"/>
      </w:pPr>
      <w:r>
        <w:rPr>
          <w:rFonts w:ascii="Arial" w:cs="Arial" w:eastAsia="Arial" w:hAnsi="Arial"/>
          <w:sz w:val="21"/>
          <w:szCs w:val="21"/>
        </w:rPr>
        <w:t xml:space="preserve">C'est le critère le plus important en finance. Une réponse contenant une erreur de taux, de compte PCG ou de calcul est à pénaliser fortement, même si elle est bien rédigée.</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5C38" w:sz="3"/>
              <w:left w:val="single" w:color="1A5C38" w:sz="14"/>
              <w:bottom w:val="single" w:color="1A5C38" w:sz="3"/>
              <w:right w:val="single" w:color="CCCCCC" w:sz="1"/>
            </w:tcBorders>
            <w:shd w:fill="D9EAD3" w:val="clear"/>
            <w:tcMar>
              <w:top w:type="dxa" w:w="120"/>
              <w:left w:type="dxa" w:w="200"/>
              <w:bottom w:type="dxa" w:w="120"/>
              <w:right w:type="dxa" w:w="120"/>
            </w:tcMar>
          </w:tcPr>
          <w:p>
            <w:pPr>
              <w:spacing w:after="80" w:before="60"/>
            </w:pPr>
            <w:r>
              <w:rPr>
                <w:rFonts w:ascii="Arial" w:cs="Arial" w:eastAsia="Arial" w:hAnsi="Arial"/>
                <w:b/>
                <w:bCs/>
                <w:color w:val="1A5C38"/>
                <w:sz w:val="21"/>
                <w:szCs w:val="21"/>
              </w:rPr>
              <w:t xml:space="preserve">✅  Bonne réponse — exemples</w:t>
            </w:r>
          </w:p>
          <w:p>
            <w:pPr>
              <w:pStyle w:val="ListParagraph"/>
              <w:numPr>
                <w:ilvl w:val="0"/>
                <w:numId w:val="2"/>
              </w:numPr>
              <w:spacing w:after="40" w:before="40"/>
            </w:pPr>
            <w:r>
              <w:rPr>
                <w:rFonts w:ascii="Arial" w:cs="Arial" w:eastAsia="Arial" w:hAnsi="Arial"/>
                <w:sz w:val="20"/>
                <w:szCs w:val="20"/>
              </w:rPr>
              <w:t xml:space="preserve">Le taux d'IS en France est de 25% pour les entreprises dont le CA dépasse 10M€ (2024)</w:t>
            </w:r>
          </w:p>
          <w:p>
            <w:pPr>
              <w:pStyle w:val="ListParagraph"/>
              <w:numPr>
                <w:ilvl w:val="0"/>
                <w:numId w:val="2"/>
              </w:numPr>
              <w:spacing w:after="40" w:before="40"/>
            </w:pPr>
            <w:r>
              <w:rPr>
                <w:rFonts w:ascii="Arial" w:cs="Arial" w:eastAsia="Arial" w:hAnsi="Arial"/>
                <w:sz w:val="20"/>
                <w:szCs w:val="20"/>
              </w:rPr>
              <w:t xml:space="preserve">Le compte 401 enregistre les dettes fournisseurs, le 411 les créances clients</w:t>
            </w:r>
          </w:p>
          <w:p>
            <w:pPr>
              <w:pStyle w:val="ListParagraph"/>
              <w:numPr>
                <w:ilvl w:val="0"/>
                <w:numId w:val="2"/>
              </w:numPr>
              <w:spacing w:after="40" w:before="40"/>
            </w:pPr>
            <w:r>
              <w:rPr>
                <w:rFonts w:ascii="Arial" w:cs="Arial" w:eastAsia="Arial" w:hAnsi="Arial"/>
                <w:sz w:val="20"/>
                <w:szCs w:val="20"/>
              </w:rPr>
              <w:t xml:space="preserve">La TVA sur les prestations de services intraUE s'autoliquide chez le preneur français (art. 283-1 CGI)</w:t>
            </w:r>
          </w:p>
          <w:p>
            <w:pPr>
              <w:pStyle w:val="ListParagraph"/>
              <w:numPr>
                <w:ilvl w:val="0"/>
                <w:numId w:val="2"/>
              </w:numPr>
              <w:spacing w:after="40" w:before="40"/>
            </w:pPr>
            <w:r>
              <w:rPr>
                <w:rFonts w:ascii="Arial" w:cs="Arial" w:eastAsia="Arial" w:hAnsi="Arial"/>
                <w:sz w:val="20"/>
                <w:szCs w:val="20"/>
              </w:rPr>
              <w:t xml:space="preserve">La CAF = Résultat net + Dotations aux amortissements − Reprises sur provisions − Plus-values de cession</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22B21" w:sz="3"/>
              <w:left w:val="single" w:color="922B21" w:sz="14"/>
              <w:bottom w:val="single" w:color="922B21" w:sz="3"/>
              <w:right w:val="single" w:color="CCCCCC" w:sz="1"/>
            </w:tcBorders>
            <w:shd w:fill="FADBD8" w:val="clear"/>
            <w:tcMar>
              <w:top w:type="dxa" w:w="120"/>
              <w:left w:type="dxa" w:w="200"/>
              <w:bottom w:type="dxa" w:w="120"/>
              <w:right w:type="dxa" w:w="120"/>
            </w:tcMar>
          </w:tcPr>
          <w:p>
            <w:pPr>
              <w:spacing w:after="80" w:before="60"/>
            </w:pPr>
            <w:r>
              <w:rPr>
                <w:rFonts w:ascii="Arial" w:cs="Arial" w:eastAsia="Arial" w:hAnsi="Arial"/>
                <w:b/>
                <w:bCs/>
                <w:color w:val="922B21"/>
                <w:sz w:val="21"/>
                <w:szCs w:val="21"/>
              </w:rPr>
              <w:t xml:space="preserve">❌  Mauvaise réponse — exemples</w:t>
            </w:r>
          </w:p>
          <w:p>
            <w:pPr>
              <w:pStyle w:val="ListParagraph"/>
              <w:numPr>
                <w:ilvl w:val="0"/>
                <w:numId w:val="2"/>
              </w:numPr>
              <w:spacing w:after="40" w:before="40"/>
            </w:pPr>
            <w:r>
              <w:rPr>
                <w:rFonts w:ascii="Arial" w:cs="Arial" w:eastAsia="Arial" w:hAnsi="Arial"/>
                <w:sz w:val="20"/>
                <w:szCs w:val="20"/>
              </w:rPr>
              <w:t xml:space="preserve">Confondre taux IS 25% et 15% (le taux réduit PME ne s'applique qu'aux 42 500 premiers euros de bénéfice)</w:t>
            </w:r>
          </w:p>
          <w:p>
            <w:pPr>
              <w:pStyle w:val="ListParagraph"/>
              <w:numPr>
                <w:ilvl w:val="0"/>
                <w:numId w:val="2"/>
              </w:numPr>
              <w:spacing w:after="40" w:before="40"/>
            </w:pPr>
            <w:r>
              <w:rPr>
                <w:rFonts w:ascii="Arial" w:cs="Arial" w:eastAsia="Arial" w:hAnsi="Arial"/>
                <w:sz w:val="20"/>
                <w:szCs w:val="20"/>
              </w:rPr>
              <w:t xml:space="preserve">Indiquer que les amortissements sont déductibles sans mentionner les conditions (durée, méthode, base)</w:t>
            </w:r>
          </w:p>
          <w:p>
            <w:pPr>
              <w:pStyle w:val="ListParagraph"/>
              <w:numPr>
                <w:ilvl w:val="0"/>
                <w:numId w:val="2"/>
              </w:numPr>
              <w:spacing w:after="40" w:before="40"/>
            </w:pPr>
            <w:r>
              <w:rPr>
                <w:rFonts w:ascii="Arial" w:cs="Arial" w:eastAsia="Arial" w:hAnsi="Arial"/>
                <w:sz w:val="20"/>
                <w:szCs w:val="20"/>
              </w:rPr>
              <w:t xml:space="preserve">Affirmer qu'un crédit de TVA est automatiquement remboursé (seuil 760€ requis, délai 6 mois)</w:t>
            </w:r>
          </w:p>
          <w:p>
            <w:pPr>
              <w:pStyle w:val="ListParagraph"/>
              <w:numPr>
                <w:ilvl w:val="0"/>
                <w:numId w:val="2"/>
              </w:numPr>
              <w:spacing w:after="40" w:before="40"/>
            </w:pPr>
            <w:r>
              <w:rPr>
                <w:rFonts w:ascii="Arial" w:cs="Arial" w:eastAsia="Arial" w:hAnsi="Arial"/>
                <w:sz w:val="20"/>
                <w:szCs w:val="20"/>
              </w:rPr>
              <w:t xml:space="preserve">Confondre EBE et résultat d'exploitation (les amortissements ne sont pas déduits dans l'EBE)</w:t>
            </w:r>
          </w:p>
        </w:tc>
      </w:tr>
    </w:tbl>
    <w:p>
      <w:pPr>
        <w:spacing w:after="40" w:before="40"/>
      </w:pPr>
      <w:r>
        <w:t xml:space="preserve"/>
      </w:r>
    </w:p>
    <w:p>
      <w:pPr>
        <w:pStyle w:val="Heading2"/>
        <w:spacing w:after="120" w:before="240"/>
      </w:pPr>
      <w:r>
        <w:rPr>
          <w:rFonts w:ascii="Arial" w:cs="Arial" w:eastAsia="Arial" w:hAnsi="Arial"/>
          <w:b/>
          <w:bCs/>
          <w:color w:val="1F4E79"/>
          <w:sz w:val="26"/>
          <w:szCs w:val="26"/>
        </w:rPr>
        <w:t xml:space="preserve">2.2 Pertinence &amp; Utilité (Helpfulness)</w:t>
      </w:r>
    </w:p>
    <w:p>
      <w:pPr>
        <w:spacing w:after="60" w:before="60"/>
      </w:pPr>
      <w:r>
        <w:rPr>
          <w:rFonts w:ascii="Arial" w:cs="Arial" w:eastAsia="Arial" w:hAnsi="Arial"/>
          <w:sz w:val="21"/>
          <w:szCs w:val="21"/>
        </w:rPr>
        <w:t xml:space="preserve">La réponse répond-elle réellement à la question posée ? Une réponse exacte mais qui ne traite pas le cas spécifique du prompt est moins utile qu'une réponse directe et adaptée.</w:t>
      </w:r>
    </w:p>
    <w:p>
      <w:pPr>
        <w:pStyle w:val="ListParagraph"/>
        <w:numPr>
          <w:ilvl w:val="0"/>
          <w:numId w:val="2"/>
        </w:numPr>
        <w:spacing w:after="50" w:before="50"/>
      </w:pPr>
      <w:r>
        <w:rPr>
          <w:rFonts w:ascii="Arial" w:cs="Arial" w:eastAsia="Arial" w:hAnsi="Arial"/>
          <w:sz w:val="21"/>
          <w:szCs w:val="21"/>
        </w:rPr>
        <w:t xml:space="preserve">Prompt : « Comment calculer la TVA à décaisser sur ma CA3 ? » → Une réponse qui explique le principe général de la TVA sans donner la formule est peu utile</w:t>
      </w:r>
    </w:p>
    <w:p>
      <w:pPr>
        <w:pStyle w:val="ListParagraph"/>
        <w:numPr>
          <w:ilvl w:val="0"/>
          <w:numId w:val="2"/>
        </w:numPr>
        <w:spacing w:after="50" w:before="50"/>
      </w:pPr>
      <w:r>
        <w:rPr>
          <w:rFonts w:ascii="Arial" w:cs="Arial" w:eastAsia="Arial" w:hAnsi="Arial"/>
          <w:sz w:val="21"/>
          <w:szCs w:val="21"/>
        </w:rPr>
        <w:t xml:space="preserve">Prompt : « Quelle écriture pour une acquisition d'immo à 12 000 € HT avec TVA 20% ? » → La réponse doit donner les débits/crédits exacts, pas juste la théorie</w:t>
      </w:r>
    </w:p>
    <w:p>
      <w:pPr>
        <w:spacing w:after="40" w:before="40"/>
      </w:pPr>
      <w:r>
        <w:t xml:space="preserve"/>
      </w:r>
    </w:p>
    <w:p>
      <w:pPr>
        <w:pStyle w:val="Heading2"/>
        <w:spacing w:after="120" w:before="240"/>
      </w:pPr>
      <w:r>
        <w:rPr>
          <w:rFonts w:ascii="Arial" w:cs="Arial" w:eastAsia="Arial" w:hAnsi="Arial"/>
          <w:b/>
          <w:bCs/>
          <w:color w:val="1F4E79"/>
          <w:sz w:val="26"/>
          <w:szCs w:val="26"/>
        </w:rPr>
        <w:t xml:space="preserve">2.3 Clarté &amp; Format (Clarity / Format)</w:t>
      </w:r>
    </w:p>
    <w:p>
      <w:pPr>
        <w:spacing w:after="60" w:before="60"/>
      </w:pPr>
      <w:r>
        <w:rPr>
          <w:rFonts w:ascii="Arial" w:cs="Arial" w:eastAsia="Arial" w:hAnsi="Arial"/>
          <w:sz w:val="21"/>
          <w:szCs w:val="21"/>
        </w:rPr>
        <w:t xml:space="preserve">La réponse est-elle bien structurée, lisible, avec le bon niveau de détail ?</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9"/>
        <w:gridCol w:w="4859"/>
      </w:tblGrid>
      <w:tr>
        <w:tc>
          <w:tcPr>
            <w:tcW w:type="dxa" w:w="4779"/>
            <w:tcBorders>
              <w:top w:val="none"/>
              <w:left w:val="none"/>
              <w:bottom w:val="none"/>
              <w:right w:val="single" w:color="CCCCCC" w:sz="1"/>
            </w:tcBorders>
            <w:tcMar>
              <w:top w:type="dxa" w:w="80"/>
              <w:left w:type="dxa" w:w="0"/>
              <w:bottom w:type="dxa" w:w="80"/>
              <w:right w:type="dxa" w:w="200"/>
            </w:tcMar>
          </w:tcPr>
          <w:p>
            <w:pPr>
              <w:pStyle w:val="Heading3"/>
              <w:spacing w:after="80" w:before="180"/>
            </w:pPr>
            <w:r>
              <w:rPr>
                <w:rFonts w:ascii="Arial" w:cs="Arial" w:eastAsia="Arial" w:hAnsi="Arial"/>
                <w:b/>
                <w:bCs/>
                <w:color w:val="1A5C38"/>
                <w:sz w:val="22"/>
                <w:szCs w:val="22"/>
              </w:rPr>
              <w:t xml:space="preserve">Points positifs</w:t>
            </w:r>
          </w:p>
          <w:p>
            <w:pPr>
              <w:pStyle w:val="ListParagraph"/>
              <w:numPr>
                <w:ilvl w:val="0"/>
                <w:numId w:val="2"/>
              </w:numPr>
              <w:spacing w:after="50" w:before="50"/>
            </w:pPr>
            <w:r>
              <w:rPr>
                <w:rFonts w:ascii="Arial" w:cs="Arial" w:eastAsia="Arial" w:hAnsi="Arial"/>
                <w:sz w:val="21"/>
                <w:szCs w:val="21"/>
              </w:rPr>
              <w:t xml:space="preserve">Titres et sous-titres</w:t>
            </w:r>
          </w:p>
          <w:p>
            <w:pPr>
              <w:pStyle w:val="ListParagraph"/>
              <w:numPr>
                <w:ilvl w:val="0"/>
                <w:numId w:val="2"/>
              </w:numPr>
              <w:spacing w:after="50" w:before="50"/>
            </w:pPr>
            <w:r>
              <w:rPr>
                <w:rFonts w:ascii="Arial" w:cs="Arial" w:eastAsia="Arial" w:hAnsi="Arial"/>
                <w:sz w:val="21"/>
                <w:szCs w:val="21"/>
              </w:rPr>
              <w:t xml:space="preserve">Tableaux pour les chiffres</w:t>
            </w:r>
          </w:p>
          <w:p>
            <w:pPr>
              <w:pStyle w:val="ListParagraph"/>
              <w:numPr>
                <w:ilvl w:val="0"/>
                <w:numId w:val="2"/>
              </w:numPr>
              <w:spacing w:after="50" w:before="50"/>
            </w:pPr>
            <w:r>
              <w:rPr>
                <w:rFonts w:ascii="Arial" w:cs="Arial" w:eastAsia="Arial" w:hAnsi="Arial"/>
                <w:sz w:val="21"/>
                <w:szCs w:val="21"/>
              </w:rPr>
              <w:t xml:space="preserve">Étapes numérotées</w:t>
            </w:r>
          </w:p>
          <w:p>
            <w:pPr>
              <w:pStyle w:val="ListParagraph"/>
              <w:numPr>
                <w:ilvl w:val="0"/>
                <w:numId w:val="2"/>
              </w:numPr>
              <w:spacing w:after="50" w:before="50"/>
            </w:pPr>
            <w:r>
              <w:rPr>
                <w:rFonts w:ascii="Arial" w:cs="Arial" w:eastAsia="Arial" w:hAnsi="Arial"/>
                <w:sz w:val="21"/>
                <w:szCs w:val="21"/>
              </w:rPr>
              <w:t xml:space="preserve">Formules bien mises en avant</w:t>
            </w:r>
          </w:p>
          <w:p>
            <w:pPr>
              <w:pStyle w:val="ListParagraph"/>
              <w:numPr>
                <w:ilvl w:val="0"/>
                <w:numId w:val="2"/>
              </w:numPr>
              <w:spacing w:after="50" w:before="50"/>
            </w:pPr>
            <w:r>
              <w:rPr>
                <w:rFonts w:ascii="Arial" w:cs="Arial" w:eastAsia="Arial" w:hAnsi="Arial"/>
                <w:sz w:val="21"/>
                <w:szCs w:val="21"/>
              </w:rPr>
              <w:t xml:space="preserve">Exemple concret inclus</w:t>
            </w:r>
          </w:p>
        </w:tc>
        <w:tc>
          <w:tcPr>
            <w:tcW w:type="dxa" w:w="4859"/>
            <w:tcBorders>
              <w:top w:val="none"/>
              <w:left w:val="none"/>
              <w:bottom w:val="none"/>
              <w:right w:val="none"/>
            </w:tcBorders>
            <w:tcMar>
              <w:top w:type="dxa" w:w="80"/>
              <w:left w:type="dxa" w:w="200"/>
              <w:bottom w:type="dxa" w:w="80"/>
              <w:right w:type="dxa" w:w="0"/>
            </w:tcMar>
          </w:tcPr>
          <w:p>
            <w:pPr>
              <w:pStyle w:val="Heading3"/>
              <w:spacing w:after="80" w:before="180"/>
            </w:pPr>
            <w:r>
              <w:rPr>
                <w:rFonts w:ascii="Arial" w:cs="Arial" w:eastAsia="Arial" w:hAnsi="Arial"/>
                <w:b/>
                <w:bCs/>
                <w:color w:val="1A5C38"/>
                <w:sz w:val="22"/>
                <w:szCs w:val="22"/>
              </w:rPr>
              <w:t xml:space="preserve">Points négatifs</w:t>
            </w:r>
          </w:p>
          <w:p>
            <w:pPr>
              <w:pStyle w:val="ListParagraph"/>
              <w:numPr>
                <w:ilvl w:val="0"/>
                <w:numId w:val="2"/>
              </w:numPr>
              <w:spacing w:after="50" w:before="50"/>
            </w:pPr>
            <w:r>
              <w:rPr>
                <w:rFonts w:ascii="Arial" w:cs="Arial" w:eastAsia="Arial" w:hAnsi="Arial"/>
                <w:sz w:val="21"/>
                <w:szCs w:val="21"/>
              </w:rPr>
              <w:t xml:space="preserve">Mur de texte sans structure</w:t>
            </w:r>
          </w:p>
          <w:p>
            <w:pPr>
              <w:pStyle w:val="ListParagraph"/>
              <w:numPr>
                <w:ilvl w:val="0"/>
                <w:numId w:val="2"/>
              </w:numPr>
              <w:spacing w:after="50" w:before="50"/>
            </w:pPr>
            <w:r>
              <w:rPr>
                <w:rFonts w:ascii="Arial" w:cs="Arial" w:eastAsia="Arial" w:hAnsi="Arial"/>
                <w:sz w:val="21"/>
                <w:szCs w:val="21"/>
              </w:rPr>
              <w:t xml:space="preserve">Répétitions inutiles</w:t>
            </w:r>
          </w:p>
          <w:p>
            <w:pPr>
              <w:pStyle w:val="ListParagraph"/>
              <w:numPr>
                <w:ilvl w:val="0"/>
                <w:numId w:val="2"/>
              </w:numPr>
              <w:spacing w:after="50" w:before="50"/>
            </w:pPr>
            <w:r>
              <w:rPr>
                <w:rFonts w:ascii="Arial" w:cs="Arial" w:eastAsia="Arial" w:hAnsi="Arial"/>
                <w:sz w:val="21"/>
                <w:szCs w:val="21"/>
              </w:rPr>
              <w:t xml:space="preserve">Informations sans rapport</w:t>
            </w:r>
          </w:p>
          <w:p>
            <w:pPr>
              <w:pStyle w:val="ListParagraph"/>
              <w:numPr>
                <w:ilvl w:val="0"/>
                <w:numId w:val="2"/>
              </w:numPr>
              <w:spacing w:after="50" w:before="50"/>
            </w:pPr>
            <w:r>
              <w:rPr>
                <w:rFonts w:ascii="Arial" w:cs="Arial" w:eastAsia="Arial" w:hAnsi="Arial"/>
                <w:sz w:val="21"/>
                <w:szCs w:val="21"/>
              </w:rPr>
              <w:t xml:space="preserve">Trop court (réponse vague)</w:t>
            </w:r>
          </w:p>
          <w:p>
            <w:pPr>
              <w:pStyle w:val="ListParagraph"/>
              <w:numPr>
                <w:ilvl w:val="0"/>
                <w:numId w:val="2"/>
              </w:numPr>
              <w:spacing w:after="50" w:before="50"/>
            </w:pPr>
            <w:r>
              <w:rPr>
                <w:rFonts w:ascii="Arial" w:cs="Arial" w:eastAsia="Arial" w:hAnsi="Arial"/>
                <w:sz w:val="21"/>
                <w:szCs w:val="21"/>
              </w:rPr>
              <w:t xml:space="preserve">Trop long sans valeur ajoutée</w:t>
            </w:r>
          </w:p>
        </w:tc>
      </w:tr>
    </w:tbl>
    <w:p>
      <w:pPr>
        <w:spacing w:after="40" w:before="40"/>
      </w:pPr>
      <w:r>
        <w:t xml:space="preserve"/>
      </w:r>
    </w:p>
    <w:p>
      <w:pPr>
        <w:pStyle w:val="Heading2"/>
        <w:spacing w:after="120" w:before="240"/>
      </w:pPr>
      <w:r>
        <w:rPr>
          <w:rFonts w:ascii="Arial" w:cs="Arial" w:eastAsia="Arial" w:hAnsi="Arial"/>
          <w:b/>
          <w:bCs/>
          <w:color w:val="1F4E79"/>
          <w:sz w:val="26"/>
          <w:szCs w:val="26"/>
        </w:rPr>
        <w:t xml:space="preserve">2.4 Sécurité &amp; Éthique (Safety)</w:t>
      </w:r>
    </w:p>
    <w:p>
      <w:pPr>
        <w:spacing w:after="60" w:before="60"/>
      </w:pPr>
      <w:r>
        <w:rPr>
          <w:rFonts w:ascii="Arial" w:cs="Arial" w:eastAsia="Arial" w:hAnsi="Arial"/>
          <w:sz w:val="21"/>
          <w:szCs w:val="21"/>
        </w:rPr>
        <w:t xml:space="preserve">La réponse ne doit pas induire en erreur sur des sujets réglementés (conseil fiscal, investissement, fraude). Vérifiez :</w:t>
      </w:r>
    </w:p>
    <w:p>
      <w:pPr>
        <w:pStyle w:val="ListParagraph"/>
        <w:numPr>
          <w:ilvl w:val="0"/>
          <w:numId w:val="2"/>
        </w:numPr>
        <w:spacing w:after="50" w:before="50"/>
      </w:pPr>
      <w:r>
        <w:rPr>
          <w:rFonts w:ascii="Arial" w:cs="Arial" w:eastAsia="Arial" w:hAnsi="Arial"/>
          <w:sz w:val="21"/>
          <w:szCs w:val="21"/>
        </w:rPr>
        <w:t xml:space="preserve">Pas de conseil personnalisé qui engage la responsabilité sans réserve (« je vous conseille de... »)</w:t>
      </w:r>
    </w:p>
    <w:p>
      <w:pPr>
        <w:pStyle w:val="ListParagraph"/>
        <w:numPr>
          <w:ilvl w:val="0"/>
          <w:numId w:val="2"/>
        </w:numPr>
        <w:spacing w:after="50" w:before="50"/>
      </w:pPr>
      <w:r>
        <w:rPr>
          <w:rFonts w:ascii="Arial" w:cs="Arial" w:eastAsia="Arial" w:hAnsi="Arial"/>
          <w:sz w:val="21"/>
          <w:szCs w:val="21"/>
        </w:rPr>
        <w:t xml:space="preserve">Pas d'incitation à des pratiques d'optimisation fiscale abusive</w:t>
      </w:r>
    </w:p>
    <w:p>
      <w:pPr>
        <w:pStyle w:val="ListParagraph"/>
        <w:numPr>
          <w:ilvl w:val="0"/>
          <w:numId w:val="2"/>
        </w:numPr>
        <w:spacing w:after="50" w:before="50"/>
      </w:pPr>
      <w:r>
        <w:rPr>
          <w:rFonts w:ascii="Arial" w:cs="Arial" w:eastAsia="Arial" w:hAnsi="Arial"/>
          <w:sz w:val="21"/>
          <w:szCs w:val="21"/>
        </w:rPr>
        <w:t xml:space="preserve">Mention des limites de l'IA en finance lorsque c'est pertinent (« consultez un expert-comptable »)</w:t>
      </w:r>
    </w:p>
    <w:p>
      <w:pPr>
        <w:spacing w:after="40" w:before="40"/>
      </w:pPr>
      <w:r>
        <w:t xml:space="preserve"/>
      </w:r>
    </w:p>
    <w:p>
      <w:pPr>
        <w:pStyle w:val="Heading2"/>
        <w:spacing w:after="120" w:before="240"/>
      </w:pPr>
      <w:r>
        <w:rPr>
          <w:rFonts w:ascii="Arial" w:cs="Arial" w:eastAsia="Arial" w:hAnsi="Arial"/>
          <w:b/>
          <w:bCs/>
          <w:color w:val="1F4E79"/>
          <w:sz w:val="26"/>
          <w:szCs w:val="26"/>
        </w:rPr>
        <w:t xml:space="preserve">2.5 Complétude (Completeness)</w:t>
      </w:r>
    </w:p>
    <w:p>
      <w:pPr>
        <w:spacing w:after="60" w:before="60"/>
      </w:pPr>
      <w:r>
        <w:rPr>
          <w:rFonts w:ascii="Arial" w:cs="Arial" w:eastAsia="Arial" w:hAnsi="Arial"/>
          <w:sz w:val="21"/>
          <w:szCs w:val="21"/>
        </w:rPr>
        <w:t xml:space="preserve">La réponse couvre-t-elle tous les aspects importants de la question ? En comptabilité, une réponse incomplète peut être trompeuse (ex : parler de déductibilité sans mentionner les conditions).</w:t>
      </w:r>
    </w:p>
    <w:p>
      <w:r>
        <w:br w:type="page"/>
      </w:r>
    </w:p>
    <w:p>
      <w:pPr>
        <w:pStyle w:val="Heading1"/>
        <w:spacing w:after="160" w:before="320"/>
      </w:pPr>
      <w:r>
        <w:rPr>
          <w:rFonts w:ascii="Arial" w:cs="Arial" w:eastAsia="Arial" w:hAnsi="Arial"/>
          <w:b/>
          <w:bCs/>
          <w:color w:val="1F4E79"/>
          <w:sz w:val="34"/>
          <w:szCs w:val="34"/>
        </w:rPr>
        <w:t xml:space="preserve">3. Échelle de notation typique</w:t>
      </w:r>
    </w:p>
    <w:p>
      <w:pPr>
        <w:spacing w:after="60" w:before="60"/>
      </w:pPr>
      <w:r>
        <w:rPr>
          <w:rFonts w:ascii="Arial" w:cs="Arial" w:eastAsia="Arial" w:hAnsi="Arial"/>
          <w:sz w:val="21"/>
          <w:szCs w:val="21"/>
        </w:rPr>
        <w:t xml:space="preserve">Sur Alignerr, les projets FCP utilisent souvent une échelle de 1 à 5 (Likert) ou une préférence A/B. Voici la grille de référence :</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2000"/>
        <w:gridCol w:w="1638"/>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Signification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Fréquence conseillée</w:t>
            </w:r>
          </w:p>
        </w:tc>
        <w:tc>
          <w:tcPr>
            <w:tcW w:type="dxa" w:w="16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Exemple typique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 Excellent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Réponse exacte, complète, bien structurée, directement actionnable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 des cas</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Écriture comptable complète avec comptes corrects et montants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 — Bien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Réponse correcte avec un petit manque (ex : un aspect non traité)</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~35% des cas</w:t>
            </w:r>
          </w:p>
        </w:tc>
        <w:tc>
          <w:tcPr>
            <w:tcW w:type="dxa" w:w="1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Bonne explication TVA mais oubli du cas autoliquidation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 Acceptable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Réponse globalement juste mais incomplète ou mal structurée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 des cas</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Principe correct, exemples absents, formule incomplète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 — Faible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Erreurs mineures ou réponse trop vague sans valeur pratique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~15% des cas</w:t>
            </w:r>
          </w:p>
        </w:tc>
        <w:tc>
          <w:tcPr>
            <w:tcW w:type="dxa" w:w="1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Taux IS mentionné sans distinguer taux normal et réduit PME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 Mauvais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Erreur factuelle grave ou hors sujet complet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des cas</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Confondre compte 401 et 411, affirmer un taux erroné</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6000" w:sz="3"/>
              <w:left w:val="single" w:color="7F6000" w:sz="14"/>
              <w:bottom w:val="single" w:color="7F6000" w:sz="3"/>
              <w:right w:val="single" w:color="CCCCCC" w:sz="1"/>
            </w:tcBorders>
            <w:shd w:fill="FFF2CC" w:val="clear"/>
            <w:tcMar>
              <w:top w:type="dxa" w:w="120"/>
              <w:left w:type="dxa" w:w="200"/>
              <w:bottom w:type="dxa" w:w="120"/>
              <w:right w:type="dxa" w:w="120"/>
            </w:tcMar>
          </w:tcPr>
          <w:p>
            <w:pPr>
              <w:spacing w:after="80" w:before="60"/>
            </w:pPr>
            <w:r>
              <w:rPr>
                <w:rFonts w:ascii="Arial" w:cs="Arial" w:eastAsia="Arial" w:hAnsi="Arial"/>
                <w:b/>
                <w:bCs/>
                <w:color w:val="7F6000"/>
                <w:sz w:val="21"/>
                <w:szCs w:val="21"/>
              </w:rPr>
              <w:t xml:space="preserve">⚠️  Piège courant — Le biais de longueur</w:t>
            </w:r>
          </w:p>
          <w:p>
            <w:pPr>
              <w:pStyle w:val="ListParagraph"/>
              <w:numPr>
                <w:ilvl w:val="0"/>
                <w:numId w:val="2"/>
              </w:numPr>
              <w:spacing w:after="40" w:before="40"/>
            </w:pPr>
            <w:r>
              <w:rPr>
                <w:rFonts w:ascii="Arial" w:cs="Arial" w:eastAsia="Arial" w:hAnsi="Arial"/>
                <w:sz w:val="20"/>
                <w:szCs w:val="20"/>
              </w:rPr>
              <w:t xml:space="preserve">Ne pas noter une longue réponse meilleure qu'une courte automatiquement</w:t>
            </w:r>
          </w:p>
          <w:p>
            <w:pPr>
              <w:pStyle w:val="ListParagraph"/>
              <w:numPr>
                <w:ilvl w:val="0"/>
                <w:numId w:val="2"/>
              </w:numPr>
              <w:spacing w:after="40" w:before="40"/>
            </w:pPr>
            <w:r>
              <w:rPr>
                <w:rFonts w:ascii="Arial" w:cs="Arial" w:eastAsia="Arial" w:hAnsi="Arial"/>
                <w:sz w:val="20"/>
                <w:szCs w:val="20"/>
              </w:rPr>
              <w:t xml:space="preserve">Une réponse concise et précise vaut un 5 — une réponse longue mais vague vaut un 2</w:t>
            </w:r>
          </w:p>
          <w:p>
            <w:pPr>
              <w:pStyle w:val="ListParagraph"/>
              <w:numPr>
                <w:ilvl w:val="0"/>
                <w:numId w:val="2"/>
              </w:numPr>
              <w:spacing w:after="40" w:before="40"/>
            </w:pPr>
            <w:r>
              <w:rPr>
                <w:rFonts w:ascii="Arial" w:cs="Arial" w:eastAsia="Arial" w:hAnsi="Arial"/>
                <w:sz w:val="20"/>
                <w:szCs w:val="20"/>
              </w:rPr>
              <w:t xml:space="preserve">Les LLM ont tendance à verbaliser pour donner une impression de compétence : restez objectif</w:t>
            </w:r>
          </w:p>
        </w:tc>
      </w:tr>
    </w:tbl>
    <w:p>
      <w:pPr>
        <w:spacing w:after="40" w:before="40"/>
      </w:pPr>
      <w:r>
        <w:t xml:space="preserve"/>
      </w:r>
    </w:p>
    <w:p>
      <w:r>
        <w:br w:type="page"/>
      </w:r>
    </w:p>
    <w:p>
      <w:pPr>
        <w:pStyle w:val="Heading1"/>
        <w:spacing w:after="160" w:before="320"/>
      </w:pPr>
      <w:r>
        <w:rPr>
          <w:rFonts w:ascii="Arial" w:cs="Arial" w:eastAsia="Arial" w:hAnsi="Arial"/>
          <w:b/>
          <w:bCs/>
          <w:color w:val="1F4E79"/>
          <w:sz w:val="34"/>
          <w:szCs w:val="34"/>
        </w:rPr>
        <w:t xml:space="preserve">4. Thèmes financiers probables — FCP Financial Eval</w:t>
      </w:r>
    </w:p>
    <w:p>
      <w:pPr>
        <w:spacing w:after="60" w:before="60"/>
      </w:pPr>
      <w:r>
        <w:rPr>
          <w:rFonts w:ascii="Arial" w:cs="Arial" w:eastAsia="Arial" w:hAnsi="Arial"/>
          <w:sz w:val="21"/>
          <w:szCs w:val="21"/>
        </w:rPr>
        <w:t xml:space="preserve">Basé sur le titre du projet et les standards RLHF finance, voici les domaines susceptibles d'apparaître dans les data rows :</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Domaine</w:t>
            </w:r>
          </w:p>
        </w:tc>
        <w:tc>
          <w:tcPr>
            <w:tcW w:type="dxa" w:w="32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Exemples de prompts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Points de vigilance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Comptabilité générale (PCG)</w:t>
            </w:r>
          </w:p>
        </w:tc>
        <w:tc>
          <w:tcPr>
            <w:tcW w:type="dxa" w:w="3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Quelle écriture pour une facture fournisseur ? Qu'est-ce que le FDR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Comptes exacts, sens D/C, TVA incluse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Fiscalité française</w:t>
            </w:r>
          </w:p>
        </w:tc>
        <w:tc>
          <w:tcPr>
            <w:tcW w:type="dxa" w:w="32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Taux IS 2024, TVA intracommunautaire, liasse fiscale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Taux à jour, conditions d'application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Analyse financière</w:t>
            </w:r>
          </w:p>
        </w:tc>
        <w:tc>
          <w:tcPr>
            <w:tcW w:type="dxa" w:w="3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Calculer le BFR, interpréter l'EBE, lire un bilan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Formules exactes, SIG PCG vs SIG simplifié</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États financiers</w:t>
            </w:r>
          </w:p>
        </w:tc>
        <w:tc>
          <w:tcPr>
            <w:tcW w:type="dxa" w:w="32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Lire un compte de résultat, présenter un TFT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Méthode directe vs indirecte, ANC 99-02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Finance d'entreprise</w:t>
            </w:r>
          </w:p>
        </w:tc>
        <w:tc>
          <w:tcPr>
            <w:tcW w:type="dxa" w:w="3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Évaluation DCF, coût du capital, plan de financement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Distinctions théorie / pratique PME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SYSCOHADA / OHADA</w:t>
            </w:r>
          </w:p>
        </w:tc>
        <w:tc>
          <w:tcPr>
            <w:tcW w:type="dxa" w:w="32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Bilan SYSCOHADA, états SAES/CAGE, plan comptes UEMOA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Différences vs PCG France</w:t>
            </w:r>
          </w:p>
        </w:tc>
      </w:tr>
    </w:tbl>
    <w:p>
      <w:pPr>
        <w:spacing w:after="40" w:before="40"/>
      </w:pPr>
      <w:r>
        <w:t xml:space="preserve"/>
      </w:r>
    </w:p>
    <w:p>
      <w:r>
        <w:br w:type="page"/>
      </w:r>
    </w:p>
    <w:p>
      <w:pPr>
        <w:pStyle w:val="Heading1"/>
        <w:spacing w:after="160" w:before="320"/>
      </w:pPr>
      <w:r>
        <w:rPr>
          <w:rFonts w:ascii="Arial" w:cs="Arial" w:eastAsia="Arial" w:hAnsi="Arial"/>
          <w:b/>
          <w:bCs/>
          <w:color w:val="1F4E79"/>
          <w:sz w:val="34"/>
          <w:szCs w:val="34"/>
        </w:rPr>
        <w:t xml:space="preserve">5. Rédiger une bonne justification</w:t>
      </w:r>
    </w:p>
    <w:p>
      <w:pPr>
        <w:spacing w:after="60" w:before="60"/>
      </w:pPr>
      <w:r>
        <w:rPr>
          <w:rFonts w:ascii="Arial" w:cs="Arial" w:eastAsia="Arial" w:hAnsi="Arial"/>
          <w:sz w:val="21"/>
          <w:szCs w:val="21"/>
        </w:rPr>
        <w:t xml:space="preserve">Sur Alignerr, chaque évaluation doit être accompagnée d'une justification écrite (en anglais généralement). C'est ce qui donne de la valeur à votre travail et détermine votre score de qualité.</w:t>
      </w:r>
    </w:p>
    <w:p>
      <w:pPr>
        <w:spacing w:after="40" w:before="40"/>
      </w:pPr>
      <w:r>
        <w:t xml:space="preserve"/>
      </w:r>
    </w:p>
    <w:p>
      <w:pPr>
        <w:pStyle w:val="Heading2"/>
        <w:spacing w:after="120" w:before="240"/>
      </w:pPr>
      <w:r>
        <w:rPr>
          <w:rFonts w:ascii="Arial" w:cs="Arial" w:eastAsia="Arial" w:hAnsi="Arial"/>
          <w:b/>
          <w:bCs/>
          <w:color w:val="1F4E79"/>
          <w:sz w:val="26"/>
          <w:szCs w:val="26"/>
        </w:rPr>
        <w:t xml:space="preserve">Structure recommandée</w:t>
      </w:r>
    </w:p>
    <w:p>
      <w:pPr>
        <w:pStyle w:val="ListParagraph"/>
        <w:numPr>
          <w:ilvl w:val="0"/>
          <w:numId w:val="2"/>
        </w:numPr>
        <w:spacing w:after="50" w:before="50"/>
      </w:pPr>
      <w:r>
        <w:rPr>
          <w:rFonts w:ascii="Arial" w:cs="Arial" w:eastAsia="Arial" w:hAnsi="Arial"/>
          <w:sz w:val="21"/>
          <w:szCs w:val="21"/>
        </w:rPr>
        <w:t xml:space="preserve">1 phrase sur votre choix global (Réponse A est meilleure parce que...)</w:t>
      </w:r>
    </w:p>
    <w:p>
      <w:pPr>
        <w:pStyle w:val="ListParagraph"/>
        <w:numPr>
          <w:ilvl w:val="0"/>
          <w:numId w:val="2"/>
        </w:numPr>
        <w:spacing w:after="50" w:before="50"/>
      </w:pPr>
      <w:r>
        <w:rPr>
          <w:rFonts w:ascii="Arial" w:cs="Arial" w:eastAsia="Arial" w:hAnsi="Arial"/>
          <w:sz w:val="21"/>
          <w:szCs w:val="21"/>
        </w:rPr>
        <w:t xml:space="preserve">1-2 points concrets sur ce qui est correct dans la meilleure réponse</w:t>
      </w:r>
    </w:p>
    <w:p>
      <w:pPr>
        <w:pStyle w:val="ListParagraph"/>
        <w:numPr>
          <w:ilvl w:val="0"/>
          <w:numId w:val="2"/>
        </w:numPr>
        <w:spacing w:after="50" w:before="50"/>
      </w:pPr>
      <w:r>
        <w:rPr>
          <w:rFonts w:ascii="Arial" w:cs="Arial" w:eastAsia="Arial" w:hAnsi="Arial"/>
          <w:sz w:val="21"/>
          <w:szCs w:val="21"/>
        </w:rPr>
        <w:t xml:space="preserve">1 point sur ce qui manque ou est incorrect dans la moins bonne</w:t>
      </w:r>
    </w:p>
    <w:p>
      <w:pPr>
        <w:pStyle w:val="ListParagraph"/>
        <w:numPr>
          <w:ilvl w:val="0"/>
          <w:numId w:val="2"/>
        </w:numPr>
        <w:spacing w:after="50" w:before="50"/>
      </w:pPr>
      <w:r>
        <w:rPr>
          <w:rFonts w:ascii="Arial" w:cs="Arial" w:eastAsia="Arial" w:hAnsi="Arial"/>
          <w:sz w:val="21"/>
          <w:szCs w:val="21"/>
        </w:rPr>
        <w:t xml:space="preserve">Optionnel : 1 phrase sur ce qui pourrait améliorer la meilleure réponse</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5C38" w:sz="3"/>
              <w:left w:val="single" w:color="1A5C38" w:sz="14"/>
              <w:bottom w:val="single" w:color="1A5C38" w:sz="3"/>
              <w:right w:val="single" w:color="CCCCCC" w:sz="1"/>
            </w:tcBorders>
            <w:shd w:fill="D9EAD3" w:val="clear"/>
            <w:tcMar>
              <w:top w:type="dxa" w:w="120"/>
              <w:left w:type="dxa" w:w="200"/>
              <w:bottom w:type="dxa" w:w="120"/>
              <w:right w:type="dxa" w:w="120"/>
            </w:tcMar>
          </w:tcPr>
          <w:p>
            <w:pPr>
              <w:spacing w:after="80" w:before="60"/>
            </w:pPr>
            <w:r>
              <w:rPr>
                <w:rFonts w:ascii="Arial" w:cs="Arial" w:eastAsia="Arial" w:hAnsi="Arial"/>
                <w:b/>
                <w:bCs/>
                <w:color w:val="1A5C38"/>
                <w:sz w:val="21"/>
                <w:szCs w:val="21"/>
              </w:rPr>
              <w:t xml:space="preserve">✅  Exemple de bonne justification (en anglais)</w:t>
            </w:r>
          </w:p>
          <w:p>
            <w:pPr>
              <w:pStyle w:val="ListParagraph"/>
              <w:numPr>
                <w:ilvl w:val="0"/>
                <w:numId w:val="2"/>
              </w:numPr>
              <w:spacing w:after="40" w:before="40"/>
            </w:pPr>
            <w:r>
              <w:rPr>
                <w:rFonts w:ascii="Arial" w:cs="Arial" w:eastAsia="Arial" w:hAnsi="Arial"/>
                <w:sz w:val="20"/>
                <w:szCs w:val="20"/>
              </w:rPr>
              <w:t xml:space="preserve">"Response A is preferred. It correctly identifies the IS rate at 25% for companies above the 10M€ threshold and clearly distinguishes it from the reduced 15% rate applicable to the first 42,500€ of profit for qualifying SMEs. Response B only mentions 25% without any nuance, which could mislead small business owners. Response A also provides a concrete calculation example, making it directly actionable. Minor improvement: Response A could mention the 2024 rate confirmation."</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22B21" w:sz="3"/>
              <w:left w:val="single" w:color="922B21" w:sz="14"/>
              <w:bottom w:val="single" w:color="922B21" w:sz="3"/>
              <w:right w:val="single" w:color="CCCCCC" w:sz="1"/>
            </w:tcBorders>
            <w:shd w:fill="FADBD8" w:val="clear"/>
            <w:tcMar>
              <w:top w:type="dxa" w:w="120"/>
              <w:left w:type="dxa" w:w="200"/>
              <w:bottom w:type="dxa" w:w="120"/>
              <w:right w:type="dxa" w:w="120"/>
            </w:tcMar>
          </w:tcPr>
          <w:p>
            <w:pPr>
              <w:spacing w:after="80" w:before="60"/>
            </w:pPr>
            <w:r>
              <w:rPr>
                <w:rFonts w:ascii="Arial" w:cs="Arial" w:eastAsia="Arial" w:hAnsi="Arial"/>
                <w:b/>
                <w:bCs/>
                <w:color w:val="922B21"/>
                <w:sz w:val="21"/>
                <w:szCs w:val="21"/>
              </w:rPr>
              <w:t xml:space="preserve">❌  Exemple de justification faible</w:t>
            </w:r>
          </w:p>
          <w:p>
            <w:pPr>
              <w:pStyle w:val="ListParagraph"/>
              <w:numPr>
                <w:ilvl w:val="0"/>
                <w:numId w:val="2"/>
              </w:numPr>
              <w:spacing w:after="40" w:before="40"/>
            </w:pPr>
            <w:r>
              <w:rPr>
                <w:rFonts w:ascii="Arial" w:cs="Arial" w:eastAsia="Arial" w:hAnsi="Arial"/>
                <w:sz w:val="20"/>
                <w:szCs w:val="20"/>
              </w:rPr>
              <w:t xml:space="preserve">"Response A is better because it is more detailed and well-written."</w:t>
            </w:r>
          </w:p>
          <w:p>
            <w:pPr>
              <w:pStyle w:val="ListParagraph"/>
              <w:numPr>
                <w:ilvl w:val="0"/>
                <w:numId w:val="2"/>
              </w:numPr>
              <w:spacing w:after="40" w:before="40"/>
            </w:pPr>
            <w:r>
              <w:rPr>
                <w:rFonts w:ascii="Arial" w:cs="Arial" w:eastAsia="Arial" w:hAnsi="Arial"/>
                <w:sz w:val="20"/>
                <w:szCs w:val="20"/>
              </w:rPr>
              <w:t xml:space="preserve">→ Trop vague, ne justifie pas sur le fond financier, inutile pour l'entraînement du modèle</w:t>
            </w:r>
          </w:p>
        </w:tc>
      </w:tr>
    </w:tbl>
    <w:p>
      <w:pPr>
        <w:spacing w:after="40" w:before="40"/>
      </w:pPr>
      <w:r>
        <w:t xml:space="preserve"/>
      </w:r>
    </w:p>
    <w:p>
      <w:pPr>
        <w:pStyle w:val="Heading2"/>
        <w:spacing w:after="120" w:before="240"/>
      </w:pPr>
      <w:r>
        <w:rPr>
          <w:rFonts w:ascii="Arial" w:cs="Arial" w:eastAsia="Arial" w:hAnsi="Arial"/>
          <w:b/>
          <w:bCs/>
          <w:color w:val="1F4E79"/>
          <w:sz w:val="26"/>
          <w:szCs w:val="26"/>
        </w:rPr>
        <w:t xml:space="preserve">Conseils pratiques</w:t>
      </w:r>
    </w:p>
    <w:p>
      <w:pPr>
        <w:pStyle w:val="ListParagraph"/>
        <w:numPr>
          <w:ilvl w:val="0"/>
          <w:numId w:val="2"/>
        </w:numPr>
        <w:spacing w:after="50" w:before="50"/>
      </w:pPr>
      <w:r>
        <w:rPr>
          <w:rFonts w:ascii="Arial" w:cs="Arial" w:eastAsia="Arial" w:hAnsi="Arial"/>
          <w:sz w:val="21"/>
          <w:szCs w:val="21"/>
        </w:rPr>
        <w:t xml:space="preserve">Rédigez en anglais sauf indication contraire — c'est la langue standard Alignerr</w:t>
      </w:r>
    </w:p>
    <w:p>
      <w:pPr>
        <w:pStyle w:val="ListParagraph"/>
        <w:numPr>
          <w:ilvl w:val="0"/>
          <w:numId w:val="2"/>
        </w:numPr>
        <w:spacing w:after="50" w:before="50"/>
      </w:pPr>
      <w:r>
        <w:rPr>
          <w:rFonts w:ascii="Arial" w:cs="Arial" w:eastAsia="Arial" w:hAnsi="Arial"/>
          <w:sz w:val="21"/>
          <w:szCs w:val="21"/>
        </w:rPr>
        <w:t xml:space="preserve">Soyez précis : citez le taux, le compte, la formule incorrecte plutôt que de rester général</w:t>
      </w:r>
    </w:p>
    <w:p>
      <w:pPr>
        <w:pStyle w:val="ListParagraph"/>
        <w:numPr>
          <w:ilvl w:val="0"/>
          <w:numId w:val="2"/>
        </w:numPr>
        <w:spacing w:after="50" w:before="50"/>
      </w:pPr>
      <w:r>
        <w:rPr>
          <w:rFonts w:ascii="Arial" w:cs="Arial" w:eastAsia="Arial" w:hAnsi="Arial"/>
          <w:sz w:val="21"/>
          <w:szCs w:val="21"/>
        </w:rPr>
        <w:t xml:space="preserve">Durée cible par évaluation : 3 à 7 minutes — au-delà vous sur-investissez</w:t>
      </w:r>
    </w:p>
    <w:p>
      <w:pPr>
        <w:pStyle w:val="ListParagraph"/>
        <w:numPr>
          <w:ilvl w:val="0"/>
          <w:numId w:val="2"/>
        </w:numPr>
        <w:spacing w:after="50" w:before="50"/>
      </w:pPr>
      <w:r>
        <w:rPr>
          <w:rFonts w:ascii="Arial" w:cs="Arial" w:eastAsia="Arial" w:hAnsi="Arial"/>
          <w:sz w:val="21"/>
          <w:szCs w:val="21"/>
        </w:rPr>
        <w:t xml:space="preserve">Si les deux réponses sont également bonnes, signalez-le clairement dans votre justification</w:t>
      </w:r>
    </w:p>
    <w:p>
      <w:pPr>
        <w:pStyle w:val="ListParagraph"/>
        <w:numPr>
          <w:ilvl w:val="0"/>
          <w:numId w:val="2"/>
        </w:numPr>
        <w:spacing w:after="50" w:before="50"/>
      </w:pPr>
      <w:r>
        <w:rPr>
          <w:rFonts w:ascii="Arial" w:cs="Arial" w:eastAsia="Arial" w:hAnsi="Arial"/>
          <w:sz w:val="21"/>
          <w:szCs w:val="21"/>
        </w:rPr>
        <w:t xml:space="preserve">Si la question dépasse votre expertise, passez plutôt que de noter au hasard</w:t>
      </w:r>
    </w:p>
    <w:p>
      <w:pPr>
        <w:spacing w:after="40" w:before="40"/>
      </w:pPr>
      <w:r>
        <w:t xml:space="preserve"/>
      </w:r>
    </w:p>
    <w:p>
      <w:r>
        <w:br w:type="page"/>
      </w:r>
    </w:p>
    <w:p>
      <w:pPr>
        <w:pStyle w:val="Heading1"/>
        <w:spacing w:after="160" w:before="320"/>
      </w:pPr>
      <w:r>
        <w:rPr>
          <w:rFonts w:ascii="Arial" w:cs="Arial" w:eastAsia="Arial" w:hAnsi="Arial"/>
          <w:b/>
          <w:bCs/>
          <w:color w:val="1F4E79"/>
          <w:sz w:val="34"/>
          <w:szCs w:val="34"/>
        </w:rPr>
        <w:t xml:space="preserve">6. Checklist avant de valider une évaluation</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8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J'ai lu les deux réponses en entier avant de noter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t>
            </w:r>
          </w:p>
        </w:tc>
        <w:tc>
          <w:tcPr>
            <w:tcW w:type="dxa" w:w="8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J'ai vérifié les faits financiers clés (taux, comptes, formules)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8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 note reflète la qualité du contenu, pas la longueur ou le style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t>
            </w:r>
          </w:p>
        </w:tc>
        <w:tc>
          <w:tcPr>
            <w:tcW w:type="dxa" w:w="8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 justification cite au moins 1 élément factuel précis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8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J'ai rédigé la justification en anglais (sauf consigne contraire)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t>
            </w:r>
          </w:p>
        </w:tc>
        <w:tc>
          <w:tcPr>
            <w:tcW w:type="dxa" w:w="8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Je n'ai pas utilisé Claude ou un autre LLM pour générer ma justification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8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 la réponse contient un conseil dangereux / erroné, j'ai coché Safety</w:t>
            </w:r>
          </w:p>
        </w:tc>
      </w:tr>
    </w:tbl>
    <w:p>
      <w:pPr>
        <w:spacing w:after="40" w:before="40"/>
      </w:pPr>
      <w:r>
        <w:t xml:space="preserve"/>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4E79" w:val="clear"/>
            <w:tcMar>
              <w:top w:type="dxa" w:w="300"/>
              <w:left w:type="dxa" w:w="400"/>
              <w:bottom w:type="dxa" w:w="300"/>
              <w:right w:type="dxa" w:w="400"/>
            </w:tcMar>
          </w:tcPr>
          <w:p>
            <w:pPr>
              <w:jc w:val="center"/>
            </w:pPr>
            <w:r>
              <w:rPr>
                <w:rFonts w:ascii="Arial" w:cs="Arial" w:eastAsia="Arial" w:hAnsi="Arial"/>
                <w:b/>
                <w:bCs/>
                <w:color w:val="FFFFFF"/>
                <w:sz w:val="24"/>
                <w:szCs w:val="24"/>
              </w:rPr>
              <w:t xml:space="preserve">Souleymane Diallo — SMD Consulting</w:t>
            </w:r>
          </w:p>
          <w:p>
            <w:pPr>
              <w:spacing w:before="60"/>
              <w:jc w:val="center"/>
            </w:pPr>
            <w:r>
              <w:rPr>
                <w:rFonts w:ascii="Arial" w:cs="Arial" w:eastAsia="Arial" w:hAnsi="Arial"/>
                <w:i/>
                <w:iCs/>
                <w:color w:val="AECDE8"/>
                <w:sz w:val="20"/>
                <w:szCs w:val="20"/>
              </w:rPr>
              <w:t xml:space="preserve">Expert-Comptable · PCG France · SYSCOHADA · Fiscalité</w:t>
            </w:r>
          </w:p>
          <w:p>
            <w:pPr>
              <w:spacing w:before="80"/>
              <w:jc w:val="center"/>
            </w:pPr>
            <w:r>
              <w:rPr>
                <w:rFonts w:ascii="Arial" w:cs="Arial" w:eastAsia="Arial" w:hAnsi="Arial"/>
                <w:color w:val="7FA8C9"/>
                <w:sz w:val="17"/>
                <w:szCs w:val="17"/>
              </w:rPr>
              <w:t xml:space="preserve">Document usage personnel — Non transmissible — Mai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spacing w:before="60"/>
      <w:jc w:val="center"/>
    </w:pPr>
    <w:r>
      <w:rPr>
        <w:rFonts w:ascii="Arial" w:cs="Arial" w:eastAsia="Arial" w:hAnsi="Arial"/>
        <w:color w:val="888888"/>
        <w:sz w:val="16"/>
        <w:szCs w:val="16"/>
      </w:rPr>
      <w:t xml:space="preserve">Usage personnel — SMD Consulting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tabs>
        <w:tab w:val="right" w:pos="9638"/>
      </w:tabs>
    </w:pPr>
    <w:r>
      <w:rPr>
        <w:rFonts w:ascii="Arial" w:cs="Arial" w:eastAsia="Arial" w:hAnsi="Arial"/>
        <w:b/>
        <w:bCs/>
        <w:color w:val="1F4E79"/>
        <w:sz w:val="18"/>
        <w:szCs w:val="18"/>
      </w:rPr>
      <w:t xml:space="preserve">Alignerr — FCP Financial Eval</w:t>
    </w:r>
    <w:r>
      <w:rPr>
        <w:rFonts w:ascii="Arial" w:cs="Arial" w:eastAsia="Arial" w:hAnsi="Arial"/>
        <w:color w:val="888888"/>
        <w:sz w:val="18"/>
        <w:szCs w:val="18"/>
      </w:rPr>
      <w:t xml:space="preserve">		Fiche de Référence Évaluateur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5C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2026-05-18T19:04:05.749Z</dcterms:created>
  <dcterms:modified xsi:type="dcterms:W3CDTF">2026-05-18T19:04:05.751Z</dcterms:modified>
</cp:coreProperties>
</file>

<file path=docProps/custom.xml><?xml version="1.0" encoding="utf-8"?>
<Properties xmlns="http://schemas.openxmlformats.org/officeDocument/2006/custom-properties" xmlns:vt="http://schemas.openxmlformats.org/officeDocument/2006/docPropsVTypes"/>
</file>