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1F4E79" w:val="clear"/>
            <w:tcMar>
              <w:top w:type="dxa" w:w="600"/>
              <w:left w:type="dxa" w:w="400"/>
              <w:bottom w:type="dxa" w:w="600"/>
              <w:right w:type="dxa" w:w="400"/>
            </w:tcMar>
          </w:tcPr>
          <w:p>
            <w:pPr>
              <w:spacing w:before="400"/>
              <w:jc w:val="center"/>
            </w:pPr>
            <w:r>
              <w:rPr>
                <w:rFonts w:ascii="Arial" w:cs="Arial" w:eastAsia="Arial" w:hAnsi="Arial"/>
                <w:b/>
                <w:bCs/>
                <w:color w:val="FFFFFF"/>
                <w:sz w:val="28"/>
                <w:szCs w:val="28"/>
              </w:rPr>
              <w:t xml:space="preserve">SMD CONSULTING</w:t>
            </w:r>
          </w:p>
          <w:p>
            <w:pPr>
              <w:spacing w:before="60"/>
              <w:jc w:val="center"/>
            </w:pPr>
            <w:r>
              <w:rPr>
                <w:rFonts w:ascii="Arial" w:cs="Arial" w:eastAsia="Arial" w:hAnsi="Arial"/>
                <w:color w:val="AECDE8"/>
                <w:sz w:val="22"/>
                <w:szCs w:val="22"/>
              </w:rPr>
              <w:t xml:space="preserve">Superviseur IA Comptable</w:t>
            </w:r>
          </w:p>
          <w:p>
            <w:pPr>
              <w:spacing w:after="60" w:before="60"/>
            </w:pPr>
            <w:r>
              <w:t xml:space="preserve"/>
            </w:r>
          </w:p>
          <w:p>
            <w:pPr>
              <w:spacing w:after="60" w:before="60"/>
            </w:pPr>
            <w:r>
              <w:t xml:space="preserve"/>
            </w:r>
          </w:p>
          <w:p>
            <w:pPr>
              <w:spacing w:before="200"/>
              <w:jc w:val="center"/>
            </w:pPr>
            <w:r>
              <w:rPr>
                <w:rFonts w:ascii="Arial" w:cs="Arial" w:eastAsia="Arial" w:hAnsi="Arial"/>
                <w:sz w:val="56"/>
                <w:szCs w:val="56"/>
              </w:rPr>
              <w:t xml:space="preserve">📊💹🧾📈</w:t>
            </w:r>
          </w:p>
          <w:p>
            <w:pPr>
              <w:spacing w:before="200"/>
              <w:jc w:val="center"/>
            </w:pPr>
            <w:r>
              <w:rPr>
                <w:rFonts w:ascii="Arial" w:cs="Arial" w:eastAsia="Arial" w:hAnsi="Arial"/>
                <w:b/>
                <w:bCs/>
                <w:color w:val="FFFFFF"/>
                <w:sz w:val="48"/>
                <w:szCs w:val="48"/>
              </w:rPr>
              <w:t xml:space="preserve">GUIDE UTILISATEUR</w:t>
            </w:r>
          </w:p>
          <w:p>
            <w:pPr>
              <w:spacing w:before="80"/>
              <w:jc w:val="center"/>
            </w:pPr>
            <w:r>
              <w:rPr>
                <w:rFonts w:ascii="Arial" w:cs="Arial" w:eastAsia="Arial" w:hAnsi="Arial"/>
                <w:b/>
                <w:bCs/>
                <w:color w:val="AECDE8"/>
                <w:sz w:val="34"/>
                <w:szCs w:val="34"/>
              </w:rPr>
              <w:t xml:space="preserve">4 Modules Financiers</w:t>
            </w:r>
          </w:p>
          <w:p>
            <w:pPr>
              <w:spacing w:before="80"/>
              <w:jc w:val="center"/>
            </w:pPr>
            <w:r>
              <w:rPr>
                <w:rFonts w:ascii="Arial" w:cs="Arial" w:eastAsia="Arial" w:hAnsi="Arial"/>
                <w:i/>
                <w:iCs/>
                <w:color w:val="AECDE8"/>
                <w:sz w:val="22"/>
                <w:szCs w:val="22"/>
              </w:rPr>
              <w:t xml:space="preserve">Plan de Financement  ·  TFT  ·  Comparatif N/N-1  ·  Aide TVA</w:t>
            </w:r>
          </w:p>
          <w:p>
            <w:pPr>
              <w:spacing w:after="60" w:before="60"/>
            </w:pPr>
            <w:r>
              <w:t xml:space="preserve"/>
            </w:r>
          </w:p>
          <w:p>
            <w:pPr>
              <w:spacing w:after="60" w:before="60"/>
            </w:pPr>
            <w:r>
              <w:t xml:space="preserve"/>
            </w:r>
          </w:p>
          <w:p>
            <w:pPr>
              <w:spacing w:before="300"/>
              <w:jc w:val="center"/>
            </w:pPr>
            <w:r>
              <w:rPr>
                <w:rFonts w:ascii="Arial" w:cs="Arial" w:eastAsia="Arial" w:hAnsi="Arial"/>
                <w:color w:val="AECDE8"/>
                <w:sz w:val="18"/>
                <w:szCs w:val="18"/>
              </w:rPr>
              <w:t xml:space="preserve">Version 1.0 — Mai 2026</w:t>
            </w:r>
          </w:p>
        </w:tc>
      </w:tr>
    </w:tbl>
    <w:p>
      <w:r>
        <w:br w:type="page"/>
      </w:r>
    </w:p>
    <w:p>
      <w:pPr>
        <w:pStyle w:val="Heading1"/>
      </w:pPr>
      <w:r>
        <w:rPr>
          <w:rFonts w:ascii="Arial" w:cs="Arial" w:eastAsia="Arial" w:hAnsi="Arial"/>
          <w:b/>
          <w:bCs/>
          <w:color w:val="1F4E79"/>
          <w:sz w:val="36"/>
          <w:szCs w:val="36"/>
        </w:rPr>
        <w:t xml:space="preserve">Sommaire</w:t>
      </w:r>
    </w:p>
    <w:p>
      <w:pPr>
        <w:spacing w:after="60" w:before="60"/>
      </w:pPr>
      <w:r>
        <w:t xml:space="preserve"/>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3238"/>
        <w:gridCol w:w="100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2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Public cible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Plan de Financement PCG</w:t>
            </w:r>
          </w:p>
        </w:tc>
        <w:tc>
          <w:tcPr>
            <w:tcW w:type="dxa" w:w="3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Dirigeants, DAF, Experts-Comptables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TFT — Tableau de Flux de Trésorerie</w:t>
            </w:r>
          </w:p>
        </w:tc>
        <w:tc>
          <w:tcPr>
            <w:tcW w:type="dxa" w:w="3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DAF, Contrôleurs de Gestion, Cabinets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Comparatif N vs N-1</w:t>
            </w:r>
          </w:p>
        </w:tc>
        <w:tc>
          <w:tcPr>
            <w:tcW w:type="dxa" w:w="32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Cabinets d’audit, DAF, Dirigeants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Aide Déclaration TVA CA3/CA12</w:t>
            </w:r>
          </w:p>
        </w:tc>
        <w:tc>
          <w:tcPr>
            <w:tcW w:type="dxa" w:w="32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Comptables, Cabinets, Gestionnaires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3"/>
              <w:left w:val="single" w:color="1F4E79" w:sz="12"/>
              <w:bottom w:val="single" w:color="1F4E79" w:sz="3"/>
              <w:right w:val="single" w:color="CCCCCC" w:sz="1"/>
            </w:tcBorders>
            <w:shd w:fill="D5E8F0" w:val="clear"/>
            <w:tcMar>
              <w:top w:type="dxa" w:w="120"/>
              <w:left w:type="dxa" w:w="200"/>
              <w:bottom w:type="dxa" w:w="120"/>
              <w:right w:type="dxa" w:w="120"/>
            </w:tcMar>
          </w:tcPr>
          <w:p>
            <w:pPr>
              <w:spacing w:after="60" w:before="80"/>
            </w:pPr>
            <w:r>
              <w:rPr>
                <w:rFonts w:ascii="Arial" w:cs="Arial" w:eastAsia="Arial" w:hAnsi="Arial"/>
                <w:b/>
                <w:bCs/>
                <w:color w:val="1F4E79"/>
                <w:sz w:val="22"/>
                <w:szCs w:val="22"/>
              </w:rPr>
              <w:t xml:space="preserve">💡  À propos de ce guide</w:t>
            </w:r>
          </w:p>
          <w:p>
            <w:pPr>
              <w:pStyle w:val="ListParagraph"/>
              <w:numPr>
                <w:ilvl w:val="0"/>
                <w:numId w:val="2"/>
              </w:numPr>
              <w:spacing w:after="40" w:before="40"/>
            </w:pPr>
            <w:r>
              <w:rPr>
                <w:rFonts w:ascii="Arial" w:cs="Arial" w:eastAsia="Arial" w:hAnsi="Arial"/>
                <w:sz w:val="21"/>
                <w:szCs w:val="21"/>
              </w:rPr>
              <w:t xml:space="preserve">Ce document présente les 4 modules financiers intégrés à l’application Superviseur IA Comptable.</w:t>
            </w:r>
          </w:p>
          <w:p>
            <w:pPr>
              <w:pStyle w:val="ListParagraph"/>
              <w:numPr>
                <w:ilvl w:val="0"/>
                <w:numId w:val="2"/>
              </w:numPr>
              <w:spacing w:after="40" w:before="40"/>
            </w:pPr>
            <w:r>
              <w:rPr>
                <w:rFonts w:ascii="Arial" w:cs="Arial" w:eastAsia="Arial" w:hAnsi="Arial"/>
                <w:sz w:val="21"/>
                <w:szCs w:val="21"/>
              </w:rPr>
              <w:t xml:space="preserve">Chaque module suit le Plan Comptable Général (PCG) France et les normes ANC/CRC 99-02.</w:t>
            </w:r>
          </w:p>
          <w:p>
            <w:pPr>
              <w:pStyle w:val="ListParagraph"/>
              <w:numPr>
                <w:ilvl w:val="0"/>
                <w:numId w:val="2"/>
              </w:numPr>
              <w:spacing w:after="40" w:before="40"/>
            </w:pPr>
            <w:r>
              <w:rPr>
                <w:rFonts w:ascii="Arial" w:cs="Arial" w:eastAsia="Arial" w:hAnsi="Arial"/>
                <w:sz w:val="21"/>
                <w:szCs w:val="21"/>
              </w:rPr>
              <w:t xml:space="preserve">Les données restent confidentielles : aucun traitement serveur, tout est calculé en local.</w:t>
            </w:r>
          </w:p>
          <w:p>
            <w:pPr>
              <w:pStyle w:val="ListParagraph"/>
              <w:numPr>
                <w:ilvl w:val="0"/>
                <w:numId w:val="2"/>
              </w:numPr>
              <w:spacing w:after="40" w:before="40"/>
            </w:pPr>
            <w:r>
              <w:rPr>
                <w:rFonts w:ascii="Arial" w:cs="Arial" w:eastAsia="Arial" w:hAnsi="Arial"/>
                <w:sz w:val="21"/>
                <w:szCs w:val="21"/>
              </w:rPr>
              <w:t xml:space="preserve">Un accès internet est requis pour les analyses assistées par IA (Mistral AI).</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1F4E79" w:val="clear"/>
            <w:tcMar>
              <w:top w:type="dxa" w:w="160"/>
              <w:left w:type="dxa" w:w="240"/>
              <w:bottom w:type="dxa" w:w="160"/>
              <w:right w:type="dxa" w:w="240"/>
            </w:tcMar>
          </w:tcPr>
          <w:p>
            <w:pPr>
              <w:jc w:val="left"/>
            </w:pPr>
            <w:r>
              <w:rPr>
                <w:rFonts w:ascii="Arial" w:cs="Arial" w:eastAsia="Arial" w:hAnsi="Arial"/>
                <w:b/>
                <w:bCs/>
                <w:color w:val="FFFFFF"/>
                <w:sz w:val="36"/>
                <w:szCs w:val="36"/>
              </w:rPr>
              <w:t xml:space="preserve">📄  Module 1 — Plan de Financement PCG</w:t>
            </w:r>
          </w:p>
          <w:p>
            <w:pPr>
              <w:spacing w:before="60"/>
              <w:jc w:val="left"/>
            </w:pPr>
            <w:r>
              <w:rPr>
                <w:rFonts w:ascii="Arial" w:cs="Arial" w:eastAsia="Arial" w:hAnsi="Arial"/>
                <w:i/>
                <w:iCs/>
                <w:color w:val="FFFFFF"/>
                <w:sz w:val="22"/>
                <w:szCs w:val="22"/>
              </w:rPr>
              <w:t xml:space="preserve">Projeter les ressources et emplois sur 1 à 5 ans selon le PCG France</w:t>
            </w:r>
          </w:p>
        </w:tc>
      </w:tr>
    </w:tbl>
    <w:p>
      <w:pPr>
        <w:spacing w:after="60" w:before="60"/>
      </w:pPr>
      <w:r>
        <w:t xml:space="preserve"/>
      </w:r>
    </w:p>
    <w:p>
      <w:pPr>
        <w:pStyle w:val="Heading2"/>
        <w:spacing w:after="140" w:before="280"/>
      </w:pPr>
      <w:r>
        <w:rPr>
          <w:rFonts w:ascii="Arial" w:cs="Arial" w:eastAsia="Arial" w:hAnsi="Arial"/>
          <w:b/>
          <w:bCs/>
          <w:color w:val="1F4E79"/>
          <w:sz w:val="28"/>
          <w:szCs w:val="28"/>
        </w:rPr>
        <w:t xml:space="preserve">Qu’est-ce que le Plan de Financement ?</w:t>
      </w:r>
    </w:p>
    <w:p>
      <w:pPr>
        <w:spacing w:after="80" w:before="80"/>
      </w:pPr>
      <w:r>
        <w:rPr>
          <w:rFonts w:ascii="Arial" w:cs="Arial" w:eastAsia="Arial" w:hAnsi="Arial"/>
          <w:sz w:val="22"/>
          <w:szCs w:val="22"/>
        </w:rPr>
        <w:t xml:space="preserve">Le Plan de Financement est un tableau prévisionnel qui confronte les Ressources (ce que l’entreprise encaissera ou mobilisera) aux Emplois (ce qu’elle dépensera) sur une période de 1 à 5 exercices. C’est un outil clé de la gestion financière prévisionnelle, exigé par les banquiers et investisseurs.</w:t>
      </w:r>
    </w:p>
    <w:p>
      <w:pPr>
        <w:spacing w:after="60" w:before="60"/>
      </w:pPr>
      <w:r>
        <w:t xml:space="preserve"/>
      </w:r>
    </w:p>
    <w:p>
      <w:pPr>
        <w:pStyle w:val="Heading2"/>
        <w:spacing w:after="140" w:before="280"/>
      </w:pPr>
      <w:r>
        <w:rPr>
          <w:rFonts w:ascii="Arial" w:cs="Arial" w:eastAsia="Arial" w:hAnsi="Arial"/>
          <w:b/>
          <w:bCs/>
          <w:color w:val="1F4E79"/>
          <w:sz w:val="28"/>
          <w:szCs w:val="28"/>
        </w:rPr>
        <w:t xml:space="preserve">Public cible</w:t>
      </w:r>
    </w:p>
    <w:p>
      <w:pPr>
        <w:pStyle w:val="ListParagraph"/>
        <w:numPr>
          <w:ilvl w:val="0"/>
          <w:numId w:val="2"/>
        </w:numPr>
        <w:spacing w:after="60" w:before="60"/>
      </w:pPr>
      <w:r>
        <w:rPr>
          <w:rFonts w:ascii="Arial" w:cs="Arial" w:eastAsia="Arial" w:hAnsi="Arial"/>
          <w:sz w:val="22"/>
          <w:szCs w:val="22"/>
        </w:rPr>
        <w:t xml:space="preserve">Dirigeants et créateurs d’entreprise (présentation bancaire)</w:t>
      </w:r>
    </w:p>
    <w:p>
      <w:pPr>
        <w:pStyle w:val="ListParagraph"/>
        <w:numPr>
          <w:ilvl w:val="0"/>
          <w:numId w:val="2"/>
        </w:numPr>
        <w:spacing w:after="60" w:before="60"/>
      </w:pPr>
      <w:r>
        <w:rPr>
          <w:rFonts w:ascii="Arial" w:cs="Arial" w:eastAsia="Arial" w:hAnsi="Arial"/>
          <w:sz w:val="22"/>
          <w:szCs w:val="22"/>
        </w:rPr>
        <w:t xml:space="preserve">Directeurs Administratifs et Financiers (DAF)</w:t>
      </w:r>
    </w:p>
    <w:p>
      <w:pPr>
        <w:pStyle w:val="ListParagraph"/>
        <w:numPr>
          <w:ilvl w:val="0"/>
          <w:numId w:val="2"/>
        </w:numPr>
        <w:spacing w:after="60" w:before="60"/>
      </w:pPr>
      <w:r>
        <w:rPr>
          <w:rFonts w:ascii="Arial" w:cs="Arial" w:eastAsia="Arial" w:hAnsi="Arial"/>
          <w:sz w:val="22"/>
          <w:szCs w:val="22"/>
        </w:rPr>
        <w:t xml:space="preserve">Experts-Comptables et Commissaires aux Comptes</w:t>
      </w:r>
    </w:p>
    <w:p>
      <w:pPr>
        <w:pStyle w:val="ListParagraph"/>
        <w:numPr>
          <w:ilvl w:val="0"/>
          <w:numId w:val="2"/>
        </w:numPr>
        <w:spacing w:after="60" w:before="60"/>
      </w:pPr>
      <w:r>
        <w:rPr>
          <w:rFonts w:ascii="Arial" w:cs="Arial" w:eastAsia="Arial" w:hAnsi="Arial"/>
          <w:sz w:val="22"/>
          <w:szCs w:val="22"/>
        </w:rPr>
        <w:t xml:space="preserve">Consultants en stratégie financière</w:t>
      </w:r>
    </w:p>
    <w:p>
      <w:pPr>
        <w:spacing w:after="60" w:before="60"/>
      </w:pPr>
      <w:r>
        <w:t xml:space="preserve"/>
      </w:r>
    </w:p>
    <w:p>
      <w:pPr>
        <w:pStyle w:val="Heading2"/>
        <w:spacing w:after="140" w:before="280"/>
      </w:pPr>
      <w:r>
        <w:rPr>
          <w:rFonts w:ascii="Arial" w:cs="Arial" w:eastAsia="Arial" w:hAnsi="Arial"/>
          <w:b/>
          <w:bCs/>
          <w:color w:val="1F4E79"/>
          <w:sz w:val="28"/>
          <w:szCs w:val="28"/>
        </w:rPr>
        <w:t xml:space="preserve">Comment utiliser ce module ?</w:t>
      </w:r>
    </w:p>
    <w:p>
      <w:pPr>
        <w:pStyle w:val="Heading3"/>
        <w:spacing w:after="100" w:before="200"/>
      </w:pPr>
      <w:r>
        <w:rPr>
          <w:rFonts w:ascii="Arial" w:cs="Arial" w:eastAsia="Arial" w:hAnsi="Arial"/>
          <w:b/>
          <w:bCs/>
          <w:color w:val="1A5C38"/>
          <w:sz w:val="24"/>
          <w:szCs w:val="24"/>
        </w:rPr>
        <w:t xml:space="preserve">Étape 1 — Paramétrage</w:t>
      </w:r>
    </w:p>
    <w:p>
      <w:pPr>
        <w:pStyle w:val="ListParagraph"/>
        <w:numPr>
          <w:ilvl w:val="0"/>
          <w:numId w:val="2"/>
        </w:numPr>
        <w:spacing w:after="60" w:before="60"/>
      </w:pPr>
      <w:r>
        <w:rPr>
          <w:rFonts w:ascii="Arial" w:cs="Arial" w:eastAsia="Arial" w:hAnsi="Arial"/>
          <w:sz w:val="22"/>
          <w:szCs w:val="22"/>
        </w:rPr>
        <w:t xml:space="preserve">Indiquez le nom de l’entreprise et choisissez le nombre d’années de projection (1 à 5)</w:t>
      </w:r>
    </w:p>
    <w:p>
      <w:pPr>
        <w:pStyle w:val="ListParagraph"/>
        <w:numPr>
          <w:ilvl w:val="0"/>
          <w:numId w:val="2"/>
        </w:numPr>
        <w:spacing w:after="60" w:before="60"/>
      </w:pPr>
      <w:r>
        <w:rPr>
          <w:rFonts w:ascii="Arial" w:cs="Arial" w:eastAsia="Arial" w:hAnsi="Arial"/>
          <w:sz w:val="22"/>
          <w:szCs w:val="22"/>
        </w:rPr>
        <w:t xml:space="preserve">Choisissez les années de début dans le paramètre dédié</w:t>
      </w:r>
    </w:p>
    <w:p>
      <w:pPr>
        <w:spacing w:after="60" w:before="60"/>
      </w:pPr>
      <w:r>
        <w:t xml:space="preserve"/>
      </w:r>
    </w:p>
    <w:p>
      <w:pPr>
        <w:pStyle w:val="Heading3"/>
        <w:spacing w:after="100" w:before="200"/>
      </w:pPr>
      <w:r>
        <w:rPr>
          <w:rFonts w:ascii="Arial" w:cs="Arial" w:eastAsia="Arial" w:hAnsi="Arial"/>
          <w:b/>
          <w:bCs/>
          <w:color w:val="1A5C38"/>
          <w:sz w:val="24"/>
          <w:szCs w:val="24"/>
        </w:rPr>
        <w:t xml:space="preserve">Étape 2 — Saisie des données</w:t>
      </w:r>
    </w:p>
    <w:p>
      <w:pPr>
        <w:pStyle w:val="ListParagraph"/>
        <w:numPr>
          <w:ilvl w:val="0"/>
          <w:numId w:val="2"/>
        </w:numPr>
        <w:spacing w:after="60" w:before="60"/>
      </w:pPr>
      <w:r>
        <w:rPr>
          <w:rFonts w:ascii="Arial" w:cs="Arial" w:eastAsia="Arial" w:hAnsi="Arial"/>
          <w:sz w:val="22"/>
          <w:szCs w:val="22"/>
        </w:rPr>
        <w:t xml:space="preserve">RESSOURCES : CAF (Capacité d’Autofinancement), apports en capital, emprunts nouveaux, cessions d’actifs, subventions</w:t>
      </w:r>
    </w:p>
    <w:p>
      <w:pPr>
        <w:pStyle w:val="ListParagraph"/>
        <w:numPr>
          <w:ilvl w:val="0"/>
          <w:numId w:val="2"/>
        </w:numPr>
        <w:spacing w:after="60" w:before="60"/>
      </w:pPr>
      <w:r>
        <w:rPr>
          <w:rFonts w:ascii="Arial" w:cs="Arial" w:eastAsia="Arial" w:hAnsi="Arial"/>
          <w:sz w:val="22"/>
          <w:szCs w:val="22"/>
        </w:rPr>
        <w:t xml:space="preserve">EMPLOIS : investissements, remboursements d’emprunts, dividendes, augmentation du BFR</w:t>
      </w:r>
    </w:p>
    <w:p>
      <w:pPr>
        <w:pStyle w:val="ListParagraph"/>
        <w:numPr>
          <w:ilvl w:val="0"/>
          <w:numId w:val="2"/>
        </w:numPr>
        <w:spacing w:after="60" w:before="60"/>
      </w:pPr>
      <w:r>
        <w:rPr>
          <w:rFonts w:ascii="Arial" w:cs="Arial" w:eastAsia="Arial" w:hAnsi="Arial"/>
          <w:sz w:val="22"/>
          <w:szCs w:val="22"/>
        </w:rPr>
        <w:t xml:space="preserve">Possibilité d’importer automatiquement la CAF et le BFR depuis une balance comptable (CSV / Excel)</w:t>
      </w:r>
    </w:p>
    <w:p>
      <w:pPr>
        <w:spacing w:after="60" w:before="60"/>
      </w:pPr>
      <w:r>
        <w:t xml:space="preserve"/>
      </w:r>
    </w:p>
    <w:p>
      <w:pPr>
        <w:pStyle w:val="Heading3"/>
        <w:spacing w:after="100" w:before="200"/>
      </w:pPr>
      <w:r>
        <w:rPr>
          <w:rFonts w:ascii="Arial" w:cs="Arial" w:eastAsia="Arial" w:hAnsi="Arial"/>
          <w:b/>
          <w:bCs/>
          <w:color w:val="1A5C38"/>
          <w:sz w:val="24"/>
          <w:szCs w:val="24"/>
        </w:rPr>
        <w:t xml:space="preserve">Étape 3 — Analyse et export</w:t>
      </w:r>
    </w:p>
    <w:p>
      <w:pPr>
        <w:pStyle w:val="ListParagraph"/>
        <w:numPr>
          <w:ilvl w:val="0"/>
          <w:numId w:val="2"/>
        </w:numPr>
        <w:spacing w:after="60" w:before="60"/>
      </w:pPr>
      <w:r>
        <w:rPr>
          <w:rFonts w:ascii="Arial" w:cs="Arial" w:eastAsia="Arial" w:hAnsi="Arial"/>
          <w:sz w:val="22"/>
          <w:szCs w:val="22"/>
        </w:rPr>
        <w:t xml:space="preserve">Le module calcule le Solde annuel (Ressources - Emplois) et le cumul pluriannuel</w:t>
      </w:r>
    </w:p>
    <w:p>
      <w:pPr>
        <w:pStyle w:val="ListParagraph"/>
        <w:numPr>
          <w:ilvl w:val="0"/>
          <w:numId w:val="2"/>
        </w:numPr>
        <w:spacing w:after="60" w:before="60"/>
      </w:pPr>
      <w:r>
        <w:rPr>
          <w:rFonts w:ascii="Arial" w:cs="Arial" w:eastAsia="Arial" w:hAnsi="Arial"/>
          <w:sz w:val="22"/>
          <w:szCs w:val="22"/>
        </w:rPr>
        <w:t xml:space="preserve">Un graphique interactif visualise l’équilibre année par année</w:t>
      </w:r>
    </w:p>
    <w:p>
      <w:pPr>
        <w:pStyle w:val="ListParagraph"/>
        <w:numPr>
          <w:ilvl w:val="0"/>
          <w:numId w:val="2"/>
        </w:numPr>
        <w:spacing w:after="60" w:before="60"/>
      </w:pPr>
      <w:r>
        <w:rPr>
          <w:rFonts w:ascii="Arial" w:cs="Arial" w:eastAsia="Arial" w:hAnsi="Arial"/>
          <w:sz w:val="22"/>
          <w:szCs w:val="22"/>
        </w:rPr>
        <w:t xml:space="preserve">L’IA génère une analyse textuelle des points clés et des risques</w:t>
      </w:r>
    </w:p>
    <w:p>
      <w:pPr>
        <w:pStyle w:val="ListParagraph"/>
        <w:numPr>
          <w:ilvl w:val="0"/>
          <w:numId w:val="2"/>
        </w:numPr>
        <w:spacing w:after="60" w:before="60"/>
      </w:pPr>
      <w:r>
        <w:rPr>
          <w:rFonts w:ascii="Arial" w:cs="Arial" w:eastAsia="Arial" w:hAnsi="Arial"/>
          <w:sz w:val="22"/>
          <w:szCs w:val="22"/>
        </w:rPr>
        <w:t xml:space="preserve">Export Excel 3 feuilles : Ressources, Emplois, Synthèse</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A5C38" w:sz="3"/>
              <w:left w:val="single" w:color="1A5C38" w:sz="12"/>
              <w:bottom w:val="single" w:color="1A5C38" w:sz="3"/>
              <w:right w:val="single" w:color="CCCCCC" w:sz="1"/>
            </w:tcBorders>
            <w:shd w:fill="D9EAD3" w:val="clear"/>
            <w:tcMar>
              <w:top w:type="dxa" w:w="120"/>
              <w:left w:type="dxa" w:w="200"/>
              <w:bottom w:type="dxa" w:w="120"/>
              <w:right w:type="dxa" w:w="120"/>
            </w:tcMar>
          </w:tcPr>
          <w:p>
            <w:pPr>
              <w:spacing w:after="60" w:before="80"/>
            </w:pPr>
            <w:r>
              <w:rPr>
                <w:rFonts w:ascii="Arial" w:cs="Arial" w:eastAsia="Arial" w:hAnsi="Arial"/>
                <w:b/>
                <w:bCs/>
                <w:color w:val="1A5C38"/>
                <w:sz w:val="22"/>
                <w:szCs w:val="22"/>
              </w:rPr>
              <w:t xml:space="preserve">📋  Rubriques RESSOURCES couvertes (PCG)</w:t>
            </w:r>
          </w:p>
          <w:p>
            <w:pPr>
              <w:pStyle w:val="ListParagraph"/>
              <w:numPr>
                <w:ilvl w:val="0"/>
                <w:numId w:val="2"/>
              </w:numPr>
              <w:spacing w:after="40" w:before="40"/>
            </w:pPr>
            <w:r>
              <w:rPr>
                <w:rFonts w:ascii="Arial" w:cs="Arial" w:eastAsia="Arial" w:hAnsi="Arial"/>
                <w:sz w:val="21"/>
                <w:szCs w:val="21"/>
              </w:rPr>
              <w:t xml:space="preserve">CAF (Capacité d’Autofinancement)</w:t>
            </w:r>
          </w:p>
          <w:p>
            <w:pPr>
              <w:pStyle w:val="ListParagraph"/>
              <w:numPr>
                <w:ilvl w:val="0"/>
                <w:numId w:val="2"/>
              </w:numPr>
              <w:spacing w:after="40" w:before="40"/>
            </w:pPr>
            <w:r>
              <w:rPr>
                <w:rFonts w:ascii="Arial" w:cs="Arial" w:eastAsia="Arial" w:hAnsi="Arial"/>
                <w:sz w:val="21"/>
                <w:szCs w:val="21"/>
              </w:rPr>
              <w:t xml:space="preserve">Augmentations de capital / apports associs</w:t>
            </w:r>
          </w:p>
          <w:p>
            <w:pPr>
              <w:pStyle w:val="ListParagraph"/>
              <w:numPr>
                <w:ilvl w:val="0"/>
                <w:numId w:val="2"/>
              </w:numPr>
              <w:spacing w:after="40" w:before="40"/>
            </w:pPr>
            <w:r>
              <w:rPr>
                <w:rFonts w:ascii="Arial" w:cs="Arial" w:eastAsia="Arial" w:hAnsi="Arial"/>
                <w:sz w:val="21"/>
                <w:szCs w:val="21"/>
              </w:rPr>
              <w:t xml:space="preserve">Nouveaux emprunts à long terme (16x)</w:t>
            </w:r>
          </w:p>
          <w:p>
            <w:pPr>
              <w:pStyle w:val="ListParagraph"/>
              <w:numPr>
                <w:ilvl w:val="0"/>
                <w:numId w:val="2"/>
              </w:numPr>
              <w:spacing w:after="40" w:before="40"/>
            </w:pPr>
            <w:r>
              <w:rPr>
                <w:rFonts w:ascii="Arial" w:cs="Arial" w:eastAsia="Arial" w:hAnsi="Arial"/>
                <w:sz w:val="21"/>
                <w:szCs w:val="21"/>
              </w:rPr>
              <w:t xml:space="preserve">Cessions d’immobilisations (775)</w:t>
            </w:r>
          </w:p>
          <w:p>
            <w:pPr>
              <w:pStyle w:val="ListParagraph"/>
              <w:numPr>
                <w:ilvl w:val="0"/>
                <w:numId w:val="2"/>
              </w:numPr>
              <w:spacing w:after="40" w:before="40"/>
            </w:pPr>
            <w:r>
              <w:rPr>
                <w:rFonts w:ascii="Arial" w:cs="Arial" w:eastAsia="Arial" w:hAnsi="Arial"/>
                <w:sz w:val="21"/>
                <w:szCs w:val="21"/>
              </w:rPr>
              <w:t xml:space="preserve">Subventions d’investissement (13x / 74x)</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22B21" w:sz="3"/>
              <w:left w:val="single" w:color="922B21" w:sz="12"/>
              <w:bottom w:val="single" w:color="922B21" w:sz="3"/>
              <w:right w:val="single" w:color="CCCCCC" w:sz="1"/>
            </w:tcBorders>
            <w:shd w:fill="FADBD8" w:val="clear"/>
            <w:tcMar>
              <w:top w:type="dxa" w:w="120"/>
              <w:left w:type="dxa" w:w="200"/>
              <w:bottom w:type="dxa" w:w="120"/>
              <w:right w:type="dxa" w:w="120"/>
            </w:tcMar>
          </w:tcPr>
          <w:p>
            <w:pPr>
              <w:spacing w:after="60" w:before="80"/>
            </w:pPr>
            <w:r>
              <w:rPr>
                <w:rFonts w:ascii="Arial" w:cs="Arial" w:eastAsia="Arial" w:hAnsi="Arial"/>
                <w:b/>
                <w:bCs/>
                <w:color w:val="922B21"/>
                <w:sz w:val="22"/>
                <w:szCs w:val="22"/>
              </w:rPr>
              <w:t xml:space="preserve">📋  Rubriques EMPLOIS couvertes (PCG)</w:t>
            </w:r>
          </w:p>
          <w:p>
            <w:pPr>
              <w:pStyle w:val="ListParagraph"/>
              <w:numPr>
                <w:ilvl w:val="0"/>
                <w:numId w:val="2"/>
              </w:numPr>
              <w:spacing w:after="40" w:before="40"/>
            </w:pPr>
            <w:r>
              <w:rPr>
                <w:rFonts w:ascii="Arial" w:cs="Arial" w:eastAsia="Arial" w:hAnsi="Arial"/>
                <w:sz w:val="21"/>
                <w:szCs w:val="21"/>
              </w:rPr>
              <w:t xml:space="preserve">Investissements (acquisitions d’immobilisations 2xx)</w:t>
            </w:r>
          </w:p>
          <w:p>
            <w:pPr>
              <w:pStyle w:val="ListParagraph"/>
              <w:numPr>
                <w:ilvl w:val="0"/>
                <w:numId w:val="2"/>
              </w:numPr>
              <w:spacing w:after="40" w:before="40"/>
            </w:pPr>
            <w:r>
              <w:rPr>
                <w:rFonts w:ascii="Arial" w:cs="Arial" w:eastAsia="Arial" w:hAnsi="Arial"/>
                <w:sz w:val="21"/>
                <w:szCs w:val="21"/>
              </w:rPr>
              <w:t xml:space="preserve">Remboursements d’emprunts (16x)</w:t>
            </w:r>
          </w:p>
          <w:p>
            <w:pPr>
              <w:pStyle w:val="ListParagraph"/>
              <w:numPr>
                <w:ilvl w:val="0"/>
                <w:numId w:val="2"/>
              </w:numPr>
              <w:spacing w:after="40" w:before="40"/>
            </w:pPr>
            <w:r>
              <w:rPr>
                <w:rFonts w:ascii="Arial" w:cs="Arial" w:eastAsia="Arial" w:hAnsi="Arial"/>
                <w:sz w:val="21"/>
                <w:szCs w:val="21"/>
              </w:rPr>
              <w:t xml:space="preserve">Distribution de dividendes (457)</w:t>
            </w:r>
          </w:p>
          <w:p>
            <w:pPr>
              <w:pStyle w:val="ListParagraph"/>
              <w:numPr>
                <w:ilvl w:val="0"/>
                <w:numId w:val="2"/>
              </w:numPr>
              <w:spacing w:after="40" w:before="40"/>
            </w:pPr>
            <w:r>
              <w:rPr>
                <w:rFonts w:ascii="Arial" w:cs="Arial" w:eastAsia="Arial" w:hAnsi="Arial"/>
                <w:sz w:val="21"/>
                <w:szCs w:val="21"/>
              </w:rPr>
              <w:t xml:space="preserve">Augmentation du BFR (Besoin en Fonds de Roulement)</w:t>
            </w:r>
          </w:p>
          <w:p>
            <w:pPr>
              <w:pStyle w:val="ListParagraph"/>
              <w:numPr>
                <w:ilvl w:val="0"/>
                <w:numId w:val="2"/>
              </w:numPr>
              <w:spacing w:after="40" w:before="40"/>
            </w:pPr>
            <w:r>
              <w:rPr>
                <w:rFonts w:ascii="Arial" w:cs="Arial" w:eastAsia="Arial" w:hAnsi="Arial"/>
                <w:sz w:val="21"/>
                <w:szCs w:val="21"/>
              </w:rPr>
              <w:t xml:space="preserve">Remboursement de comptes courants d’associés</w:t>
            </w:r>
          </w:p>
        </w:tc>
      </w:tr>
    </w:tbl>
    <w:p>
      <w:pPr>
        <w:spacing w:after="60" w:before="60"/>
      </w:pPr>
      <w:r>
        <w:t xml:space="preserve"/>
      </w:r>
    </w:p>
    <w:p>
      <w:pPr>
        <w:pStyle w:val="Heading2"/>
        <w:spacing w:after="140" w:before="280"/>
      </w:pPr>
      <w:r>
        <w:rPr>
          <w:rFonts w:ascii="Arial" w:cs="Arial" w:eastAsia="Arial" w:hAnsi="Arial"/>
          <w:b/>
          <w:bCs/>
          <w:color w:val="1F4E79"/>
          <w:sz w:val="28"/>
          <w:szCs w:val="28"/>
        </w:rPr>
        <w:t xml:space="preserve">Interpréter les résultats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64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Interprétation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Solde annéel &gt; 0</w:t>
            </w:r>
          </w:p>
        </w:tc>
        <w:tc>
          <w:tcPr>
            <w:tcW w:type="dxa" w:w="6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Excédent de ressources — plan équilibré</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Solde annéel &lt; 0</w:t>
            </w:r>
          </w:p>
        </w:tc>
        <w:tc>
          <w:tcPr>
            <w:tcW w:type="dxa" w:w="6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Déficit — financement complémentaire à prévoir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Solde cumulé &lt; 0</w:t>
            </w:r>
          </w:p>
        </w:tc>
        <w:tc>
          <w:tcPr>
            <w:tcW w:type="dxa" w:w="64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Risque de rupture de trésorerie à horizon horizon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CAF &gt; Emprunts</w:t>
            </w:r>
          </w:p>
        </w:tc>
        <w:tc>
          <w:tcPr>
            <w:tcW w:type="dxa" w:w="64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Financement interne solide, indépendance financière</w:t>
            </w:r>
          </w:p>
        </w:tc>
      </w:tr>
    </w:tbl>
    <w:p>
      <w:pPr>
        <w:spacing w:after="60" w:before="60"/>
      </w:pPr>
      <w:r>
        <w:t xml:space="preserve"/>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1A5C38" w:val="clear"/>
            <w:tcMar>
              <w:top w:type="dxa" w:w="160"/>
              <w:left w:type="dxa" w:w="240"/>
              <w:bottom w:type="dxa" w:w="160"/>
              <w:right w:type="dxa" w:w="240"/>
            </w:tcMar>
          </w:tcPr>
          <w:p>
            <w:pPr>
              <w:jc w:val="left"/>
            </w:pPr>
            <w:r>
              <w:rPr>
                <w:rFonts w:ascii="Arial" w:cs="Arial" w:eastAsia="Arial" w:hAnsi="Arial"/>
                <w:b/>
                <w:bCs/>
                <w:color w:val="FFFFFF"/>
                <w:sz w:val="36"/>
                <w:szCs w:val="36"/>
              </w:rPr>
              <w:t xml:space="preserve">💹  Module 2 — TFT Trésorerie (méthode indirecte)</w:t>
            </w:r>
          </w:p>
          <w:p>
            <w:pPr>
              <w:spacing w:before="60"/>
              <w:jc w:val="left"/>
            </w:pPr>
            <w:r>
              <w:rPr>
                <w:rFonts w:ascii="Arial" w:cs="Arial" w:eastAsia="Arial" w:hAnsi="Arial"/>
                <w:i/>
                <w:iCs/>
                <w:color w:val="FFFFFF"/>
                <w:sz w:val="22"/>
                <w:szCs w:val="22"/>
              </w:rPr>
              <w:t xml:space="preserve">Tableau de Flux de Trésorerie conforme ANC/CRC 99-02</w:t>
            </w:r>
          </w:p>
        </w:tc>
      </w:tr>
    </w:tbl>
    <w:p>
      <w:pPr>
        <w:spacing w:after="60" w:before="60"/>
      </w:pPr>
      <w:r>
        <w:t xml:space="preserve"/>
      </w:r>
    </w:p>
    <w:p>
      <w:pPr>
        <w:pStyle w:val="Heading2"/>
        <w:spacing w:after="140" w:before="280"/>
      </w:pPr>
      <w:r>
        <w:rPr>
          <w:rFonts w:ascii="Arial" w:cs="Arial" w:eastAsia="Arial" w:hAnsi="Arial"/>
          <w:b/>
          <w:bCs/>
          <w:color w:val="1F4E79"/>
          <w:sz w:val="28"/>
          <w:szCs w:val="28"/>
        </w:rPr>
        <w:t xml:space="preserve">Qu’est-ce que le TFT ?</w:t>
      </w:r>
    </w:p>
    <w:p>
      <w:pPr>
        <w:spacing w:after="80" w:before="80"/>
      </w:pPr>
      <w:r>
        <w:rPr>
          <w:rFonts w:ascii="Arial" w:cs="Arial" w:eastAsia="Arial" w:hAnsi="Arial"/>
          <w:sz w:val="22"/>
          <w:szCs w:val="22"/>
        </w:rPr>
        <w:t xml:space="preserve">Le Tableau de Flux de Trésorerie (TFT) retrace l’origine et l’affectation des flux de liquidités sur un exercice. Il répond à la question : « Pourquoi la trésorerie a-t-elle varié ? » en décomposant les flux en 3 sections, conformément à la recommandation ANC/CRC 99-02.</w:t>
      </w:r>
    </w:p>
    <w:p>
      <w:pPr>
        <w:spacing w:after="60" w:before="60"/>
      </w:pPr>
      <w:r>
        <w:t xml:space="preserve"/>
      </w:r>
    </w:p>
    <w:p>
      <w:pPr>
        <w:pStyle w:val="Heading2"/>
        <w:spacing w:after="140" w:before="280"/>
      </w:pPr>
      <w:r>
        <w:rPr>
          <w:rFonts w:ascii="Arial" w:cs="Arial" w:eastAsia="Arial" w:hAnsi="Arial"/>
          <w:b/>
          <w:bCs/>
          <w:color w:val="1F4E79"/>
          <w:sz w:val="28"/>
          <w:szCs w:val="28"/>
        </w:rPr>
        <w:t xml:space="preserve">Public cible</w:t>
      </w:r>
    </w:p>
    <w:p>
      <w:pPr>
        <w:pStyle w:val="ListParagraph"/>
        <w:numPr>
          <w:ilvl w:val="0"/>
          <w:numId w:val="2"/>
        </w:numPr>
        <w:spacing w:after="60" w:before="60"/>
      </w:pPr>
      <w:r>
        <w:rPr>
          <w:rFonts w:ascii="Arial" w:cs="Arial" w:eastAsia="Arial" w:hAnsi="Arial"/>
          <w:sz w:val="22"/>
          <w:szCs w:val="22"/>
        </w:rPr>
        <w:t xml:space="preserve">Directeurs Administratifs et Financiers (DAF)</w:t>
      </w:r>
    </w:p>
    <w:p>
      <w:pPr>
        <w:pStyle w:val="ListParagraph"/>
        <w:numPr>
          <w:ilvl w:val="0"/>
          <w:numId w:val="2"/>
        </w:numPr>
        <w:spacing w:after="60" w:before="60"/>
      </w:pPr>
      <w:r>
        <w:rPr>
          <w:rFonts w:ascii="Arial" w:cs="Arial" w:eastAsia="Arial" w:hAnsi="Arial"/>
          <w:sz w:val="22"/>
          <w:szCs w:val="22"/>
        </w:rPr>
        <w:t xml:space="preserve">Contrôleurs de gestion</w:t>
      </w:r>
    </w:p>
    <w:p>
      <w:pPr>
        <w:pStyle w:val="ListParagraph"/>
        <w:numPr>
          <w:ilvl w:val="0"/>
          <w:numId w:val="2"/>
        </w:numPr>
        <w:spacing w:after="60" w:before="60"/>
      </w:pPr>
      <w:r>
        <w:rPr>
          <w:rFonts w:ascii="Arial" w:cs="Arial" w:eastAsia="Arial" w:hAnsi="Arial"/>
          <w:sz w:val="22"/>
          <w:szCs w:val="22"/>
        </w:rPr>
        <w:t xml:space="preserve">Cabinets d’expertise comptable et commissaires aux comptes</w:t>
      </w:r>
    </w:p>
    <w:p>
      <w:pPr>
        <w:pStyle w:val="ListParagraph"/>
        <w:numPr>
          <w:ilvl w:val="0"/>
          <w:numId w:val="2"/>
        </w:numPr>
        <w:spacing w:after="60" w:before="60"/>
      </w:pPr>
      <w:r>
        <w:rPr>
          <w:rFonts w:ascii="Arial" w:cs="Arial" w:eastAsia="Arial" w:hAnsi="Arial"/>
          <w:sz w:val="22"/>
          <w:szCs w:val="22"/>
        </w:rPr>
        <w:t xml:space="preserve">Analystes financiers et investisseurs</w:t>
      </w:r>
    </w:p>
    <w:p>
      <w:pPr>
        <w:spacing w:after="60" w:before="60"/>
      </w:pPr>
      <w:r>
        <w:t xml:space="preserve"/>
      </w:r>
    </w:p>
    <w:p>
      <w:pPr>
        <w:pStyle w:val="Heading2"/>
        <w:spacing w:after="140" w:before="280"/>
      </w:pPr>
      <w:r>
        <w:rPr>
          <w:rFonts w:ascii="Arial" w:cs="Arial" w:eastAsia="Arial" w:hAnsi="Arial"/>
          <w:b/>
          <w:bCs/>
          <w:color w:val="1F4E79"/>
          <w:sz w:val="28"/>
          <w:szCs w:val="28"/>
        </w:rPr>
        <w:t xml:space="preserve">Structure du TFT — 3 sections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638"/>
        <w:gridCol w:w="26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6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Indicateur clé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Activité</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Résultat net + retraitements (amortissements, variation BFR)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Flux net d’exploitation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Investissement</w:t>
            </w:r>
          </w:p>
        </w:tc>
        <w:tc>
          <w:tcPr>
            <w:tcW w:type="dxa" w:w="4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Acquisitions / cessions d’immobilisations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Flux net d’investissement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Financement</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Emprunts, remboursements, dividendes, augmentations capital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Flux net de financement</w:t>
            </w:r>
          </w:p>
        </w:tc>
      </w:tr>
    </w:tbl>
    <w:p>
      <w:pPr>
        <w:spacing w:after="60" w:before="60"/>
      </w:pPr>
      <w:r>
        <w:t xml:space="preserve"/>
      </w:r>
    </w:p>
    <w:p>
      <w:pPr>
        <w:pStyle w:val="Heading2"/>
        <w:spacing w:after="140" w:before="280"/>
      </w:pPr>
      <w:r>
        <w:rPr>
          <w:rFonts w:ascii="Arial" w:cs="Arial" w:eastAsia="Arial" w:hAnsi="Arial"/>
          <w:b/>
          <w:bCs/>
          <w:color w:val="1F4E79"/>
          <w:sz w:val="28"/>
          <w:szCs w:val="28"/>
        </w:rPr>
        <w:t xml:space="preserve">Comment utiliser ce module ?</w:t>
      </w:r>
    </w:p>
    <w:p>
      <w:pPr>
        <w:pStyle w:val="Heading3"/>
        <w:spacing w:after="100" w:before="200"/>
      </w:pPr>
      <w:r>
        <w:rPr>
          <w:rFonts w:ascii="Arial" w:cs="Arial" w:eastAsia="Arial" w:hAnsi="Arial"/>
          <w:b/>
          <w:bCs/>
          <w:color w:val="1A5C38"/>
          <w:sz w:val="24"/>
          <w:szCs w:val="24"/>
        </w:rPr>
        <w:t xml:space="preserve">Étape 1 — Exercices à analyser</w:t>
      </w:r>
    </w:p>
    <w:p>
      <w:pPr>
        <w:pStyle w:val="ListParagraph"/>
        <w:numPr>
          <w:ilvl w:val="0"/>
          <w:numId w:val="2"/>
        </w:numPr>
        <w:spacing w:after="60" w:before="60"/>
      </w:pPr>
      <w:r>
        <w:rPr>
          <w:rFonts w:ascii="Arial" w:cs="Arial" w:eastAsia="Arial" w:hAnsi="Arial"/>
          <w:sz w:val="22"/>
          <w:szCs w:val="22"/>
        </w:rPr>
        <w:t xml:space="preserve">Choisissez le nombre d’exercices à comparer (1 à 5 années)</w:t>
      </w:r>
    </w:p>
    <w:p>
      <w:pPr>
        <w:pStyle w:val="ListParagraph"/>
        <w:numPr>
          <w:ilvl w:val="0"/>
          <w:numId w:val="2"/>
        </w:numPr>
        <w:spacing w:after="60" w:before="60"/>
      </w:pPr>
      <w:r>
        <w:rPr>
          <w:rFonts w:ascii="Arial" w:cs="Arial" w:eastAsia="Arial" w:hAnsi="Arial"/>
          <w:sz w:val="22"/>
          <w:szCs w:val="22"/>
        </w:rPr>
        <w:t xml:space="preserve">Nommez chaque exercice (ex. : 2023, 2024, 2025)</w:t>
      </w:r>
    </w:p>
    <w:p>
      <w:pPr>
        <w:spacing w:after="60" w:before="60"/>
      </w:pPr>
      <w:r>
        <w:t xml:space="preserve"/>
      </w:r>
    </w:p>
    <w:p>
      <w:pPr>
        <w:pStyle w:val="Heading3"/>
        <w:spacing w:after="100" w:before="200"/>
      </w:pPr>
      <w:r>
        <w:rPr>
          <w:rFonts w:ascii="Arial" w:cs="Arial" w:eastAsia="Arial" w:hAnsi="Arial"/>
          <w:b/>
          <w:bCs/>
          <w:color w:val="1A5C38"/>
          <w:sz w:val="24"/>
          <w:szCs w:val="24"/>
        </w:rPr>
        <w:t xml:space="preserve">Étape 2 — Saisie ou import</w:t>
      </w:r>
    </w:p>
    <w:p>
      <w:pPr>
        <w:pStyle w:val="ListParagraph"/>
        <w:numPr>
          <w:ilvl w:val="0"/>
          <w:numId w:val="2"/>
        </w:numPr>
        <w:spacing w:after="60" w:before="60"/>
      </w:pPr>
      <w:r>
        <w:rPr>
          <w:rFonts w:ascii="Arial" w:cs="Arial" w:eastAsia="Arial" w:hAnsi="Arial"/>
          <w:sz w:val="22"/>
          <w:szCs w:val="22"/>
        </w:rPr>
        <w:t xml:space="preserve">Saisie manuelle des 9 postes du TFT dans le tableau interactif</w:t>
      </w:r>
    </w:p>
    <w:p>
      <w:pPr>
        <w:pStyle w:val="ListParagraph"/>
        <w:numPr>
          <w:ilvl w:val="0"/>
          <w:numId w:val="2"/>
        </w:numPr>
        <w:spacing w:after="60" w:before="60"/>
      </w:pPr>
      <w:r>
        <w:rPr>
          <w:rFonts w:ascii="Arial" w:cs="Arial" w:eastAsia="Arial" w:hAnsi="Arial"/>
          <w:sz w:val="22"/>
          <w:szCs w:val="22"/>
        </w:rPr>
        <w:t xml:space="preserve">Import automatique depuis une balance comptable : le module extrait les comptes 6/7 (résultat), 28 (amortissements), 3/4 (BFR), 2 (investissements), 16 (emprunts)</w:t>
      </w:r>
    </w:p>
    <w:p>
      <w:pPr>
        <w:spacing w:after="60" w:before="60"/>
      </w:pPr>
      <w:r>
        <w:t xml:space="preserve"/>
      </w:r>
    </w:p>
    <w:p>
      <w:pPr>
        <w:pStyle w:val="Heading3"/>
        <w:spacing w:after="100" w:before="200"/>
      </w:pPr>
      <w:r>
        <w:rPr>
          <w:rFonts w:ascii="Arial" w:cs="Arial" w:eastAsia="Arial" w:hAnsi="Arial"/>
          <w:b/>
          <w:bCs/>
          <w:color w:val="1A5C38"/>
          <w:sz w:val="24"/>
          <w:szCs w:val="24"/>
        </w:rPr>
        <w:t xml:space="preserve">Étape 3 — Résultats</w:t>
      </w:r>
    </w:p>
    <w:p>
      <w:pPr>
        <w:pStyle w:val="ListParagraph"/>
        <w:numPr>
          <w:ilvl w:val="0"/>
          <w:numId w:val="2"/>
        </w:numPr>
        <w:spacing w:after="60" w:before="60"/>
      </w:pPr>
      <w:r>
        <w:rPr>
          <w:rFonts w:ascii="Arial" w:cs="Arial" w:eastAsia="Arial" w:hAnsi="Arial"/>
          <w:sz w:val="22"/>
          <w:szCs w:val="22"/>
        </w:rPr>
        <w:t xml:space="preserve">Tableau TFT complet avec totaux par section et variation de trésorerie</w:t>
      </w:r>
    </w:p>
    <w:p>
      <w:pPr>
        <w:pStyle w:val="ListParagraph"/>
        <w:numPr>
          <w:ilvl w:val="0"/>
          <w:numId w:val="2"/>
        </w:numPr>
        <w:spacing w:after="60" w:before="60"/>
      </w:pPr>
      <w:r>
        <w:rPr>
          <w:rFonts w:ascii="Arial" w:cs="Arial" w:eastAsia="Arial" w:hAnsi="Arial"/>
          <w:sz w:val="22"/>
          <w:szCs w:val="22"/>
        </w:rPr>
        <w:t xml:space="preserve">Graphique bar comparé par exercice</w:t>
      </w:r>
    </w:p>
    <w:p>
      <w:pPr>
        <w:pStyle w:val="ListParagraph"/>
        <w:numPr>
          <w:ilvl w:val="0"/>
          <w:numId w:val="2"/>
        </w:numPr>
        <w:spacing w:after="60" w:before="60"/>
      </w:pPr>
      <w:r>
        <w:rPr>
          <w:rFonts w:ascii="Arial" w:cs="Arial" w:eastAsia="Arial" w:hAnsi="Arial"/>
          <w:sz w:val="22"/>
          <w:szCs w:val="22"/>
        </w:rPr>
        <w:t xml:space="preserve">Analyse IA : diagnostic de la santé trésorerie, alertes et recommandations</w:t>
      </w:r>
    </w:p>
    <w:p>
      <w:pPr>
        <w:pStyle w:val="ListParagraph"/>
        <w:numPr>
          <w:ilvl w:val="0"/>
          <w:numId w:val="2"/>
        </w:numPr>
        <w:spacing w:after="60" w:before="60"/>
      </w:pPr>
      <w:r>
        <w:rPr>
          <w:rFonts w:ascii="Arial" w:cs="Arial" w:eastAsia="Arial" w:hAnsi="Arial"/>
          <w:sz w:val="22"/>
          <w:szCs w:val="22"/>
        </w:rPr>
        <w:t xml:space="preserve">Export Excel coloré : lignes de détail / totaux / sections distincts</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8F00" w:sz="3"/>
              <w:left w:val="single" w:color="BF8F00" w:sz="12"/>
              <w:bottom w:val="single" w:color="BF8F00" w:sz="3"/>
              <w:right w:val="single" w:color="CCCCCC" w:sz="1"/>
            </w:tcBorders>
            <w:shd w:fill="FFF2CC" w:val="clear"/>
            <w:tcMar>
              <w:top w:type="dxa" w:w="120"/>
              <w:left w:type="dxa" w:w="200"/>
              <w:bottom w:type="dxa" w:w="120"/>
              <w:right w:type="dxa" w:w="120"/>
            </w:tcMar>
          </w:tcPr>
          <w:p>
            <w:pPr>
              <w:spacing w:after="60" w:before="80"/>
            </w:pPr>
            <w:r>
              <w:rPr>
                <w:rFonts w:ascii="Arial" w:cs="Arial" w:eastAsia="Arial" w:hAnsi="Arial"/>
                <w:b/>
                <w:bCs/>
                <w:color w:val="BF8F00"/>
                <w:sz w:val="22"/>
                <w:szCs w:val="22"/>
              </w:rPr>
              <w:t xml:space="preserve">⚠️  Points de vigilance — Méthode indirecte</w:t>
            </w:r>
          </w:p>
          <w:p>
            <w:pPr>
              <w:pStyle w:val="ListParagraph"/>
              <w:numPr>
                <w:ilvl w:val="0"/>
                <w:numId w:val="2"/>
              </w:numPr>
              <w:spacing w:after="40" w:before="40"/>
            </w:pPr>
            <w:r>
              <w:rPr>
                <w:rFonts w:ascii="Arial" w:cs="Arial" w:eastAsia="Arial" w:hAnsi="Arial"/>
                <w:sz w:val="21"/>
                <w:szCs w:val="21"/>
              </w:rPr>
              <w:t xml:space="preserve">Le résultat net est le point de départ : il doit correspondre au compte 120/129 de la balance</w:t>
            </w:r>
          </w:p>
          <w:p>
            <w:pPr>
              <w:pStyle w:val="ListParagraph"/>
              <w:numPr>
                <w:ilvl w:val="0"/>
                <w:numId w:val="2"/>
              </w:numPr>
              <w:spacing w:after="40" w:before="40"/>
            </w:pPr>
            <w:r>
              <w:rPr>
                <w:rFonts w:ascii="Arial" w:cs="Arial" w:eastAsia="Arial" w:hAnsi="Arial"/>
                <w:sz w:val="21"/>
                <w:szCs w:val="21"/>
              </w:rPr>
              <w:t xml:space="preserve">Les amortissements (28x) sont réintégrés car ils ne génèrent pas de sortie de cash</w:t>
            </w:r>
          </w:p>
          <w:p>
            <w:pPr>
              <w:pStyle w:val="ListParagraph"/>
              <w:numPr>
                <w:ilvl w:val="0"/>
                <w:numId w:val="2"/>
              </w:numPr>
              <w:spacing w:after="40" w:before="40"/>
            </w:pPr>
            <w:r>
              <w:rPr>
                <w:rFonts w:ascii="Arial" w:cs="Arial" w:eastAsia="Arial" w:hAnsi="Arial"/>
                <w:sz w:val="21"/>
                <w:szCs w:val="21"/>
              </w:rPr>
              <w:t xml:space="preserve">Une variation de BFR positive signifie une consommation de trésorerie (attention au signe)</w:t>
            </w:r>
          </w:p>
          <w:p>
            <w:pPr>
              <w:pStyle w:val="ListParagraph"/>
              <w:numPr>
                <w:ilvl w:val="0"/>
                <w:numId w:val="2"/>
              </w:numPr>
              <w:spacing w:after="40" w:before="40"/>
            </w:pPr>
            <w:r>
              <w:rPr>
                <w:rFonts w:ascii="Arial" w:cs="Arial" w:eastAsia="Arial" w:hAnsi="Arial"/>
                <w:sz w:val="21"/>
                <w:szCs w:val="21"/>
              </w:rPr>
              <w:t xml:space="preserve">Le total des 3 sections doit égaler la variation de trésorerie nette de l’exercice</w:t>
            </w:r>
          </w:p>
        </w:tc>
      </w:tr>
    </w:tbl>
    <w:p>
      <w:pPr>
        <w:spacing w:after="60" w:before="60"/>
      </w:pPr>
      <w:r>
        <w:t xml:space="preserve"/>
      </w:r>
    </w:p>
    <w:p>
      <w:pPr>
        <w:pStyle w:val="Heading2"/>
        <w:spacing w:after="140" w:before="280"/>
      </w:pPr>
      <w:r>
        <w:rPr>
          <w:rFonts w:ascii="Arial" w:cs="Arial" w:eastAsia="Arial" w:hAnsi="Arial"/>
          <w:b/>
          <w:bCs/>
          <w:color w:val="1F4E79"/>
          <w:sz w:val="28"/>
          <w:szCs w:val="28"/>
        </w:rPr>
        <w:t xml:space="preserve">Interpréter les résultats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219"/>
        <w:gridCol w:w="3619"/>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Flux</w:t>
            </w:r>
          </w:p>
        </w:tc>
        <w:tc>
          <w:tcPr>
            <w:tcW w:type="dxa" w:w="321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 positif</w:t>
            </w:r>
          </w:p>
        </w:tc>
        <w:tc>
          <w:tcPr>
            <w:tcW w:type="dxa" w:w="361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 d’alerte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Activité &gt; 0</w:t>
            </w:r>
          </w:p>
        </w:tc>
        <w:tc>
          <w:tcPr>
            <w:tcW w:type="dxa" w:w="32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L’exploitation génère du cash</w:t>
            </w:r>
          </w:p>
        </w:tc>
        <w:tc>
          <w:tcPr>
            <w:tcW w:type="dxa" w:w="36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Flux négatif = absorption de trésorerie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Investissement &lt; 0</w:t>
            </w:r>
          </w:p>
        </w:tc>
        <w:tc>
          <w:tcPr>
            <w:tcW w:type="dxa" w:w="32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Entreprise en croissance (investit)</w:t>
            </w:r>
          </w:p>
        </w:tc>
        <w:tc>
          <w:tcPr>
            <w:tcW w:type="dxa" w:w="36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Cessions &gt; acquisitions = désinvestissement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Financement &lt; 0</w:t>
            </w:r>
          </w:p>
        </w:tc>
        <w:tc>
          <w:tcPr>
            <w:tcW w:type="dxa" w:w="32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Remboursement de dettes (sécurité)</w:t>
            </w:r>
          </w:p>
        </w:tc>
        <w:tc>
          <w:tcPr>
            <w:tcW w:type="dxa" w:w="36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Endettement croissant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Variation tréso. &gt; 0</w:t>
            </w:r>
          </w:p>
        </w:tc>
        <w:tc>
          <w:tcPr>
            <w:tcW w:type="dxa" w:w="32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Amélioration de la liquidité</w:t>
            </w:r>
          </w:p>
        </w:tc>
        <w:tc>
          <w:tcPr>
            <w:tcW w:type="dxa" w:w="361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Baisse persistante = risque</w:t>
            </w:r>
          </w:p>
        </w:tc>
      </w:tr>
    </w:tbl>
    <w:p>
      <w:pPr>
        <w:spacing w:after="60" w:before="60"/>
      </w:pPr>
      <w:r>
        <w:t xml:space="preserve"/>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4472C4" w:val="clear"/>
            <w:tcMar>
              <w:top w:type="dxa" w:w="160"/>
              <w:left w:type="dxa" w:w="240"/>
              <w:bottom w:type="dxa" w:w="160"/>
              <w:right w:type="dxa" w:w="240"/>
            </w:tcMar>
          </w:tcPr>
          <w:p>
            <w:pPr>
              <w:jc w:val="left"/>
            </w:pPr>
            <w:r>
              <w:rPr>
                <w:rFonts w:ascii="Arial" w:cs="Arial" w:eastAsia="Arial" w:hAnsi="Arial"/>
                <w:b/>
                <w:bCs/>
                <w:color w:val="FFFFFF"/>
                <w:sz w:val="36"/>
                <w:szCs w:val="36"/>
              </w:rPr>
              <w:t xml:space="preserve">📊  Module 3 — Comparatif N vs N-1</w:t>
            </w:r>
          </w:p>
          <w:p>
            <w:pPr>
              <w:spacing w:before="60"/>
              <w:jc w:val="left"/>
            </w:pPr>
            <w:r>
              <w:rPr>
                <w:rFonts w:ascii="Arial" w:cs="Arial" w:eastAsia="Arial" w:hAnsi="Arial"/>
                <w:i/>
                <w:iCs/>
                <w:color w:val="FFFFFF"/>
                <w:sz w:val="22"/>
                <w:szCs w:val="22"/>
              </w:rPr>
              <w:t xml:space="preserve">Bilan + Compte de Résultat côte à côte avec analyse des écarts</w:t>
            </w:r>
          </w:p>
        </w:tc>
      </w:tr>
    </w:tbl>
    <w:p>
      <w:pPr>
        <w:spacing w:after="60" w:before="60"/>
      </w:pPr>
      <w:r>
        <w:t xml:space="preserve"/>
      </w:r>
    </w:p>
    <w:p>
      <w:pPr>
        <w:pStyle w:val="Heading2"/>
        <w:spacing w:after="140" w:before="280"/>
      </w:pPr>
      <w:r>
        <w:rPr>
          <w:rFonts w:ascii="Arial" w:cs="Arial" w:eastAsia="Arial" w:hAnsi="Arial"/>
          <w:b/>
          <w:bCs/>
          <w:color w:val="1F4E79"/>
          <w:sz w:val="28"/>
          <w:szCs w:val="28"/>
        </w:rPr>
        <w:t xml:space="preserve">Objectif</w:t>
      </w:r>
    </w:p>
    <w:p>
      <w:pPr>
        <w:spacing w:after="80" w:before="80"/>
      </w:pPr>
      <w:r>
        <w:rPr>
          <w:rFonts w:ascii="Arial" w:cs="Arial" w:eastAsia="Arial" w:hAnsi="Arial"/>
          <w:sz w:val="22"/>
          <w:szCs w:val="22"/>
        </w:rPr>
        <w:t xml:space="preserve">Ce module permet de comparer deux exercices comptables (N et N-1) en affichant le Bilan et le Compte de Résultat côte à côte, avec calcul automatique des écarts absolus (€) et relatifs (%). Il s’adresse aux professionnels qui souhaitent identifier rapidement les évolutions significatives entre deux périodes.</w:t>
      </w:r>
    </w:p>
    <w:p>
      <w:pPr>
        <w:spacing w:after="60" w:before="60"/>
      </w:pPr>
      <w:r>
        <w:t xml:space="preserve"/>
      </w:r>
    </w:p>
    <w:p>
      <w:pPr>
        <w:pStyle w:val="Heading2"/>
        <w:spacing w:after="140" w:before="280"/>
      </w:pPr>
      <w:r>
        <w:rPr>
          <w:rFonts w:ascii="Arial" w:cs="Arial" w:eastAsia="Arial" w:hAnsi="Arial"/>
          <w:b/>
          <w:bCs/>
          <w:color w:val="1F4E79"/>
          <w:sz w:val="28"/>
          <w:szCs w:val="28"/>
        </w:rPr>
        <w:t xml:space="preserve">Public cible</w:t>
      </w:r>
    </w:p>
    <w:p>
      <w:pPr>
        <w:pStyle w:val="ListParagraph"/>
        <w:numPr>
          <w:ilvl w:val="0"/>
          <w:numId w:val="2"/>
        </w:numPr>
        <w:spacing w:after="60" w:before="60"/>
      </w:pPr>
      <w:r>
        <w:rPr>
          <w:rFonts w:ascii="Arial" w:cs="Arial" w:eastAsia="Arial" w:hAnsi="Arial"/>
          <w:sz w:val="22"/>
          <w:szCs w:val="22"/>
        </w:rPr>
        <w:t xml:space="preserve">Cabinets d’audit et d’expertise comptable (dossier de révision)</w:t>
      </w:r>
    </w:p>
    <w:p>
      <w:pPr>
        <w:pStyle w:val="ListParagraph"/>
        <w:numPr>
          <w:ilvl w:val="0"/>
          <w:numId w:val="2"/>
        </w:numPr>
        <w:spacing w:after="60" w:before="60"/>
      </w:pPr>
      <w:r>
        <w:rPr>
          <w:rFonts w:ascii="Arial" w:cs="Arial" w:eastAsia="Arial" w:hAnsi="Arial"/>
          <w:sz w:val="22"/>
          <w:szCs w:val="22"/>
        </w:rPr>
        <w:t xml:space="preserve">Directeurs Administratifs et Financiers</w:t>
      </w:r>
    </w:p>
    <w:p>
      <w:pPr>
        <w:pStyle w:val="ListParagraph"/>
        <w:numPr>
          <w:ilvl w:val="0"/>
          <w:numId w:val="2"/>
        </w:numPr>
        <w:spacing w:after="60" w:before="60"/>
      </w:pPr>
      <w:r>
        <w:rPr>
          <w:rFonts w:ascii="Arial" w:cs="Arial" w:eastAsia="Arial" w:hAnsi="Arial"/>
          <w:sz w:val="22"/>
          <w:szCs w:val="22"/>
        </w:rPr>
        <w:t xml:space="preserve">Dirigeants préparant une présentation au conseil d’administration</w:t>
      </w:r>
    </w:p>
    <w:p>
      <w:pPr>
        <w:pStyle w:val="ListParagraph"/>
        <w:numPr>
          <w:ilvl w:val="0"/>
          <w:numId w:val="2"/>
        </w:numPr>
        <w:spacing w:after="60" w:before="60"/>
      </w:pPr>
      <w:r>
        <w:rPr>
          <w:rFonts w:ascii="Arial" w:cs="Arial" w:eastAsia="Arial" w:hAnsi="Arial"/>
          <w:sz w:val="22"/>
          <w:szCs w:val="22"/>
        </w:rPr>
        <w:t xml:space="preserve">Analystes financiers</w:t>
      </w:r>
    </w:p>
    <w:p>
      <w:pPr>
        <w:spacing w:after="60" w:before="60"/>
      </w:pPr>
      <w:r>
        <w:t xml:space="preserve"/>
      </w:r>
    </w:p>
    <w:p>
      <w:pPr>
        <w:pStyle w:val="Heading2"/>
        <w:spacing w:after="140" w:before="280"/>
      </w:pPr>
      <w:r>
        <w:rPr>
          <w:rFonts w:ascii="Arial" w:cs="Arial" w:eastAsia="Arial" w:hAnsi="Arial"/>
          <w:b/>
          <w:bCs/>
          <w:color w:val="1F4E79"/>
          <w:sz w:val="28"/>
          <w:szCs w:val="28"/>
        </w:rPr>
        <w:t xml:space="preserve">Comment utiliser ce module ?</w:t>
      </w:r>
    </w:p>
    <w:p>
      <w:pPr>
        <w:pStyle w:val="Heading3"/>
        <w:spacing w:after="100" w:before="200"/>
      </w:pPr>
      <w:r>
        <w:rPr>
          <w:rFonts w:ascii="Arial" w:cs="Arial" w:eastAsia="Arial" w:hAnsi="Arial"/>
          <w:b/>
          <w:bCs/>
          <w:color w:val="1A5C38"/>
          <w:sz w:val="24"/>
          <w:szCs w:val="24"/>
        </w:rPr>
        <w:t xml:space="preserve">Étape 1 — Paramétrage</w:t>
      </w:r>
    </w:p>
    <w:p>
      <w:pPr>
        <w:pStyle w:val="ListParagraph"/>
        <w:numPr>
          <w:ilvl w:val="0"/>
          <w:numId w:val="2"/>
        </w:numPr>
        <w:spacing w:after="60" w:before="60"/>
      </w:pPr>
      <w:r>
        <w:rPr>
          <w:rFonts w:ascii="Arial" w:cs="Arial" w:eastAsia="Arial" w:hAnsi="Arial"/>
          <w:sz w:val="22"/>
          <w:szCs w:val="22"/>
        </w:rPr>
        <w:t xml:space="preserve">Saisissez le nom de l’entreprise, les libellés des exercices N et N-1</w:t>
      </w:r>
    </w:p>
    <w:p>
      <w:pPr>
        <w:pStyle w:val="ListParagraph"/>
        <w:numPr>
          <w:ilvl w:val="0"/>
          <w:numId w:val="2"/>
        </w:numPr>
        <w:spacing w:after="60" w:before="60"/>
      </w:pPr>
      <w:r>
        <w:rPr>
          <w:rFonts w:ascii="Arial" w:cs="Arial" w:eastAsia="Arial" w:hAnsi="Arial"/>
          <w:sz w:val="22"/>
          <w:szCs w:val="22"/>
        </w:rPr>
        <w:t xml:space="preserve">Choisissez le type d’entreprise (Commerciale, Industrielle, Services, Mixte)</w:t>
      </w:r>
    </w:p>
    <w:p>
      <w:pPr>
        <w:spacing w:after="60" w:before="60"/>
      </w:pPr>
      <w:r>
        <w:t xml:space="preserve"/>
      </w:r>
    </w:p>
    <w:p>
      <w:pPr>
        <w:pStyle w:val="Heading3"/>
        <w:spacing w:after="100" w:before="200"/>
      </w:pPr>
      <w:r>
        <w:rPr>
          <w:rFonts w:ascii="Arial" w:cs="Arial" w:eastAsia="Arial" w:hAnsi="Arial"/>
          <w:b/>
          <w:bCs/>
          <w:color w:val="1A5C38"/>
          <w:sz w:val="24"/>
          <w:szCs w:val="24"/>
        </w:rPr>
        <w:t xml:space="preserve">Étape 2 — Upload des deux balances</w:t>
      </w:r>
    </w:p>
    <w:p>
      <w:pPr>
        <w:pStyle w:val="ListParagraph"/>
        <w:numPr>
          <w:ilvl w:val="0"/>
          <w:numId w:val="2"/>
        </w:numPr>
        <w:spacing w:after="60" w:before="60"/>
      </w:pPr>
      <w:r>
        <w:rPr>
          <w:rFonts w:ascii="Arial" w:cs="Arial" w:eastAsia="Arial" w:hAnsi="Arial"/>
          <w:sz w:val="22"/>
          <w:szCs w:val="22"/>
        </w:rPr>
        <w:t xml:space="preserve">Déposez la balance de l’exercice N (année en cours)</w:t>
      </w:r>
    </w:p>
    <w:p>
      <w:pPr>
        <w:pStyle w:val="ListParagraph"/>
        <w:numPr>
          <w:ilvl w:val="0"/>
          <w:numId w:val="2"/>
        </w:numPr>
        <w:spacing w:after="60" w:before="60"/>
      </w:pPr>
      <w:r>
        <w:rPr>
          <w:rFonts w:ascii="Arial" w:cs="Arial" w:eastAsia="Arial" w:hAnsi="Arial"/>
          <w:sz w:val="22"/>
          <w:szCs w:val="22"/>
        </w:rPr>
        <w:t xml:space="preserve">Déposez la balance de l’exercice N-1 (année précédente)</w:t>
      </w:r>
    </w:p>
    <w:p>
      <w:pPr>
        <w:pStyle w:val="ListParagraph"/>
        <w:numPr>
          <w:ilvl w:val="0"/>
          <w:numId w:val="2"/>
        </w:numPr>
        <w:spacing w:after="60" w:before="60"/>
      </w:pPr>
      <w:r>
        <w:rPr>
          <w:rFonts w:ascii="Arial" w:cs="Arial" w:eastAsia="Arial" w:hAnsi="Arial"/>
          <w:sz w:val="22"/>
          <w:szCs w:val="22"/>
        </w:rPr>
        <w:t xml:space="preserve">Formats acceptés : CSV, Excel (.xlsx) — colonnes CompteNum, Debit, Credit</w:t>
      </w:r>
    </w:p>
    <w:p>
      <w:pPr>
        <w:spacing w:after="60" w:before="60"/>
      </w:pPr>
      <w:r>
        <w:t xml:space="preserve"/>
      </w:r>
    </w:p>
    <w:p>
      <w:pPr>
        <w:pStyle w:val="Heading3"/>
        <w:spacing w:after="100" w:before="200"/>
      </w:pPr>
      <w:r>
        <w:rPr>
          <w:rFonts w:ascii="Arial" w:cs="Arial" w:eastAsia="Arial" w:hAnsi="Arial"/>
          <w:b/>
          <w:bCs/>
          <w:color w:val="1A5C38"/>
          <w:sz w:val="24"/>
          <w:szCs w:val="24"/>
        </w:rPr>
        <w:t xml:space="preserve">Étape 3 — Analyse automatique</w:t>
      </w:r>
    </w:p>
    <w:p>
      <w:pPr>
        <w:pStyle w:val="ListParagraph"/>
        <w:numPr>
          <w:ilvl w:val="0"/>
          <w:numId w:val="2"/>
        </w:numPr>
        <w:spacing w:after="60" w:before="60"/>
      </w:pPr>
      <w:r>
        <w:rPr>
          <w:rFonts w:ascii="Arial" w:cs="Arial" w:eastAsia="Arial" w:hAnsi="Arial"/>
          <w:sz w:val="22"/>
          <w:szCs w:val="22"/>
        </w:rPr>
        <w:t xml:space="preserve">Section Compte de Résultat : SIG N vs N-1 avec écarts colorés (vert = hausse, rouge = baisse)</w:t>
      </w:r>
    </w:p>
    <w:p>
      <w:pPr>
        <w:pStyle w:val="ListParagraph"/>
        <w:numPr>
          <w:ilvl w:val="0"/>
          <w:numId w:val="2"/>
        </w:numPr>
        <w:spacing w:after="60" w:before="60"/>
      </w:pPr>
      <w:r>
        <w:rPr>
          <w:rFonts w:ascii="Arial" w:cs="Arial" w:eastAsia="Arial" w:hAnsi="Arial"/>
          <w:sz w:val="22"/>
          <w:szCs w:val="22"/>
        </w:rPr>
        <w:t xml:space="preserve">Section Bilan : Actif et Passif N vs N-1, variation FDR et BFR</w:t>
      </w:r>
    </w:p>
    <w:p>
      <w:pPr>
        <w:pStyle w:val="ListParagraph"/>
        <w:numPr>
          <w:ilvl w:val="0"/>
          <w:numId w:val="2"/>
        </w:numPr>
        <w:spacing w:after="60" w:before="60"/>
      </w:pPr>
      <w:r>
        <w:rPr>
          <w:rFonts w:ascii="Arial" w:cs="Arial" w:eastAsia="Arial" w:hAnsi="Arial"/>
          <w:sz w:val="22"/>
          <w:szCs w:val="22"/>
        </w:rPr>
        <w:t xml:space="preserve">Graphiques comparatifs interactifs (barres groupées)</w:t>
      </w:r>
    </w:p>
    <w:p>
      <w:pPr>
        <w:pStyle w:val="ListParagraph"/>
        <w:numPr>
          <w:ilvl w:val="0"/>
          <w:numId w:val="2"/>
        </w:numPr>
        <w:spacing w:after="60" w:before="60"/>
      </w:pPr>
      <w:r>
        <w:rPr>
          <w:rFonts w:ascii="Arial" w:cs="Arial" w:eastAsia="Arial" w:hAnsi="Arial"/>
          <w:sz w:val="22"/>
          <w:szCs w:val="22"/>
        </w:rPr>
        <w:t xml:space="preserve">Analyse automatique des alertes clés (CA, résultat net, BFR, FDR)</w:t>
      </w:r>
    </w:p>
    <w:p>
      <w:pPr>
        <w:spacing w:after="60" w:before="60"/>
      </w:pPr>
      <w:r>
        <w:t xml:space="preserve"/>
      </w:r>
    </w:p>
    <w:tbl>
      <w:tblPr>
        <w:tblW w:type="dxa" w:w="9238"/>
        <w:tblBorders>
          <w:top w:val="single" w:color="auto" w:sz="4"/>
          <w:left w:val="single" w:color="auto" w:sz="4"/>
          <w:bottom w:val="single" w:color="auto" w:sz="4"/>
          <w:right w:val="single" w:color="auto" w:sz="4"/>
          <w:insideH w:val="single" w:color="auto" w:sz="4"/>
          <w:insideV w:val="single" w:color="auto" w:sz="4"/>
        </w:tblBorders>
      </w:tblPr>
      <w:tblGrid>
        <w:gridCol w:w="2800"/>
        <w:gridCol w:w="2638"/>
        <w:gridCol w:w="38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Rubrique comparée</w:t>
            </w:r>
          </w:p>
        </w:tc>
        <w:tc>
          <w:tcPr>
            <w:tcW w:type="dxa" w:w="26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PCG</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Indicateurs calculés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Chiffre d’affaires</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70x</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Variation €, variation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Valeur Ajoutée (VA)</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 − Achats − Services ext.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Taux VA, écart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EBE</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 − Charges personnel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Écart EBE, ratio EBE/CA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Résultat net</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120 / 129</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Passage bénéfice/déficit alerté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FDR (FRNG)</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 + DLMT − Immo nettes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Évolution équilibre bilan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BFR</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Stocks + Clients − Fournisseurs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Variation cycle exploitation</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3"/>
              <w:left w:val="single" w:color="1F4E79" w:sz="12"/>
              <w:bottom w:val="single" w:color="1F4E79" w:sz="3"/>
              <w:right w:val="single" w:color="CCCCCC" w:sz="1"/>
            </w:tcBorders>
            <w:shd w:fill="D5E8F0" w:val="clear"/>
            <w:tcMar>
              <w:top w:type="dxa" w:w="120"/>
              <w:left w:type="dxa" w:w="200"/>
              <w:bottom w:type="dxa" w:w="120"/>
              <w:right w:type="dxa" w:w="120"/>
            </w:tcMar>
          </w:tcPr>
          <w:p>
            <w:pPr>
              <w:spacing w:after="60" w:before="80"/>
            </w:pPr>
            <w:r>
              <w:rPr>
                <w:rFonts w:ascii="Arial" w:cs="Arial" w:eastAsia="Arial" w:hAnsi="Arial"/>
                <w:b/>
                <w:bCs/>
                <w:color w:val="1F4E79"/>
                <w:sz w:val="22"/>
                <w:szCs w:val="22"/>
              </w:rPr>
              <w:t xml:space="preserve">💡  Lecture du tableau comparatif</w:t>
            </w:r>
          </w:p>
          <w:p>
            <w:pPr>
              <w:pStyle w:val="ListParagraph"/>
              <w:numPr>
                <w:ilvl w:val="0"/>
                <w:numId w:val="2"/>
              </w:numPr>
              <w:spacing w:after="40" w:before="40"/>
            </w:pPr>
            <w:r>
              <w:rPr>
                <w:rFonts w:ascii="Arial" w:cs="Arial" w:eastAsia="Arial" w:hAnsi="Arial"/>
                <w:sz w:val="21"/>
                <w:szCs w:val="21"/>
              </w:rPr>
              <w:t xml:space="preserve">Écart (€) en vert : amélioration (revenus en hausse, charges en baisse)</w:t>
            </w:r>
          </w:p>
          <w:p>
            <w:pPr>
              <w:pStyle w:val="ListParagraph"/>
              <w:numPr>
                <w:ilvl w:val="0"/>
                <w:numId w:val="2"/>
              </w:numPr>
              <w:spacing w:after="40" w:before="40"/>
            </w:pPr>
            <w:r>
              <w:rPr>
                <w:rFonts w:ascii="Arial" w:cs="Arial" w:eastAsia="Arial" w:hAnsi="Arial"/>
                <w:sz w:val="21"/>
                <w:szCs w:val="21"/>
              </w:rPr>
              <w:t xml:space="preserve">Écart (€) en rouge : détérioration (revenus en baisse, charges en hausse)</w:t>
            </w:r>
          </w:p>
          <w:p>
            <w:pPr>
              <w:pStyle w:val="ListParagraph"/>
              <w:numPr>
                <w:ilvl w:val="0"/>
                <w:numId w:val="2"/>
              </w:numPr>
              <w:spacing w:after="40" w:before="40"/>
            </w:pPr>
            <w:r>
              <w:rPr>
                <w:rFonts w:ascii="Arial" w:cs="Arial" w:eastAsia="Arial" w:hAnsi="Arial"/>
                <w:sz w:val="21"/>
                <w:szCs w:val="21"/>
              </w:rPr>
              <w:t xml:space="preserve">Les lignes en gras sont les totaux clés (TOTAL ACTIF, Résultat net...)</w:t>
            </w:r>
          </w:p>
          <w:p>
            <w:pPr>
              <w:pStyle w:val="ListParagraph"/>
              <w:numPr>
                <w:ilvl w:val="0"/>
                <w:numId w:val="2"/>
              </w:numPr>
              <w:spacing w:after="40" w:before="40"/>
            </w:pPr>
            <w:r>
              <w:rPr>
                <w:rFonts w:ascii="Arial" w:cs="Arial" w:eastAsia="Arial" w:hAnsi="Arial"/>
                <w:sz w:val="21"/>
                <w:szCs w:val="21"/>
              </w:rPr>
              <w:t xml:space="preserve">L’analyse automatique signalée en bas de page résume les alertes principales</w:t>
            </w:r>
          </w:p>
        </w:tc>
      </w:tr>
    </w:tbl>
    <w:p>
      <w:pPr>
        <w:spacing w:after="60" w:before="60"/>
      </w:pPr>
      <w:r>
        <w:t xml:space="preserve"/>
      </w:r>
    </w:p>
    <w:p>
      <w:pPr>
        <w:pStyle w:val="Heading2"/>
        <w:spacing w:after="140" w:before="280"/>
      </w:pPr>
      <w:r>
        <w:rPr>
          <w:rFonts w:ascii="Arial" w:cs="Arial" w:eastAsia="Arial" w:hAnsi="Arial"/>
          <w:b/>
          <w:bCs/>
          <w:color w:val="1F4E79"/>
          <w:sz w:val="28"/>
          <w:szCs w:val="28"/>
        </w:rPr>
        <w:t xml:space="preserve">Export</w:t>
      </w:r>
    </w:p>
    <w:p>
      <w:pPr>
        <w:pStyle w:val="ListParagraph"/>
        <w:numPr>
          <w:ilvl w:val="0"/>
          <w:numId w:val="2"/>
        </w:numPr>
        <w:spacing w:after="60" w:before="60"/>
      </w:pPr>
      <w:r>
        <w:rPr>
          <w:rFonts w:ascii="Arial" w:cs="Arial" w:eastAsia="Arial" w:hAnsi="Arial"/>
          <w:sz w:val="22"/>
          <w:szCs w:val="22"/>
        </w:rPr>
        <w:t xml:space="preserve">Export Excel avec 3 feuilles : Compte de Résultat, Bilan Actif, Bilan Passif</w:t>
      </w:r>
    </w:p>
    <w:p>
      <w:pPr>
        <w:pStyle w:val="ListParagraph"/>
        <w:numPr>
          <w:ilvl w:val="0"/>
          <w:numId w:val="2"/>
        </w:numPr>
        <w:spacing w:after="60" w:before="60"/>
      </w:pPr>
      <w:r>
        <w:rPr>
          <w:rFonts w:ascii="Arial" w:cs="Arial" w:eastAsia="Arial" w:hAnsi="Arial"/>
          <w:sz w:val="22"/>
          <w:szCs w:val="22"/>
        </w:rPr>
        <w:t xml:space="preserve">Mise en forme professionnelle : en-têtes colorés, largeurs auto-ajustées</w:t>
      </w:r>
    </w:p>
    <w:p>
      <w:pPr>
        <w:pStyle w:val="ListParagraph"/>
        <w:numPr>
          <w:ilvl w:val="0"/>
          <w:numId w:val="2"/>
        </w:numPr>
        <w:spacing w:after="60" w:before="60"/>
      </w:pPr>
      <w:r>
        <w:rPr>
          <w:rFonts w:ascii="Arial" w:cs="Arial" w:eastAsia="Arial" w:hAnsi="Arial"/>
          <w:sz w:val="22"/>
          <w:szCs w:val="22"/>
        </w:rPr>
        <w:t xml:space="preserve">Fichier nommé automatiquement : Comparatif_[Entreprise]_N_vs_N-1.xlsx</w:t>
      </w:r>
    </w:p>
    <w:p>
      <w:pPr>
        <w:spacing w:after="60" w:before="60"/>
      </w:pPr>
      <w:r>
        <w:t xml:space="preserve"/>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922B21" w:val="clear"/>
            <w:tcMar>
              <w:top w:type="dxa" w:w="160"/>
              <w:left w:type="dxa" w:w="240"/>
              <w:bottom w:type="dxa" w:w="160"/>
              <w:right w:type="dxa" w:w="240"/>
            </w:tcMar>
          </w:tcPr>
          <w:p>
            <w:pPr>
              <w:jc w:val="left"/>
            </w:pPr>
            <w:r>
              <w:rPr>
                <w:rFonts w:ascii="Arial" w:cs="Arial" w:eastAsia="Arial" w:hAnsi="Arial"/>
                <w:b/>
                <w:bCs/>
                <w:color w:val="FFFFFF"/>
                <w:sz w:val="36"/>
                <w:szCs w:val="36"/>
              </w:rPr>
              <w:t xml:space="preserve">🧾  Module 4 — Aide Déclaration TVA CA3 / CA12</w:t>
            </w:r>
          </w:p>
          <w:p>
            <w:pPr>
              <w:spacing w:before="60"/>
              <w:jc w:val="left"/>
            </w:pPr>
            <w:r>
              <w:rPr>
                <w:rFonts w:ascii="Arial" w:cs="Arial" w:eastAsia="Arial" w:hAnsi="Arial"/>
                <w:i/>
                <w:iCs/>
                <w:color w:val="FFFFFF"/>
                <w:sz w:val="22"/>
                <w:szCs w:val="22"/>
              </w:rPr>
              <w:t xml:space="preserve">Calcul, vérification et aide à la déclaration TVA France (DGFiP)</w:t>
            </w:r>
          </w:p>
        </w:tc>
      </w:tr>
    </w:tbl>
    <w:p>
      <w:pPr>
        <w:spacing w:after="60" w:before="60"/>
      </w:pPr>
      <w:r>
        <w:t xml:space="preserve"/>
      </w:r>
    </w:p>
    <w:p>
      <w:pPr>
        <w:pStyle w:val="Heading2"/>
        <w:spacing w:after="140" w:before="280"/>
      </w:pPr>
      <w:r>
        <w:rPr>
          <w:rFonts w:ascii="Arial" w:cs="Arial" w:eastAsia="Arial" w:hAnsi="Arial"/>
          <w:b/>
          <w:bCs/>
          <w:color w:val="1F4E79"/>
          <w:sz w:val="28"/>
          <w:szCs w:val="28"/>
        </w:rPr>
        <w:t xml:space="preserve">Objectif</w:t>
      </w:r>
    </w:p>
    <w:p>
      <w:pPr>
        <w:spacing w:after="80" w:before="80"/>
      </w:pPr>
      <w:r>
        <w:rPr>
          <w:rFonts w:ascii="Arial" w:cs="Arial" w:eastAsia="Arial" w:hAnsi="Arial"/>
          <w:sz w:val="22"/>
          <w:szCs w:val="22"/>
        </w:rPr>
        <w:t xml:space="preserve">Ce module guide le comptable ou le dirigeant dans la préparation de sa déclaration de TVA (formulaire CA3 ou CA12). Il calcule la TVA collecte, déduit la TVA déductible, détermine le solde (TVA à payer ou crédit de TVA), et propose l’écriture comptable PCG à passer.</w:t>
      </w:r>
    </w:p>
    <w:p>
      <w:pPr>
        <w:spacing w:after="60" w:before="60"/>
      </w:pPr>
      <w:r>
        <w:t xml:space="preserve"/>
      </w:r>
    </w:p>
    <w:p>
      <w:pPr>
        <w:pStyle w:val="Heading2"/>
        <w:spacing w:after="140" w:before="280"/>
      </w:pPr>
      <w:r>
        <w:rPr>
          <w:rFonts w:ascii="Arial" w:cs="Arial" w:eastAsia="Arial" w:hAnsi="Arial"/>
          <w:b/>
          <w:bCs/>
          <w:color w:val="1F4E79"/>
          <w:sz w:val="28"/>
          <w:szCs w:val="28"/>
        </w:rPr>
        <w:t xml:space="preserve">Public cible</w:t>
      </w:r>
    </w:p>
    <w:p>
      <w:pPr>
        <w:pStyle w:val="ListParagraph"/>
        <w:numPr>
          <w:ilvl w:val="0"/>
          <w:numId w:val="2"/>
        </w:numPr>
        <w:spacing w:after="60" w:before="60"/>
      </w:pPr>
      <w:r>
        <w:rPr>
          <w:rFonts w:ascii="Arial" w:cs="Arial" w:eastAsia="Arial" w:hAnsi="Arial"/>
          <w:sz w:val="22"/>
          <w:szCs w:val="22"/>
        </w:rPr>
        <w:t xml:space="preserve">Comptables en cabinet ou en entreprise</w:t>
      </w:r>
    </w:p>
    <w:p>
      <w:pPr>
        <w:pStyle w:val="ListParagraph"/>
        <w:numPr>
          <w:ilvl w:val="0"/>
          <w:numId w:val="2"/>
        </w:numPr>
        <w:spacing w:after="60" w:before="60"/>
      </w:pPr>
      <w:r>
        <w:rPr>
          <w:rFonts w:ascii="Arial" w:cs="Arial" w:eastAsia="Arial" w:hAnsi="Arial"/>
          <w:sz w:val="22"/>
          <w:szCs w:val="22"/>
        </w:rPr>
        <w:t xml:space="preserve">Cabinets d’expertise comptable (clients en régime réel normal ou simplifié)</w:t>
      </w:r>
    </w:p>
    <w:p>
      <w:pPr>
        <w:pStyle w:val="ListParagraph"/>
        <w:numPr>
          <w:ilvl w:val="0"/>
          <w:numId w:val="2"/>
        </w:numPr>
        <w:spacing w:after="60" w:before="60"/>
      </w:pPr>
      <w:r>
        <w:rPr>
          <w:rFonts w:ascii="Arial" w:cs="Arial" w:eastAsia="Arial" w:hAnsi="Arial"/>
          <w:sz w:val="22"/>
          <w:szCs w:val="22"/>
        </w:rPr>
        <w:t xml:space="preserve">Gestionnaires et dirigeants de TPE/PME</w:t>
      </w:r>
    </w:p>
    <w:p>
      <w:pPr>
        <w:pStyle w:val="ListParagraph"/>
        <w:numPr>
          <w:ilvl w:val="0"/>
          <w:numId w:val="2"/>
        </w:numPr>
        <w:spacing w:after="60" w:before="60"/>
      </w:pPr>
      <w:r>
        <w:rPr>
          <w:rFonts w:ascii="Arial" w:cs="Arial" w:eastAsia="Arial" w:hAnsi="Arial"/>
          <w:sz w:val="22"/>
          <w:szCs w:val="22"/>
        </w:rPr>
        <w:t xml:space="preserve">Collaborateurs en charge de la fiscalité indirecte</w:t>
      </w:r>
    </w:p>
    <w:p>
      <w:pPr>
        <w:spacing w:after="60" w:before="60"/>
      </w:pPr>
      <w:r>
        <w:t xml:space="preserve"/>
      </w:r>
    </w:p>
    <w:p>
      <w:pPr>
        <w:pStyle w:val="Heading2"/>
        <w:spacing w:after="140" w:before="280"/>
      </w:pPr>
      <w:r>
        <w:rPr>
          <w:rFonts w:ascii="Arial" w:cs="Arial" w:eastAsia="Arial" w:hAnsi="Arial"/>
          <w:b/>
          <w:bCs/>
          <w:color w:val="1F4E79"/>
          <w:sz w:val="28"/>
          <w:szCs w:val="28"/>
        </w:rPr>
        <w:t xml:space="preserve">Deux régimes supportés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38"/>
        <w:gridCol w:w="30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Régime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Formulaire</w:t>
            </w:r>
          </w:p>
        </w:tc>
        <w:tc>
          <w:tcPr>
            <w:tcW w:type="dxa" w:w="26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Fréquence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Seuils CA (2024)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Réel normal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CA3</w:t>
            </w:r>
          </w:p>
        </w:tc>
        <w:tc>
          <w:tcPr>
            <w:tcW w:type="dxa" w:w="2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Mensuelle ou trimestrielle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840 000 € (négoce) / 254 000 € (services)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Réel simplifié</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CA12</w:t>
            </w:r>
          </w:p>
        </w:tc>
        <w:tc>
          <w:tcPr>
            <w:tcW w:type="dxa" w:w="26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Annuelle (mai N+1)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840 000 € (négoce) / 254 000 € (services)</w:t>
            </w:r>
          </w:p>
        </w:tc>
      </w:tr>
    </w:tbl>
    <w:p>
      <w:pPr>
        <w:spacing w:after="60" w:before="60"/>
      </w:pPr>
      <w:r>
        <w:t xml:space="preserve"/>
      </w:r>
    </w:p>
    <w:p>
      <w:pPr>
        <w:pStyle w:val="Heading2"/>
        <w:spacing w:after="140" w:before="280"/>
      </w:pPr>
      <w:r>
        <w:rPr>
          <w:rFonts w:ascii="Arial" w:cs="Arial" w:eastAsia="Arial" w:hAnsi="Arial"/>
          <w:b/>
          <w:bCs/>
          <w:color w:val="1F4E79"/>
          <w:sz w:val="28"/>
          <w:szCs w:val="28"/>
        </w:rPr>
        <w:t xml:space="preserve">Comment utiliser ce module ?</w:t>
      </w:r>
    </w:p>
    <w:p>
      <w:pPr>
        <w:pStyle w:val="Heading3"/>
        <w:spacing w:after="100" w:before="200"/>
      </w:pPr>
      <w:r>
        <w:rPr>
          <w:rFonts w:ascii="Arial" w:cs="Arial" w:eastAsia="Arial" w:hAnsi="Arial"/>
          <w:b/>
          <w:bCs/>
          <w:color w:val="1A5C38"/>
          <w:sz w:val="24"/>
          <w:szCs w:val="24"/>
        </w:rPr>
        <w:t xml:space="preserve">Onglet 1 — Saisie manuelle</w:t>
      </w:r>
    </w:p>
    <w:p>
      <w:pPr>
        <w:pStyle w:val="ListParagraph"/>
        <w:numPr>
          <w:ilvl w:val="0"/>
          <w:numId w:val="2"/>
        </w:numPr>
        <w:spacing w:after="60" w:before="60"/>
      </w:pPr>
      <w:r>
        <w:rPr>
          <w:rFonts w:ascii="Arial" w:cs="Arial" w:eastAsia="Arial" w:hAnsi="Arial"/>
          <w:sz w:val="22"/>
          <w:szCs w:val="22"/>
        </w:rPr>
        <w:t xml:space="preserve">Renseignez les bases HT soumises à TVA par taux (20%, 10%, 5,5%, 2,1%)</w:t>
      </w:r>
    </w:p>
    <w:p>
      <w:pPr>
        <w:pStyle w:val="ListParagraph"/>
        <w:numPr>
          <w:ilvl w:val="0"/>
          <w:numId w:val="2"/>
        </w:numPr>
        <w:spacing w:after="60" w:before="60"/>
      </w:pPr>
      <w:r>
        <w:rPr>
          <w:rFonts w:ascii="Arial" w:cs="Arial" w:eastAsia="Arial" w:hAnsi="Arial"/>
          <w:sz w:val="22"/>
          <w:szCs w:val="22"/>
        </w:rPr>
        <w:t xml:space="preserve">Indiquez les opérations particulières : acquisitions intracommunautaires, autoliquidation</w:t>
      </w:r>
    </w:p>
    <w:p>
      <w:pPr>
        <w:pStyle w:val="ListParagraph"/>
        <w:numPr>
          <w:ilvl w:val="0"/>
          <w:numId w:val="2"/>
        </w:numPr>
        <w:spacing w:after="60" w:before="60"/>
      </w:pPr>
      <w:r>
        <w:rPr>
          <w:rFonts w:ascii="Arial" w:cs="Arial" w:eastAsia="Arial" w:hAnsi="Arial"/>
          <w:sz w:val="22"/>
          <w:szCs w:val="22"/>
        </w:rPr>
        <w:t xml:space="preserve">Saisissez la TVA déductible (ABS compte 44566, immos compte 44562, intracom 44563)</w:t>
      </w:r>
    </w:p>
    <w:p>
      <w:pPr>
        <w:pStyle w:val="ListParagraph"/>
        <w:numPr>
          <w:ilvl w:val="0"/>
          <w:numId w:val="2"/>
        </w:numPr>
        <w:spacing w:after="60" w:before="60"/>
      </w:pPr>
      <w:r>
        <w:rPr>
          <w:rFonts w:ascii="Arial" w:cs="Arial" w:eastAsia="Arial" w:hAnsi="Arial"/>
          <w:sz w:val="22"/>
          <w:szCs w:val="22"/>
        </w:rPr>
        <w:t xml:space="preserve">Indiquez le crédit de TVA de la période précédente (44567) si applicable</w:t>
      </w:r>
    </w:p>
    <w:p>
      <w:pPr>
        <w:pStyle w:val="ListParagraph"/>
        <w:numPr>
          <w:ilvl w:val="0"/>
          <w:numId w:val="2"/>
        </w:numPr>
        <w:spacing w:after="60" w:before="60"/>
      </w:pPr>
      <w:r>
        <w:rPr>
          <w:rFonts w:ascii="Arial" w:cs="Arial" w:eastAsia="Arial" w:hAnsi="Arial"/>
          <w:sz w:val="22"/>
          <w:szCs w:val="22"/>
        </w:rPr>
        <w:t xml:space="preserve">Cliquez « Calculer » : le résultat s’affiche instantanément</w:t>
      </w:r>
    </w:p>
    <w:p>
      <w:pPr>
        <w:spacing w:after="60" w:before="60"/>
      </w:pPr>
      <w:r>
        <w:t xml:space="preserve"/>
      </w:r>
    </w:p>
    <w:p>
      <w:pPr>
        <w:pStyle w:val="Heading3"/>
        <w:spacing w:after="100" w:before="200"/>
      </w:pPr>
      <w:r>
        <w:rPr>
          <w:rFonts w:ascii="Arial" w:cs="Arial" w:eastAsia="Arial" w:hAnsi="Arial"/>
          <w:b/>
          <w:bCs/>
          <w:color w:val="1A5C38"/>
          <w:sz w:val="24"/>
          <w:szCs w:val="24"/>
        </w:rPr>
        <w:t xml:space="preserve">Onglet 2 — Import balance</w:t>
      </w:r>
    </w:p>
    <w:p>
      <w:pPr>
        <w:pStyle w:val="ListParagraph"/>
        <w:numPr>
          <w:ilvl w:val="0"/>
          <w:numId w:val="2"/>
        </w:numPr>
        <w:spacing w:after="60" w:before="60"/>
      </w:pPr>
      <w:r>
        <w:rPr>
          <w:rFonts w:ascii="Arial" w:cs="Arial" w:eastAsia="Arial" w:hAnsi="Arial"/>
          <w:sz w:val="22"/>
          <w:szCs w:val="22"/>
        </w:rPr>
        <w:t xml:space="preserve">Déposez votre balance pour extraire automatiquement les comptes 445xx</w:t>
      </w:r>
    </w:p>
    <w:p>
      <w:pPr>
        <w:pStyle w:val="ListParagraph"/>
        <w:numPr>
          <w:ilvl w:val="0"/>
          <w:numId w:val="2"/>
        </w:numPr>
        <w:spacing w:after="60" w:before="60"/>
      </w:pPr>
      <w:r>
        <w:rPr>
          <w:rFonts w:ascii="Arial" w:cs="Arial" w:eastAsia="Arial" w:hAnsi="Arial"/>
          <w:sz w:val="22"/>
          <w:szCs w:val="22"/>
        </w:rPr>
        <w:t xml:space="preserve">Aperçu de la TVA collecte (44571), déductible ABS (44566), immos (44562)</w:t>
      </w:r>
    </w:p>
    <w:p>
      <w:pPr>
        <w:pStyle w:val="ListParagraph"/>
        <w:numPr>
          <w:ilvl w:val="0"/>
          <w:numId w:val="2"/>
        </w:numPr>
        <w:spacing w:after="60" w:before="60"/>
      </w:pPr>
      <w:r>
        <w:rPr>
          <w:rFonts w:ascii="Arial" w:cs="Arial" w:eastAsia="Arial" w:hAnsi="Arial"/>
          <w:sz w:val="22"/>
          <w:szCs w:val="22"/>
        </w:rPr>
        <w:t xml:space="preserve">Contrôle de cohérence entre TVA collecte et déductible affichs</w:t>
      </w:r>
    </w:p>
    <w:p>
      <w:pPr>
        <w:spacing w:after="60" w:before="60"/>
      </w:pPr>
      <w:r>
        <w:t xml:space="preserve"/>
      </w:r>
    </w:p>
    <w:p>
      <w:pPr>
        <w:pStyle w:val="Heading3"/>
        <w:spacing w:after="100" w:before="200"/>
      </w:pPr>
      <w:r>
        <w:rPr>
          <w:rFonts w:ascii="Arial" w:cs="Arial" w:eastAsia="Arial" w:hAnsi="Arial"/>
          <w:b/>
          <w:bCs/>
          <w:color w:val="1A5C38"/>
          <w:sz w:val="24"/>
          <w:szCs w:val="24"/>
        </w:rPr>
        <w:t xml:space="preserve">Onglet 3 — Guide taux &amp; comptes</w:t>
      </w:r>
    </w:p>
    <w:p>
      <w:pPr>
        <w:pStyle w:val="ListParagraph"/>
        <w:numPr>
          <w:ilvl w:val="0"/>
          <w:numId w:val="2"/>
        </w:numPr>
        <w:spacing w:after="60" w:before="60"/>
      </w:pPr>
      <w:r>
        <w:rPr>
          <w:rFonts w:ascii="Arial" w:cs="Arial" w:eastAsia="Arial" w:hAnsi="Arial"/>
          <w:sz w:val="22"/>
          <w:szCs w:val="22"/>
        </w:rPr>
        <w:t xml:space="preserve">Référentiel complet des taux TVA applicables en France avec exemples</w:t>
      </w:r>
    </w:p>
    <w:p>
      <w:pPr>
        <w:pStyle w:val="ListParagraph"/>
        <w:numPr>
          <w:ilvl w:val="0"/>
          <w:numId w:val="2"/>
        </w:numPr>
        <w:spacing w:after="60" w:before="60"/>
      </w:pPr>
      <w:r>
        <w:rPr>
          <w:rFonts w:ascii="Arial" w:cs="Arial" w:eastAsia="Arial" w:hAnsi="Arial"/>
          <w:sz w:val="22"/>
          <w:szCs w:val="22"/>
        </w:rPr>
        <w:t xml:space="preserve">Tableau des comptes PCG 44xxx détaillés</w:t>
      </w:r>
    </w:p>
    <w:p>
      <w:pPr>
        <w:pStyle w:val="ListParagraph"/>
        <w:numPr>
          <w:ilvl w:val="0"/>
          <w:numId w:val="2"/>
        </w:numPr>
        <w:spacing w:after="60" w:before="60"/>
      </w:pPr>
      <w:r>
        <w:rPr>
          <w:rFonts w:ascii="Arial" w:cs="Arial" w:eastAsia="Arial" w:hAnsi="Arial"/>
          <w:sz w:val="22"/>
          <w:szCs w:val="22"/>
        </w:rPr>
        <w:t xml:space="preserve">Comparatif CA3 vs CA12 et cas d’autoliquidation</w:t>
      </w:r>
    </w:p>
    <w:p>
      <w:pPr>
        <w:spacing w:after="60" w:before="60"/>
      </w:pPr>
      <w:r>
        <w:t xml:space="preserve"/>
      </w:r>
    </w:p>
    <w:p>
      <w:pPr>
        <w:pStyle w:val="Heading2"/>
        <w:spacing w:after="140" w:before="280"/>
      </w:pPr>
      <w:r>
        <w:rPr>
          <w:rFonts w:ascii="Arial" w:cs="Arial" w:eastAsia="Arial" w:hAnsi="Arial"/>
          <w:b/>
          <w:bCs/>
          <w:color w:val="1F4E79"/>
          <w:sz w:val="28"/>
          <w:szCs w:val="28"/>
        </w:rPr>
        <w:t xml:space="preserve">Taux TVA France (référence)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038"/>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Taux</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W w:type="dxa" w:w="60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Exemples concrets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Taux normal</w:t>
            </w:r>
          </w:p>
        </w:tc>
        <w:tc>
          <w:tcPr>
            <w:tcW w:type="dxa" w:w="6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Honoraires, conseil, biens courants, électronique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Taux intermédiaire</w:t>
            </w:r>
          </w:p>
        </w:tc>
        <w:tc>
          <w:tcPr>
            <w:tcW w:type="dxa" w:w="6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Restauration, transports, travaux logement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Taux réduit</w:t>
            </w:r>
          </w:p>
        </w:tc>
        <w:tc>
          <w:tcPr>
            <w:tcW w:type="dxa" w:w="6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Alimentation, livres, énergie (abonn.), équipement PMR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Taux super-réduit</w:t>
            </w:r>
          </w:p>
        </w:tc>
        <w:tc>
          <w:tcPr>
            <w:tcW w:type="dxa" w:w="6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Presse, médicaments remboursables SS, spectacles (100 repr.)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Exonéré</w:t>
            </w:r>
          </w:p>
        </w:tc>
        <w:tc>
          <w:tcPr>
            <w:tcW w:type="dxa" w:w="6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Exports hors UE, LIC, médecins, enseignement, assurance</w:t>
            </w:r>
          </w:p>
        </w:tc>
      </w:tr>
    </w:tbl>
    <w:p>
      <w:pPr>
        <w:spacing w:after="60" w:before="60"/>
      </w:pPr>
      <w:r>
        <w:t xml:space="preserve"/>
      </w:r>
    </w:p>
    <w:p>
      <w:pPr>
        <w:pStyle w:val="Heading2"/>
        <w:spacing w:after="140" w:before="280"/>
      </w:pPr>
      <w:r>
        <w:rPr>
          <w:rFonts w:ascii="Arial" w:cs="Arial" w:eastAsia="Arial" w:hAnsi="Arial"/>
          <w:b/>
          <w:bCs/>
          <w:color w:val="1F4E79"/>
          <w:sz w:val="28"/>
          <w:szCs w:val="28"/>
        </w:rPr>
        <w:t xml:space="preserve">Résultats et écritures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22B21" w:sz="3"/>
              <w:left w:val="single" w:color="922B21" w:sz="12"/>
              <w:bottom w:val="single" w:color="922B21" w:sz="3"/>
              <w:right w:val="single" w:color="CCCCCC" w:sz="1"/>
            </w:tcBorders>
            <w:shd w:fill="FADBD8" w:val="clear"/>
            <w:tcMar>
              <w:top w:type="dxa" w:w="120"/>
              <w:left w:type="dxa" w:w="200"/>
              <w:bottom w:type="dxa" w:w="120"/>
              <w:right w:type="dxa" w:w="120"/>
            </w:tcMar>
          </w:tcPr>
          <w:p>
            <w:pPr>
              <w:spacing w:after="60" w:before="80"/>
            </w:pPr>
            <w:r>
              <w:rPr>
                <w:rFonts w:ascii="Arial" w:cs="Arial" w:eastAsia="Arial" w:hAnsi="Arial"/>
                <w:b/>
                <w:bCs/>
                <w:color w:val="922B21"/>
                <w:sz w:val="22"/>
                <w:szCs w:val="22"/>
              </w:rPr>
              <w:t xml:space="preserve">📝  Écriture comptable — TVA à décaisser</w:t>
            </w:r>
          </w:p>
          <w:p>
            <w:pPr>
              <w:pStyle w:val="ListParagraph"/>
              <w:numPr>
                <w:ilvl w:val="0"/>
                <w:numId w:val="2"/>
              </w:numPr>
              <w:spacing w:after="40" w:before="40"/>
            </w:pPr>
            <w:r>
              <w:rPr>
                <w:rFonts w:ascii="Arial" w:cs="Arial" w:eastAsia="Arial" w:hAnsi="Arial"/>
                <w:sz w:val="21"/>
                <w:szCs w:val="21"/>
              </w:rPr>
              <w:t xml:space="preserve">Débit 44551 — TVA à décaisser  [Montant TVA nette]</w:t>
            </w:r>
          </w:p>
          <w:p>
            <w:pPr>
              <w:pStyle w:val="ListParagraph"/>
              <w:numPr>
                <w:ilvl w:val="0"/>
                <w:numId w:val="2"/>
              </w:numPr>
              <w:spacing w:after="40" w:before="40"/>
            </w:pPr>
            <w:r>
              <w:rPr>
                <w:rFonts w:ascii="Arial" w:cs="Arial" w:eastAsia="Arial" w:hAnsi="Arial"/>
                <w:sz w:val="21"/>
                <w:szCs w:val="21"/>
              </w:rPr>
              <w:t xml:space="preserve">  Crédit 512 — Banque          [Même montant]</w:t>
            </w:r>
          </w:p>
          <w:p>
            <w:pPr>
              <w:pStyle w:val="ListParagraph"/>
              <w:numPr>
                <w:ilvl w:val="0"/>
                <w:numId w:val="2"/>
              </w:numPr>
              <w:spacing w:after="40" w:before="40"/>
            </w:pPr>
            <w:r>
              <w:rPr>
                <w:rFonts w:ascii="Arial" w:cs="Arial" w:eastAsia="Arial" w:hAnsi="Arial"/>
                <w:sz w:val="21"/>
                <w:szCs w:val="21"/>
              </w:rPr>
              <w:t xml:space="preserve">→ Écriture passée à la date de règlement de la déclaration</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A5C38" w:sz="3"/>
              <w:left w:val="single" w:color="1A5C38" w:sz="12"/>
              <w:bottom w:val="single" w:color="1A5C38" w:sz="3"/>
              <w:right w:val="single" w:color="CCCCCC" w:sz="1"/>
            </w:tcBorders>
            <w:shd w:fill="D9EAD3" w:val="clear"/>
            <w:tcMar>
              <w:top w:type="dxa" w:w="120"/>
              <w:left w:type="dxa" w:w="200"/>
              <w:bottom w:type="dxa" w:w="120"/>
              <w:right w:type="dxa" w:w="120"/>
            </w:tcMar>
          </w:tcPr>
          <w:p>
            <w:pPr>
              <w:spacing w:after="60" w:before="80"/>
            </w:pPr>
            <w:r>
              <w:rPr>
                <w:rFonts w:ascii="Arial" w:cs="Arial" w:eastAsia="Arial" w:hAnsi="Arial"/>
                <w:b/>
                <w:bCs/>
                <w:color w:val="1A5C38"/>
                <w:sz w:val="22"/>
                <w:szCs w:val="22"/>
              </w:rPr>
              <w:t xml:space="preserve">📝  Écriture comptable — Crédit de TVA</w:t>
            </w:r>
          </w:p>
          <w:p>
            <w:pPr>
              <w:pStyle w:val="ListParagraph"/>
              <w:numPr>
                <w:ilvl w:val="0"/>
                <w:numId w:val="2"/>
              </w:numPr>
              <w:spacing w:after="40" w:before="40"/>
            </w:pPr>
            <w:r>
              <w:rPr>
                <w:rFonts w:ascii="Arial" w:cs="Arial" w:eastAsia="Arial" w:hAnsi="Arial"/>
                <w:sz w:val="21"/>
                <w:szCs w:val="21"/>
              </w:rPr>
              <w:t xml:space="preserve">Débit 44567 — Crédit de TVA  [Montant du crédit]</w:t>
            </w:r>
          </w:p>
          <w:p>
            <w:pPr>
              <w:pStyle w:val="ListParagraph"/>
              <w:numPr>
                <w:ilvl w:val="0"/>
                <w:numId w:val="2"/>
              </w:numPr>
              <w:spacing w:after="40" w:before="40"/>
            </w:pPr>
            <w:r>
              <w:rPr>
                <w:rFonts w:ascii="Arial" w:cs="Arial" w:eastAsia="Arial" w:hAnsi="Arial"/>
                <w:sz w:val="21"/>
                <w:szCs w:val="21"/>
              </w:rPr>
              <w:t xml:space="preserve">  Crédit 44551 — TVA à décaisser  [Même montant]</w:t>
            </w:r>
          </w:p>
          <w:p>
            <w:pPr>
              <w:pStyle w:val="ListParagraph"/>
              <w:numPr>
                <w:ilvl w:val="0"/>
                <w:numId w:val="2"/>
              </w:numPr>
              <w:spacing w:after="40" w:before="40"/>
            </w:pPr>
            <w:r>
              <w:rPr>
                <w:rFonts w:ascii="Arial" w:cs="Arial" w:eastAsia="Arial" w:hAnsi="Arial"/>
                <w:sz w:val="21"/>
                <w:szCs w:val="21"/>
              </w:rPr>
              <w:t xml:space="preserve">→ Report du crédit sur la période suivante (ou demande de remboursement si &gt; 760 €)</w:t>
            </w:r>
          </w:p>
        </w:tc>
      </w:tr>
    </w:tbl>
    <w:p>
      <w:pPr>
        <w:spacing w:after="60" w:before="60"/>
      </w:pPr>
      <w:r>
        <w:t xml:space="preserve"/>
      </w:r>
    </w:p>
    <w:p>
      <w:r>
        <w:br w:type="page"/>
      </w:r>
    </w:p>
    <w:p>
      <w:pPr>
        <w:pStyle w:val="Heading1"/>
        <w:spacing w:after="200" w:before="360"/>
      </w:pPr>
      <w:r>
        <w:rPr>
          <w:rFonts w:ascii="Arial" w:cs="Arial" w:eastAsia="Arial" w:hAnsi="Arial"/>
          <w:b/>
          <w:bCs/>
          <w:color w:val="1F4E79"/>
          <w:sz w:val="36"/>
          <w:szCs w:val="36"/>
        </w:rPr>
        <w:t xml:space="preserve">Formats de balance acceptés</w:t>
      </w:r>
    </w:p>
    <w:p>
      <w:pPr>
        <w:spacing w:after="80" w:before="80"/>
      </w:pPr>
      <w:r>
        <w:rPr>
          <w:rFonts w:ascii="Arial" w:cs="Arial" w:eastAsia="Arial" w:hAnsi="Arial"/>
          <w:sz w:val="22"/>
          <w:szCs w:val="22"/>
        </w:rPr>
        <w:t xml:space="preserve">Les 4 modules qui importent une balance comptable sont compatibles avec les formats suivants :</w:t>
      </w:r>
    </w:p>
    <w:p>
      <w:pPr>
        <w:spacing w:after="60" w:before="60"/>
      </w:pPr>
      <w:r>
        <w:t xml:space="preserve"/>
      </w:r>
    </w:p>
    <w:tbl>
      <w:tblPr>
        <w:tblW w:type="dxa" w:w="9238"/>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38"/>
        <w:gridCol w:w="26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Extension</w:t>
            </w:r>
          </w:p>
        </w:tc>
        <w:tc>
          <w:tcPr>
            <w:tcW w:type="dxa" w:w="30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Colonnes requises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Logiciels sources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 CSV standard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CompteNum, Debit, Credit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 LibreOffice, exports ERP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Balance Excel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.xlsx</w:t>
            </w:r>
          </w:p>
        </w:tc>
        <w:tc>
          <w:tcPr>
            <w:tcW w:type="dxa" w:w="3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CompteNum, Debit, Credit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Sage, EBP, Cegid, Quadratus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 DGFiP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.txt / .csv</w:t>
            </w:r>
          </w:p>
        </w:tc>
        <w:tc>
          <w:tcPr>
            <w:tcW w:type="dxa" w:w="30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CompteNum, Debit, Credit (colonne 8/9)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 logiciel de comptabilité</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Balance SoldeDebit/SoldeCredit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.csv / .xlsx</w:t>
            </w:r>
          </w:p>
        </w:tc>
        <w:tc>
          <w:tcPr>
            <w:tcW w:type="dxa" w:w="30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CompteNum, SoldeDebit, SoldeCredit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Exports spécifiques Sage 100</w:t>
            </w:r>
          </w:p>
        </w:tc>
      </w:tr>
    </w:tbl>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3"/>
              <w:left w:val="single" w:color="1F4E79" w:sz="12"/>
              <w:bottom w:val="single" w:color="1F4E79" w:sz="3"/>
              <w:right w:val="single" w:color="CCCCCC" w:sz="1"/>
            </w:tcBorders>
            <w:shd w:fill="D5E8F0" w:val="clear"/>
            <w:tcMar>
              <w:top w:type="dxa" w:w="120"/>
              <w:left w:type="dxa" w:w="200"/>
              <w:bottom w:type="dxa" w:w="120"/>
              <w:right w:type="dxa" w:w="120"/>
            </w:tcMar>
          </w:tcPr>
          <w:p>
            <w:pPr>
              <w:spacing w:after="60" w:before="80"/>
            </w:pPr>
            <w:r>
              <w:rPr>
                <w:rFonts w:ascii="Arial" w:cs="Arial" w:eastAsia="Arial" w:hAnsi="Arial"/>
                <w:b/>
                <w:bCs/>
                <w:color w:val="1F4E79"/>
                <w:sz w:val="22"/>
                <w:szCs w:val="22"/>
              </w:rPr>
              <w:t xml:space="preserve">🔧  Parser intelligent</w:t>
            </w:r>
          </w:p>
          <w:p>
            <w:pPr>
              <w:pStyle w:val="ListParagraph"/>
              <w:numPr>
                <w:ilvl w:val="0"/>
                <w:numId w:val="2"/>
              </w:numPr>
              <w:spacing w:after="40" w:before="40"/>
            </w:pPr>
            <w:r>
              <w:rPr>
                <w:rFonts w:ascii="Arial" w:cs="Arial" w:eastAsia="Arial" w:hAnsi="Arial"/>
                <w:sz w:val="21"/>
                <w:szCs w:val="21"/>
              </w:rPr>
              <w:t xml:space="preserve">L’application détecte automatiquement le format de la balance (séparateur, encodage, noms de colonnes)</w:t>
            </w:r>
          </w:p>
          <w:p>
            <w:pPr>
              <w:pStyle w:val="ListParagraph"/>
              <w:numPr>
                <w:ilvl w:val="0"/>
                <w:numId w:val="2"/>
              </w:numPr>
              <w:spacing w:after="40" w:before="40"/>
            </w:pPr>
            <w:r>
              <w:rPr>
                <w:rFonts w:ascii="Arial" w:cs="Arial" w:eastAsia="Arial" w:hAnsi="Arial"/>
                <w:sz w:val="21"/>
                <w:szCs w:val="21"/>
              </w:rPr>
              <w:t xml:space="preserve">Les variantes de noms de colonnes sont acceptées : Compte, NumCompte, num_compte, etc.</w:t>
            </w:r>
          </w:p>
          <w:p>
            <w:pPr>
              <w:pStyle w:val="ListParagraph"/>
              <w:numPr>
                <w:ilvl w:val="0"/>
                <w:numId w:val="2"/>
              </w:numPr>
              <w:spacing w:after="40" w:before="40"/>
            </w:pPr>
            <w:r>
              <w:rPr>
                <w:rFonts w:ascii="Arial" w:cs="Arial" w:eastAsia="Arial" w:hAnsi="Arial"/>
                <w:sz w:val="21"/>
                <w:szCs w:val="21"/>
              </w:rPr>
              <w:t xml:space="preserve">Si la détection échoue, exportez la balance en CSV depuis votre logiciel avec les en-têtes standards</w:t>
            </w:r>
          </w:p>
        </w:tc>
      </w:tr>
    </w:tbl>
    <w:p>
      <w:pPr>
        <w:spacing w:after="60" w:before="60"/>
      </w:pPr>
      <w:r>
        <w:t xml:space="preserve"/>
      </w:r>
    </w:p>
    <w:p>
      <w:r>
        <w:br w:type="page"/>
      </w:r>
    </w:p>
    <w:p>
      <w:pPr>
        <w:pStyle w:val="Heading1"/>
        <w:spacing w:after="200" w:before="360"/>
      </w:pPr>
      <w:r>
        <w:rPr>
          <w:rFonts w:ascii="Arial" w:cs="Arial" w:eastAsia="Arial" w:hAnsi="Arial"/>
          <w:b/>
          <w:bCs/>
          <w:color w:val="1F4E79"/>
          <w:sz w:val="36"/>
          <w:szCs w:val="36"/>
        </w:rPr>
        <w:t xml:space="preserve">Questions fréquentes (FAQ)</w:t>
      </w:r>
    </w:p>
    <w:p>
      <w:pPr>
        <w:spacing w:after="60" w:before="60"/>
      </w:pPr>
      <w:r>
        <w:t xml:space="preserve"/>
      </w:r>
    </w:p>
    <w:p>
      <w:pPr>
        <w:spacing w:after="80" w:before="80"/>
      </w:pPr>
      <w:r>
        <w:rPr>
          <w:rFonts w:ascii="Arial" w:cs="Arial" w:eastAsia="Arial" w:hAnsi="Arial"/>
          <w:b/>
          <w:bCs/>
          <w:sz w:val="22"/>
          <w:szCs w:val="22"/>
        </w:rPr>
        <w:t xml:space="preserve">L’application conserve-t-elle mes données comptables ?</w:t>
      </w:r>
    </w:p>
    <w:p>
      <w:pPr>
        <w:spacing w:after="80" w:before="80"/>
      </w:pPr>
      <w:r>
        <w:rPr>
          <w:rFonts w:ascii="Arial" w:cs="Arial" w:eastAsia="Arial" w:hAnsi="Arial"/>
          <w:sz w:val="22"/>
          <w:szCs w:val="22"/>
        </w:rPr>
        <w:t xml:space="preserve">Non. L’application ne stocke pas les fichiers uploadés. Toutes les analyses sont réalisées en mémoire lors de votre session. Si vous souhaitez conserver les résultats, utilisez les boutons d’export Excel ou Word prévus dans chaque module.</w:t>
      </w:r>
    </w:p>
    <w:p>
      <w:pPr>
        <w:spacing w:after="60" w:before="60"/>
      </w:pPr>
      <w:r>
        <w:t xml:space="preserve"/>
      </w:r>
    </w:p>
    <w:p>
      <w:pPr>
        <w:spacing w:after="80" w:before="80"/>
      </w:pPr>
      <w:r>
        <w:rPr>
          <w:rFonts w:ascii="Arial" w:cs="Arial" w:eastAsia="Arial" w:hAnsi="Arial"/>
          <w:b/>
          <w:bCs/>
          <w:sz w:val="22"/>
          <w:szCs w:val="22"/>
        </w:rPr>
        <w:t xml:space="preserve">Puis-je utiliser des balances de logiciels différents pour le Comparatif N/N-1 ?</w:t>
      </w:r>
    </w:p>
    <w:p>
      <w:pPr>
        <w:spacing w:after="80" w:before="80"/>
      </w:pPr>
      <w:r>
        <w:rPr>
          <w:rFonts w:ascii="Arial" w:cs="Arial" w:eastAsia="Arial" w:hAnsi="Arial"/>
          <w:sz w:val="22"/>
          <w:szCs w:val="22"/>
        </w:rPr>
        <w:t xml:space="preserve">Oui. Les deux balances (N et N-1) peuvent provenir de logiciels différents. L’important est que les deux fichiers contiennent les colonnes CompteNum, Debit et Credit (ou leurs variantes détectées automatiquement).</w:t>
      </w:r>
    </w:p>
    <w:p>
      <w:pPr>
        <w:spacing w:after="60" w:before="60"/>
      </w:pPr>
      <w:r>
        <w:t xml:space="preserve"/>
      </w:r>
    </w:p>
    <w:p>
      <w:pPr>
        <w:spacing w:after="80" w:before="80"/>
      </w:pPr>
      <w:r>
        <w:rPr>
          <w:rFonts w:ascii="Arial" w:cs="Arial" w:eastAsia="Arial" w:hAnsi="Arial"/>
          <w:b/>
          <w:bCs/>
          <w:sz w:val="22"/>
          <w:szCs w:val="22"/>
        </w:rPr>
        <w:t xml:space="preserve">L’analyse IA est-elle obligatoire ?</w:t>
      </w:r>
    </w:p>
    <w:p>
      <w:pPr>
        <w:spacing w:after="80" w:before="80"/>
      </w:pPr>
      <w:r>
        <w:rPr>
          <w:rFonts w:ascii="Arial" w:cs="Arial" w:eastAsia="Arial" w:hAnsi="Arial"/>
          <w:sz w:val="22"/>
          <w:szCs w:val="22"/>
        </w:rPr>
        <w:t xml:space="preserve">Non. Les modules fonctionnent entièrement sans IA. L’analyse Mistral est un service additionnel qui nécessite une clé API configurée dans les secrets de l’application. Si elle n’est pas configurée, tous les calculs et exports restent disponibles.</w:t>
      </w:r>
    </w:p>
    <w:p>
      <w:pPr>
        <w:spacing w:after="60" w:before="60"/>
      </w:pPr>
      <w:r>
        <w:t xml:space="preserve"/>
      </w:r>
    </w:p>
    <w:p>
      <w:pPr>
        <w:spacing w:after="80" w:before="80"/>
      </w:pPr>
      <w:r>
        <w:rPr>
          <w:rFonts w:ascii="Arial" w:cs="Arial" w:eastAsia="Arial" w:hAnsi="Arial"/>
          <w:b/>
          <w:bCs/>
          <w:sz w:val="22"/>
          <w:szCs w:val="22"/>
        </w:rPr>
        <w:t xml:space="preserve">Comment exporter les résultats pour les intégrer à un dossier client ?</w:t>
      </w:r>
    </w:p>
    <w:p>
      <w:pPr>
        <w:spacing w:after="80" w:before="80"/>
      </w:pPr>
      <w:r>
        <w:rPr>
          <w:rFonts w:ascii="Arial" w:cs="Arial" w:eastAsia="Arial" w:hAnsi="Arial"/>
          <w:sz w:val="22"/>
          <w:szCs w:val="22"/>
        </w:rPr>
        <w:t xml:space="preserve">Chaque module propose un bouton de téléchargement Excel en bas de page. Les fichiers sont entièrement formatés, prêts à être joints à un rapport ou une présentation. Pour certains modules, un rapport Word est également généré par l’IA.</w:t>
      </w:r>
    </w:p>
    <w:p>
      <w:pPr>
        <w:spacing w:after="60" w:before="60"/>
      </w:pPr>
      <w:r>
        <w:t xml:space="preserve"/>
      </w:r>
    </w:p>
    <w:p>
      <w:pPr>
        <w:spacing w:after="80" w:before="80"/>
      </w:pPr>
      <w:r>
        <w:rPr>
          <w:rFonts w:ascii="Arial" w:cs="Arial" w:eastAsia="Arial" w:hAnsi="Arial"/>
          <w:b/>
          <w:bCs/>
          <w:sz w:val="22"/>
          <w:szCs w:val="22"/>
        </w:rPr>
        <w:t xml:space="preserve">Le Plan de Financement est-il conforme à ce qu’exige une banque ?</w:t>
      </w:r>
    </w:p>
    <w:p>
      <w:pPr>
        <w:spacing w:after="80" w:before="80"/>
      </w:pPr>
      <w:r>
        <w:rPr>
          <w:rFonts w:ascii="Arial" w:cs="Arial" w:eastAsia="Arial" w:hAnsi="Arial"/>
          <w:sz w:val="22"/>
          <w:szCs w:val="22"/>
        </w:rPr>
        <w:t xml:space="preserve">Oui. Les rubriques RESSOURCES / EMPLOIS suivent la présentation standard PCG recommandée par les établissements financiers. Pour un dossier de financement bancaire, nous recommandons de compléter le Plan de Financement avec un business plan narratif et les 3 derniers bilans.</w:t>
      </w:r>
    </w:p>
    <w:p>
      <w:pPr>
        <w:spacing w:after="60" w:before="60"/>
      </w:pPr>
      <w:r>
        <w:t xml:space="preserve"/>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3"/>
              <w:left w:val="single" w:color="1F4E79" w:sz="3"/>
              <w:bottom w:val="single" w:color="1F4E79" w:sz="3"/>
              <w:right w:val="single" w:color="1F4E79" w:sz="3"/>
            </w:tcBorders>
            <w:shd w:fill="1F4E79" w:val="clear"/>
            <w:tcMar>
              <w:top w:type="dxa" w:w="300"/>
              <w:left w:type="dxa" w:w="400"/>
              <w:bottom w:type="dxa" w:w="300"/>
              <w:right w:type="dxa" w:w="400"/>
            </w:tcMar>
          </w:tcPr>
          <w:p>
            <w:pPr>
              <w:jc w:val="center"/>
            </w:pPr>
            <w:r>
              <w:rPr>
                <w:rFonts w:ascii="Arial" w:cs="Arial" w:eastAsia="Arial" w:hAnsi="Arial"/>
                <w:b/>
                <w:bCs/>
                <w:color w:val="FFFFFF"/>
                <w:sz w:val="32"/>
                <w:szCs w:val="32"/>
              </w:rPr>
              <w:t xml:space="preserve">SMD Consulting</w:t>
            </w:r>
          </w:p>
          <w:p>
            <w:pPr>
              <w:spacing w:before="80"/>
              <w:jc w:val="center"/>
            </w:pPr>
            <w:r>
              <w:rPr>
                <w:rFonts w:ascii="Arial" w:cs="Arial" w:eastAsia="Arial" w:hAnsi="Arial"/>
                <w:i/>
                <w:iCs/>
                <w:color w:val="AECDE8"/>
                <w:sz w:val="22"/>
                <w:szCs w:val="22"/>
              </w:rPr>
              <w:t xml:space="preserve">Expertise Comptable &amp; Conseil | Superviseur IA Comptable</w:t>
            </w:r>
          </w:p>
          <w:p>
            <w:pPr>
              <w:spacing w:after="60" w:before="60"/>
            </w:pPr>
            <w:r>
              <w:t xml:space="preserve"/>
            </w:r>
          </w:p>
          <w:p>
            <w:pPr>
              <w:jc w:val="center"/>
            </w:pPr>
            <w:r>
              <w:rPr>
                <w:rFonts w:ascii="Arial" w:cs="Arial" w:eastAsia="Arial" w:hAnsi="Arial"/>
                <w:color w:val="FFFFFF"/>
                <w:sz w:val="22"/>
                <w:szCs w:val="22"/>
              </w:rPr>
              <w:t xml:space="preserve">✉️  diallosouleymane19@gmail.com</w:t>
            </w:r>
          </w:p>
          <w:p>
            <w:pPr>
              <w:spacing w:before="80"/>
              <w:jc w:val="center"/>
            </w:pPr>
            <w:r>
              <w:rPr>
                <w:rFonts w:ascii="Arial" w:cs="Arial" w:eastAsia="Arial" w:hAnsi="Arial"/>
                <w:color w:val="AECDE8"/>
                <w:sz w:val="18"/>
                <w:szCs w:val="18"/>
              </w:rPr>
              <w:t xml:space="preserve">Version 1.0  |  Mai 2026  |  PCG France — ANC/CRC 99-02</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spacing w:before="80"/>
      <w:jc w:val="center"/>
    </w:pPr>
    <w:r>
      <w:rPr>
        <w:rFonts w:ascii="Arial" w:cs="Arial" w:eastAsia="Arial" w:hAnsi="Arial"/>
        <w:color w:val="888888"/>
        <w:sz w:val="16"/>
        <w:szCs w:val="16"/>
      </w:rPr>
      <w:t xml:space="preserve">SMD Consulting — Superviseur IA Comptable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pBdr>
      <w:tabs>
        <w:tab w:val="right" w:pos="9638"/>
      </w:tabs>
    </w:pPr>
    <w:r>
      <w:rPr>
        <w:rFonts w:ascii="Arial" w:cs="Arial" w:eastAsia="Arial" w:hAnsi="Arial"/>
        <w:b/>
        <w:bCs/>
        <w:color w:val="1F4E79"/>
        <w:sz w:val="18"/>
        <w:szCs w:val="18"/>
      </w:rPr>
      <w:t xml:space="preserve">Superviseur IA — SMD Consulting</w:t>
    </w:r>
    <w:r>
      <w:rPr>
        <w:rFonts w:ascii="Arial" w:cs="Arial" w:eastAsia="Arial" w:hAnsi="Arial"/>
        <w:color w:val="888888"/>
        <w:sz w:val="18"/>
        <w:szCs w:val="18"/>
      </w:rPr>
      <w:t xml:space="preserve">		Guide Utilisateur — Modules Financiers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5C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2026-05-18T18:38:57.785Z</dcterms:created>
  <dcterms:modified xsi:type="dcterms:W3CDTF">2026-05-18T18:38:57.785Z</dcterms:modified>
</cp:coreProperties>
</file>

<file path=docProps/custom.xml><?xml version="1.0" encoding="utf-8"?>
<Properties xmlns="http://schemas.openxmlformats.org/officeDocument/2006/custom-properties" xmlns:vt="http://schemas.openxmlformats.org/officeDocument/2006/docPropsVTypes"/>
</file>