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Examples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example</w:t>
      </w:r>
      <w:r>
        <w:t xml:space="preserve"> </w:t>
      </w:r>
      <w:r>
        <w:t xml:space="preserve">document</w:t>
      </w:r>
      <w:r>
        <w:t xml:space="preserve"> </w:t>
      </w:r>
      <w:r>
        <w:t xml:space="preserve">recreates</w:t>
      </w:r>
      <w:r>
        <w:t xml:space="preserve"> </w:t>
      </w:r>
      <w:r>
        <w:t xml:space="preserve">in</w:t>
      </w:r>
      <w:r>
        <w:t xml:space="preserve"> </w:t>
      </w:r>
      <w:r>
        <w:t xml:space="preserve">markdown</w:t>
      </w:r>
      <w:r>
        <w:t xml:space="preserve"> </w:t>
      </w:r>
      <w:r>
        <w:t xml:space="preserve">the</w:t>
      </w:r>
      <w:r>
        <w:t xml:space="preserve"> </w:t>
      </w:r>
      <w:r>
        <w:t xml:space="preserve">AMS</w:t>
      </w:r>
      <w:r>
        <w:t xml:space="preserve"> </w:t>
      </w:r>
      <w:r>
        <w:t xml:space="preserve">LaTeX</w:t>
      </w:r>
      <w:r>
        <w:t xml:space="preserve"> </w:t>
      </w:r>
      <w:r>
        <w:t xml:space="preserve">package’s</w:t>
      </w:r>
      <w:r>
        <w:t xml:space="preserve"> </w:t>
      </w:r>
      <w:r>
        <w:t xml:space="preserve">“</w:t>
      </w:r>
      <w:r>
        <w:t xml:space="preserve">Newtheorem</w:t>
      </w:r>
      <w:r>
        <w:t xml:space="preserve"> </w:t>
      </w:r>
      <w:r>
        <w:t xml:space="preserve">andtheoremstyle</w:t>
      </w:r>
      <w:r>
        <w:t xml:space="preserve"> </w:t>
      </w:r>
      <w:r>
        <w:t xml:space="preserve">test</w:t>
      </w:r>
      <w:r>
        <w:t xml:space="preserve">”</w:t>
      </w:r>
      <w:r>
        <w:t xml:space="preserve"> </w:t>
      </w:r>
      <w:r>
        <w:t xml:space="preserve">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thmtest.pdf</w:t>
      </w:r>
      <w:r>
        <w:t xml:space="preserve">)</w:t>
      </w:r>
      <w:r>
        <w:t xml:space="preserve"> </w:t>
      </w:r>
      <w:r>
        <w:t xml:space="preserve">by</w:t>
      </w:r>
      <w:r>
        <w:t xml:space="preserve"> </w:t>
      </w:r>
      <w:r>
        <w:t xml:space="preserve">Michael</w:t>
      </w:r>
      <w:r>
        <w:t xml:space="preserve"> </w:t>
      </w:r>
      <w:r>
        <w:t xml:space="preserve">Downes</w:t>
      </w:r>
      <w:r>
        <w:t xml:space="preserve"> </w:t>
      </w:r>
      <w:r>
        <w:t xml:space="preserve">and</w:t>
      </w:r>
      <w:r>
        <w:t xml:space="preserve"> </w:t>
      </w:r>
      <w:r>
        <w:t xml:space="preserve">Barbara</w:t>
      </w:r>
      <w:r>
        <w:t xml:space="preserve"> </w:t>
      </w:r>
      <w:r>
        <w:t xml:space="preserve">Beeton</w:t>
      </w:r>
      <w:r>
        <w:t xml:space="preserve"> </w:t>
      </w:r>
      <w:r>
        <w:t xml:space="preserve">in</w:t>
      </w:r>
      <w:r>
        <w:t xml:space="preserve"> </w:t>
      </w:r>
      <w:r>
        <w:t xml:space="preserve">markdown.</w:t>
      </w:r>
    </w:p>
    <w:bookmarkStart w:id="22" w:name="test-of-standard-theorem-styles"/>
    <w:p>
      <w:pPr>
        <w:pStyle w:val="Heading1"/>
      </w:pPr>
      <w:r>
        <w:t xml:space="preserve">1. Test of standard theorem styles</w:t>
      </w:r>
    </w:p>
    <w:p>
      <w:pPr>
        <w:pStyle w:val="FirstParagraph"/>
      </w:pPr>
      <w:r>
        <w:t xml:space="preserve">Ahlfors’ Lemma gives the principal criterion for obtaining lower bounds</w:t>
      </w:r>
      <w:r>
        <w:t xml:space="preserve"> </w:t>
      </w:r>
      <w:r>
        <w:t xml:space="preserve">on the Kobayashi metric.</w:t>
      </w:r>
    </w:p>
    <w:p>
      <w:pPr>
        <w:pStyle w:val="BodyText"/>
      </w:pPr>
      <w:bookmarkStart w:id="20" w:name="ahlfors�--s-lemma"/>
      <w:bookmarkEnd w:id="20"/>
      <w:r>
        <w:rPr>
          <w:bCs/>
          <w:b/>
        </w:rPr>
        <w:t xml:space="preserve">Ahlfors’s Lemma</w:t>
      </w:r>
      <w:r>
        <w:t xml:space="preserve">.</w:t>
      </w:r>
      <w:r>
        <w:t xml:space="preserve"> </w:t>
      </w:r>
      <w:r>
        <w:rPr>
          <w:iCs/>
          <w:i/>
        </w:rPr>
        <w:t xml:space="preserve">Let</w:t>
      </w:r>
      <w:r>
        <w:rPr>
          <w:iCs/>
          <w:i/>
        </w:rPr>
        <w:t xml:space="preserve"> </w:t>
      </w:r>
      <m:oMath>
        <m:r>
          <m:t>d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d</m:t>
                </m:r>
                <m:r>
                  <m:t>z</m:t>
                </m:r>
              </m:e>
            </m:d>
          </m:e>
          <m:sup>
            <m:r>
              <m:t>2</m:t>
            </m:r>
          </m:sup>
        </m:sSup>
      </m:oMath>
      <w:r>
        <w:rPr>
          <w:iCs/>
          <w:i/>
        </w:rPr>
        <w:t xml:space="preserve"> </w:t>
      </w:r>
      <w:r>
        <w:rPr>
          <w:iCs/>
          <w:i/>
        </w:rPr>
        <w:t xml:space="preserve">be a Hermitian</w:t>
      </w:r>
      <w:r>
        <w:rPr>
          <w:iCs/>
          <w:i/>
        </w:rPr>
        <w:t xml:space="preserve"> </w:t>
      </w:r>
      <w:r>
        <w:rPr>
          <w:iCs/>
          <w:i/>
        </w:rPr>
        <w:t xml:space="preserve">pseudo-metric on</w:t>
      </w:r>
      <w:r>
        <w:rPr>
          <w:iCs/>
          <w:i/>
        </w:rPr>
        <w:t xml:space="preserve"> </w:t>
      </w:r>
      <m:oMath>
        <m:sSub>
          <m:e>
            <m:r>
              <m:rPr>
                <m:sty m:val="b"/>
              </m:rPr>
              <m:t>D</m:t>
            </m:r>
          </m:e>
          <m:sub>
            <m:r>
              <m:t>r</m:t>
            </m:r>
          </m:sub>
        </m:sSub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h</m:t>
        </m:r>
        <m:r>
          <m:rPr>
            <m:sty m:val="p"/>
          </m:rPr>
          <m:t>∈</m:t>
        </m:r>
        <m:sSup>
          <m:e>
            <m:r>
              <m:t>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D</m:t>
                </m:r>
              </m:e>
              <m:sub>
                <m:r>
                  <m:t>r</m:t>
                </m:r>
              </m:sub>
            </m:sSub>
          </m:e>
        </m:d>
      </m:oMath>
      <w:r>
        <w:rPr>
          <w:iCs/>
          <w:i/>
        </w:rPr>
        <w:t xml:space="preserve">, with</w:t>
      </w:r>
      <w:r>
        <w:rPr>
          <w:iCs/>
          <w:i/>
        </w:rPr>
        <w:t xml:space="preserve"> </w:t>
      </w:r>
      <m:oMath>
        <m:r>
          <m:t>ω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the associated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rPr>
          <w:iCs/>
          <w:i/>
        </w:rPr>
        <w:t xml:space="preserve">-form. If</w:t>
      </w:r>
      <w:r>
        <w:rPr>
          <w:iCs/>
          <w:i/>
        </w:rPr>
        <w:t xml:space="preserve"> </w:t>
      </w:r>
      <m:oMath>
        <m:r>
          <m:rPr>
            <m:sty m:val="p"/>
          </m:rPr>
          <m:t>Ric</m:t>
        </m:r>
        <m:r>
          <m:t>ω</m:t>
        </m:r>
        <m:r>
          <m:rPr>
            <m:sty m:val="p"/>
          </m:rPr>
          <m:t>≥</m:t>
        </m:r>
        <m:r>
          <m:t>ω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m:oMath>
        <m:sSub>
          <m:e>
            <m:r>
              <m:rPr>
                <m:sty m:val="b"/>
              </m:rPr>
              <m:t>D</m:t>
            </m:r>
          </m:e>
          <m:sub>
            <m:r>
              <m:t>r</m:t>
            </m:r>
          </m:sub>
        </m:sSub>
      </m:oMath>
      <w:r>
        <w:rPr>
          <w:iCs/>
          <w:i/>
        </w:rPr>
        <w:t xml:space="preserve">, then</w:t>
      </w:r>
      <w:r>
        <w:rPr>
          <w:iCs/>
          <w:i/>
        </w:rPr>
        <w:t xml:space="preserve"> </w:t>
      </w:r>
      <m:oMath>
        <m:r>
          <m:t>ω</m:t>
        </m:r>
        <m:r>
          <m:rPr>
            <m:sty m:val="p"/>
          </m:rPr>
          <m:t>≤</m:t>
        </m:r>
        <m:sSub>
          <m:e>
            <m:r>
              <m:t>ω</m:t>
            </m:r>
          </m:e>
          <m:sub>
            <m:r>
              <m:t>r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on all of</w:t>
      </w:r>
      <w:r>
        <w:rPr>
          <w:iCs/>
          <w:i/>
        </w:rPr>
        <w:t xml:space="preserve"> </w:t>
      </w:r>
      <m:oMath>
        <m:sSub>
          <m:e>
            <m:r>
              <m:rPr>
                <m:sty m:val="b"/>
              </m:rPr>
              <m:t>D</m:t>
            </m:r>
          </m:e>
          <m:sub>
            <m:r>
              <m:t>r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(or equivalently,</w:t>
      </w:r>
      <w:r>
        <w:rPr>
          <w:iCs/>
          <w:i/>
        </w:rPr>
        <w:t xml:space="preserve"> </w:t>
      </w:r>
      <m:oMath>
        <m:r>
          <m:t>d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d</m:t>
        </m:r>
        <m:sSubSup>
          <m:e>
            <m:r>
              <m:t>s</m:t>
            </m:r>
          </m:e>
          <m:sub>
            <m:r>
              <m:t>r</m:t>
            </m:r>
          </m:sub>
          <m:sup>
            <m:r>
              <m:t>2</m:t>
            </m:r>
          </m:sup>
        </m:sSubSup>
      </m:oMath>
      <w:r>
        <w:rPr>
          <w:iCs/>
          <w:i/>
        </w:rPr>
        <w:t xml:space="preserve">).</w:t>
      </w:r>
    </w:p>
    <w:p>
      <w:pPr>
        <w:pStyle w:val="BodyText"/>
      </w:pPr>
      <w:r>
        <w:rPr>
          <w:bCs/>
          <w:b/>
        </w:rPr>
        <w:t xml:space="preserve">Lemma 1.1</w:t>
      </w:r>
      <w:r>
        <w:t xml:space="preserve"> </w:t>
      </w:r>
      <w:r>
        <w:t xml:space="preserve">(negatively curved families).</w:t>
      </w:r>
      <w:r>
        <w:t xml:space="preserve"> </w:t>
      </w:r>
      <w:r>
        <w:rPr>
          <w:iCs/>
          <w:i/>
        </w:rPr>
        <w:t xml:space="preserve">Let</w:t>
      </w:r>
      <w:r>
        <w:rPr>
          <w:iCs/>
          <w:i/>
        </w:rPr>
        <w:t xml:space="preserve"> </w:t>
      </w:r>
      <m:oMath>
        <m:r>
          <m:rPr>
            <m:sty m:val="p"/>
          </m:rPr>
          <m:t>{</m:t>
        </m:r>
        <m:r>
          <m:t>d</m:t>
        </m:r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d</m:t>
        </m:r>
        <m:sSubSup>
          <m:e>
            <m:r>
              <m:t>s</m:t>
            </m:r>
          </m:e>
          <m:sub>
            <m:r>
              <m:t>k</m:t>
            </m:r>
          </m:sub>
          <m:sup>
            <m:r>
              <m:t>2</m:t>
            </m:r>
          </m:sup>
        </m:sSubSup>
        <m:r>
          <m:rPr>
            <m:sty m:val="p"/>
          </m:rPr>
          <m:t>}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be a negatively curved family of metrics on</w:t>
      </w:r>
      <w:r>
        <w:rPr>
          <w:iCs/>
          <w:i/>
        </w:rPr>
        <w:t xml:space="preserve"> </w:t>
      </w:r>
      <m:oMath>
        <m:sSub>
          <m:e>
            <m:r>
              <m:rPr>
                <m:sty m:val="b"/>
              </m:rPr>
              <m:t>D</m:t>
            </m:r>
          </m:e>
          <m:sub>
            <m:r>
              <m:t>r</m:t>
            </m:r>
          </m:sub>
        </m:sSub>
      </m:oMath>
      <w:r>
        <w:rPr>
          <w:iCs/>
          <w:i/>
        </w:rPr>
        <w:t xml:space="preserve">, with</w:t>
      </w:r>
      <w:r>
        <w:rPr>
          <w:iCs/>
          <w:i/>
        </w:rPr>
        <w:t xml:space="preserve"> </w:t>
      </w:r>
      <w:r>
        <w:rPr>
          <w:iCs/>
          <w:i/>
        </w:rPr>
        <w:t xml:space="preserve">associated forms</w:t>
      </w:r>
      <w:r>
        <w:rPr>
          <w:iCs/>
          <w:i/>
        </w:rPr>
        <w:t xml:space="preserve"> </w:t>
      </w:r>
      <m:oMath>
        <m:sSup>
          <m:e>
            <m:r>
              <m:t>ω</m:t>
            </m:r>
          </m:e>
          <m:sup>
            <m:r>
              <m:t>1</m:t>
            </m:r>
          </m:sup>
        </m:sSup>
      </m:oMath>
      <w:r>
        <w:rPr>
          <w:iCs/>
          <w:i/>
        </w:rPr>
        <w:t xml:space="preserve">, …,</w:t>
      </w:r>
      <w:r>
        <w:rPr>
          <w:iCs/>
          <w:i/>
        </w:rPr>
        <w:t xml:space="preserve"> </w:t>
      </w:r>
      <m:oMath>
        <m:sSup>
          <m:e>
            <m:r>
              <m:t>ω</m:t>
            </m:r>
          </m:e>
          <m:sup>
            <m:r>
              <m:t>k</m:t>
            </m:r>
          </m:sup>
        </m:sSup>
      </m:oMath>
      <w:r>
        <w:rPr>
          <w:iCs/>
          <w:i/>
        </w:rPr>
        <w:t xml:space="preserve">. Then</w:t>
      </w:r>
      <w:r>
        <w:rPr>
          <w:iCs/>
          <w:i/>
        </w:rPr>
        <w:t xml:space="preserve"> </w:t>
      </w:r>
      <m:oMath>
        <m:sSup>
          <m:e>
            <m:r>
              <m:t>ω</m:t>
            </m:r>
          </m:e>
          <m:sup>
            <m:r>
              <m:t>i</m:t>
            </m:r>
          </m:sup>
        </m:sSup>
        <m:r>
          <m:rPr>
            <m:sty m:val="p"/>
          </m:rPr>
          <m:t>≤</m:t>
        </m:r>
        <m:sSub>
          <m:e>
            <m:r>
              <m:t>ω</m:t>
            </m:r>
          </m:e>
          <m:sub>
            <m:r>
              <m:t>r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for all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.</w:t>
      </w:r>
    </w:p>
    <w:p>
      <w:pPr>
        <w:pStyle w:val="BodyText"/>
      </w:pPr>
      <w:r>
        <w:t xml:space="preserve">Then our main theorem:</w:t>
      </w:r>
    </w:p>
    <w:p>
      <w:pPr>
        <w:pStyle w:val="BodyText"/>
      </w:pPr>
      <w:bookmarkStart w:id="21" w:name="pigspan"/>
      <w:bookmarkEnd w:id="21"/>
      <w:r>
        <w:rPr>
          <w:bCs/>
          <w:b/>
        </w:rPr>
        <w:t xml:space="preserve">Theorem 1.2</w:t>
      </w:r>
      <w:r>
        <w:t xml:space="preserve">.</w:t>
      </w:r>
      <w:r>
        <w:t xml:space="preserve"> </w:t>
      </w:r>
      <w:r>
        <w:rPr>
          <w:iCs/>
          <w:i/>
        </w:rPr>
        <w:t xml:space="preserve">Let</w:t>
      </w:r>
      <w:r>
        <w:rPr>
          <w:iCs/>
          <w:i/>
        </w:rPr>
        <w:t xml:space="preserve"> </w:t>
      </w:r>
      <m:oMath>
        <m:sSub>
          <m:e>
            <m:r>
              <m:t>d</m:t>
            </m:r>
          </m:e>
          <m:sub>
            <m:r>
              <m:rPr>
                <m:sty m:val="p"/>
              </m:rPr>
              <m:t>max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m:oMath>
        <m:sSub>
          <m:e>
            <m:r>
              <m:t>d</m:t>
            </m:r>
          </m:e>
          <m:sub>
            <m:r>
              <m:rPr>
                <m:sty m:val="p"/>
              </m:rPr>
              <m:t>min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be the maximum,</w:t>
      </w:r>
      <w:r>
        <w:rPr>
          <w:iCs/>
          <w:i/>
        </w:rPr>
        <w:t xml:space="preserve"> </w:t>
      </w:r>
      <w:r>
        <w:rPr>
          <w:iCs/>
          <w:i/>
        </w:rPr>
        <w:t xml:space="preserve">resp. minimum distance between any two adjacent vertices of a</w:t>
      </w:r>
      <w:r>
        <w:rPr>
          <w:iCs/>
          <w:i/>
        </w:rPr>
        <w:t xml:space="preserve"> </w:t>
      </w:r>
      <w:r>
        <w:rPr>
          <w:iCs/>
          <w:i/>
        </w:rPr>
        <w:t xml:space="preserve">quadrilateral</w:t>
      </w:r>
      <w:r>
        <w:rPr>
          <w:iCs/>
          <w:i/>
        </w:rPr>
        <w:t xml:space="preserve"> </w:t>
      </w:r>
      <m:oMath>
        <m:r>
          <m:t>Q</m:t>
        </m:r>
      </m:oMath>
      <w:r>
        <w:rPr>
          <w:iCs/>
          <w:i/>
        </w:rPr>
        <w:t xml:space="preserve">. Let</w:t>
      </w:r>
      <w:r>
        <w:rPr>
          <w:iCs/>
          <w:i/>
        </w:rPr>
        <w:t xml:space="preserve"> </w:t>
      </w:r>
      <m:oMath>
        <m:r>
          <m:t>σ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be the diagonal pigspan of a pig</w:t>
      </w:r>
      <w:r>
        <w:rPr>
          <w:iCs/>
          <w:i/>
        </w:rPr>
        <w:t xml:space="preserve"> </w:t>
      </w:r>
      <m:oMath>
        <m:r>
          <m:t>P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with four legs. Then</w:t>
      </w:r>
      <w:r>
        <w:rPr>
          <w:iCs/>
          <w:i/>
        </w:rPr>
        <w:t xml:space="preserve"> </w:t>
      </w:r>
      <m:oMath>
        <m:r>
          <m:t>P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capable of standing on the corners of</w:t>
      </w:r>
      <w:r>
        <w:rPr>
          <w:iCs/>
          <w:i/>
        </w:rPr>
        <w:t xml:space="preserve"> </w:t>
      </w:r>
      <m:oMath>
        <m:r>
          <m:t>Q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iff</w:t>
      </w:r>
      <w:r>
        <w:rPr>
          <w:iCs/>
          <w:i/>
        </w:rPr>
        <w:t xml:space="preserve"> </w:t>
      </w: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≥</m:t>
          </m:r>
          <m:rad>
            <m:radPr>
              <m:degHide m:val="1"/>
            </m:radPr>
            <m:deg/>
            <m:e>
              <m:sSubSup>
                <m:e>
                  <m:r>
                    <m:t>d</m:t>
                  </m:r>
                </m:e>
                <m:sub>
                  <m:r>
                    <m:rPr>
                      <m:sty m:val="p"/>
                    </m:rPr>
                    <m:t>max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sty m:val="p"/>
                    </m:rPr>
                    <m:t>min</m:t>
                  </m:r>
                </m:sub>
                <m:sup>
                  <m:r>
                    <m:t>2</m:t>
                  </m:r>
                </m:sup>
              </m:sSubSup>
            </m:e>
          </m:rad>
          <m:r>
            <m:rPr>
              <m:sty m:val="p"/>
            </m:rPr>
            <m:t>.</m:t>
          </m:r>
        </m:oMath>
      </m:oMathPara>
      <w:r>
        <w:rPr>
          <w:iCs/>
          <w:i/>
        </w:rPr>
        <w:t xml:space="preserve"> </w:t>
      </w:r>
      <w:r>
        <w:rPr>
          <w:iCs/>
          <w:i/>
        </w:rPr>
        <w:t xml:space="preserve">{#eq-sdq}</w:t>
      </w:r>
    </w:p>
    <w:p>
      <w:pPr>
        <w:pStyle w:val="FirstParagraph"/>
      </w:pPr>
      <w:r>
        <w:rPr>
          <w:bCs/>
          <w:b/>
        </w:rPr>
        <w:t xml:space="preserve">Corollary 1.3</w:t>
      </w:r>
      <w:r>
        <w:t xml:space="preserve">.</w:t>
      </w:r>
      <w:r>
        <w:t xml:space="preserve"> </w:t>
      </w:r>
      <w:r>
        <w:rPr>
          <w:iCs/>
          <w:i/>
        </w:rPr>
        <w:t xml:space="preserve">Admitting reflection and rotation, a three-legged pig</w:t>
      </w:r>
      <w:r>
        <w:rPr>
          <w:iCs/>
          <w:i/>
        </w:rPr>
        <w:t xml:space="preserve"> </w:t>
      </w:r>
      <m:oMath>
        <m:r>
          <m:t>P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capable of standing on the corners of a triangle</w:t>
      </w:r>
      <w:r>
        <w:rPr>
          <w:iCs/>
          <w:i/>
        </w:rPr>
        <w:t xml:space="preserve"> </w:t>
      </w:r>
      <m:oMath>
        <m:r>
          <m:t>T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iff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?@eq-sdq</w:t>
      </w:r>
      <w:r>
        <w:rPr>
          <w:iCs/>
          <w:i/>
        </w:rPr>
        <w:t xml:space="preserve"> </w:t>
      </w:r>
      <w:r>
        <w:rPr>
          <w:iCs/>
          <w:i/>
        </w:rPr>
        <w:t xml:space="preserve">holds.</w:t>
      </w:r>
    </w:p>
    <w:p>
      <w:pPr>
        <w:pStyle w:val="BodyText"/>
      </w:pPr>
      <w:r>
        <w:rPr>
          <w:bCs/>
          <w:b/>
        </w:rPr>
        <w:t xml:space="preserve">Remark</w:t>
      </w:r>
      <w:r>
        <w:t xml:space="preserve">.</w:t>
      </w:r>
      <w:r>
        <w:t xml:space="preserve"> </w:t>
      </w:r>
      <w:r>
        <w:rPr>
          <w:iCs/>
          <w:i/>
        </w:rPr>
        <w:t xml:space="preserve">As two-legged pigs generally fall over, the case of a</w:t>
      </w:r>
      <w:r>
        <w:rPr>
          <w:iCs/>
          <w:i/>
        </w:rPr>
        <w:t xml:space="preserve"> </w:t>
      </w:r>
      <w:r>
        <w:rPr>
          <w:iCs/>
          <w:i/>
        </w:rPr>
        <w:t xml:space="preserve">polygon of order</w:t>
      </w:r>
      <w:r>
        <w:rPr>
          <w:iCs/>
          <w:i/>
        </w:rPr>
        <w:t xml:space="preserve"> </w:t>
      </w:r>
      <m:oMath>
        <m:r>
          <m:t>2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uninteresting.</w:t>
      </w:r>
    </w:p>
    <w:bookmarkEnd w:id="22"/>
    <w:bookmarkStart w:id="23" w:name="custom-theorem-styles"/>
    <w:p>
      <w:pPr>
        <w:pStyle w:val="Heading1"/>
      </w:pPr>
      <w:r>
        <w:t xml:space="preserve">2. Custom theorem styles</w:t>
      </w:r>
    </w:p>
    <w:p>
      <w:pPr>
        <w:pStyle w:val="FirstParagraph"/>
      </w:pPr>
      <w:r>
        <w:rPr>
          <w:bCs/>
          <w:b/>
        </w:rPr>
        <w:t xml:space="preserve">Exercise 1</w:t>
      </w:r>
      <w:r>
        <w:t xml:space="preserve">:</w:t>
      </w:r>
      <w:r>
        <w:t xml:space="preserve"> </w:t>
      </w:r>
      <w:r>
        <w:rPr>
          <w:iCs/>
          <w:i/>
        </w:rPr>
        <w:t xml:space="preserve">Generalize Theorem </w:t>
      </w:r>
      <w:hyperlink w:anchor="pigspan">
        <w:r>
          <w:rPr>
            <w:rStyle w:val="Hyperlink"/>
            <w:iCs/>
            <w:i/>
          </w:rPr>
          <w:t xml:space="preserve">1.2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to three and four dimensions.</w:t>
      </w:r>
    </w:p>
    <w:p>
      <w:pPr>
        <w:pStyle w:val="BodyText"/>
      </w:pPr>
      <w:r>
        <w:rPr>
          <w:iCs/>
          <w:i/>
        </w:rPr>
        <w:t xml:space="preserve">Note 1</w:t>
      </w:r>
      <w:r>
        <w:t xml:space="preserve">: This is a test of the custom theorem style</w:t>
      </w:r>
      <w:r>
        <w:t xml:space="preserve"> </w:t>
      </w:r>
      <w:r>
        <w:rPr>
          <w:rStyle w:val="VerbatimChar"/>
        </w:rPr>
        <w:t xml:space="preserve">note</w:t>
      </w:r>
      <w:r>
        <w:t xml:space="preserve">. It is</w:t>
      </w:r>
      <w:r>
        <w:t xml:space="preserve"> </w:t>
      </w:r>
      <w:r>
        <w:t xml:space="preserve">supposed to have variant fonts and other differences.</w:t>
      </w:r>
    </w:p>
    <w:p>
      <w:pPr>
        <w:pStyle w:val="BodyText"/>
      </w:pPr>
      <w:r>
        <w:rPr>
          <w:bCs/>
          <w:b/>
        </w:rPr>
        <w:t xml:space="preserve">B-Theorem 1</w:t>
      </w:r>
      <w:r>
        <w:t xml:space="preserve">.</w:t>
      </w:r>
      <w:r>
        <w:br/>
      </w:r>
      <w:r>
        <w:rPr>
          <w:iCs/>
          <w:i/>
        </w:rPr>
        <w:t xml:space="preserve">Test of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linebreak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style of theorem heading.</w:t>
      </w:r>
    </w:p>
    <w:p>
      <w:pPr>
        <w:pStyle w:val="BodyText"/>
      </w:pPr>
      <w:r>
        <w:t xml:space="preserve">This is a test of a citing theorem to cite a theorem from some other</w:t>
      </w:r>
      <w:r>
        <w:t xml:space="preserve"> </w:t>
      </w:r>
      <w:r>
        <w:t xml:space="preserve">source.</w:t>
      </w:r>
    </w:p>
    <w:p>
      <w:pPr>
        <w:pStyle w:val="BodyText"/>
      </w:pPr>
      <w:r>
        <w:t xml:space="preserve">(Theorem 3.6 in</w:t>
      </w:r>
      <w:r>
        <w:t xml:space="preserve"> </w:t>
      </w:r>
      <w:r>
        <w:t xml:space="preserve">Dummy (1900)</w:t>
      </w:r>
      <w:r>
        <w:t xml:space="preserve">).</w:t>
      </w:r>
      <w:r>
        <w:t xml:space="preserve"> </w:t>
      </w:r>
      <w:r>
        <w:rPr>
          <w:iCs/>
          <w:i/>
        </w:rPr>
        <w:t xml:space="preserve">No hyperlinking available here yet</w:t>
      </w:r>
      <w:r>
        <w:rPr>
          <w:iCs/>
          <w:i/>
        </w:rPr>
        <w:t xml:space="preserve"> </w:t>
      </w:r>
      <w:r>
        <w:rPr>
          <w:iCs/>
          <w:i/>
        </w:rPr>
        <w:t xml:space="preserve">but that’s not a bad idea for the future.</w:t>
      </w:r>
    </w:p>
    <w:bookmarkEnd w:id="23"/>
    <w:bookmarkStart w:id="24" w:name="the-proof-environment"/>
    <w:p>
      <w:pPr>
        <w:pStyle w:val="Heading1"/>
      </w:pPr>
      <w:r>
        <w:t xml:space="preserve">3. The proof environment</w:t>
      </w:r>
    </w:p>
    <w:p>
      <w:pPr>
        <w:pStyle w:val="FirstParagraph"/>
      </w:pPr>
      <w:r>
        <w:rPr>
          <w:iCs/>
          <w:i/>
        </w:rPr>
        <w:t xml:space="preserve">Proof</w:t>
      </w:r>
      <w:r>
        <w:t xml:space="preserve">. Here is a test of the proof environment.</w:t>
      </w:r>
    </w:p>
    <w:p>
      <w:pPr>
        <w:pStyle w:val="BodyText"/>
      </w:pPr>
      <w:r>
        <w:rPr>
          <w:iCs/>
          <w:i/>
        </w:rPr>
        <w:t xml:space="preserve">Proof</w:t>
      </w:r>
      <w:r>
        <w:t xml:space="preserve"> </w:t>
      </w:r>
      <w:r>
        <w:t xml:space="preserve">(Proof of Theorem</w:t>
      </w:r>
      <w:r>
        <w:t xml:space="preserve"> </w:t>
      </w:r>
      <w:hyperlink w:anchor="pigspan">
        <w:r>
          <w:rPr>
            <w:rStyle w:val="Hyperlink"/>
          </w:rPr>
          <w:t xml:space="preserve">1.2</w:t>
        </w:r>
      </w:hyperlink>
      <w:r>
        <w:t xml:space="preserve">). And another test.</w:t>
      </w:r>
    </w:p>
    <w:p>
      <w:pPr>
        <w:pStyle w:val="BodyText"/>
      </w:pPr>
      <w:r>
        <w:rPr>
          <w:iCs/>
          <w:i/>
        </w:rPr>
        <w:t xml:space="preserve">Proof</w:t>
      </w:r>
      <w:r>
        <w:t xml:space="preserve"> </w:t>
      </w:r>
      <w:r>
        <w:t xml:space="preserve">(Proof of</w:t>
      </w:r>
      <w:r>
        <w:t xml:space="preserve"> </w:t>
      </w:r>
      <w:r>
        <w:rPr>
          <w:iCs/>
          <w:i/>
        </w:rPr>
        <w:t xml:space="preserve">necessity</w:t>
      </w:r>
      <w:r>
        <w:t xml:space="preserve">). And another.</w:t>
      </w:r>
    </w:p>
    <w:p>
      <w:pPr>
        <w:pStyle w:val="BodyText"/>
      </w:pPr>
      <w:r>
        <w:rPr>
          <w:iCs/>
          <w:i/>
        </w:rPr>
        <w:t xml:space="preserve">Proof</w:t>
      </w:r>
      <w:r>
        <w:t xml:space="preserve"> </w:t>
      </w:r>
      <w:r>
        <w:t xml:space="preserve">(Proof of</w:t>
      </w:r>
      <w:r>
        <w:t xml:space="preserve"> </w:t>
      </w:r>
      <w:r>
        <w:rPr>
          <w:iCs/>
          <w:i/>
        </w:rPr>
        <w:t xml:space="preserve">sufficiency</w:t>
      </w:r>
      <w:r>
        <w:t xml:space="preserve">). And another, ending with</w:t>
      </w:r>
      <w:r>
        <w:t xml:space="preserve"> </w:t>
      </w:r>
      <w:r>
        <w:t xml:space="preserve">a display: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  <m:r>
            <m:t> </m:t>
          </m:r>
          <m:r>
            <m:rPr>
              <m:sty m:val="p"/>
            </m:rPr>
            <m:t>.</m:t>
          </m:r>
        </m:oMath>
      </m:oMathPara>
    </w:p>
    <w:bookmarkEnd w:id="24"/>
    <w:bookmarkStart w:id="28" w:name="references"/>
    <w:p>
      <w:pPr>
        <w:pStyle w:val="Heading1"/>
      </w:pPr>
      <w:r>
        <w:t xml:space="preserve">4. References</w:t>
      </w:r>
    </w:p>
    <w:bookmarkStart w:id="27" w:name="refs"/>
    <w:bookmarkStart w:id="26" w:name="ref-thatone"/>
    <w:p>
      <w:pPr>
        <w:pStyle w:val="Bibliography"/>
      </w:pPr>
      <w:r>
        <w:t xml:space="preserve">Dummy, D. 1900.</w:t>
      </w:r>
      <w:r>
        <w:t xml:space="preserve"> </w:t>
      </w:r>
      <w:r>
        <w:t xml:space="preserve">“Dummy Reference.”</w:t>
      </w:r>
      <w: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1 (1): 1–10.</w:t>
      </w:r>
      <w:r>
        <w:t xml:space="preserve"> </w:t>
      </w:r>
      <w:hyperlink r:id="rId25">
        <w:r>
          <w:rPr>
            <w:rStyle w:val="Hyperlink"/>
          </w:rPr>
          <w:t xml:space="preserve">https://doi.org/10.1038/171737a0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38/171737a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38/171737a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Examples</dc:title>
  <dc:creator/>
  <cp:keywords/>
  <dcterms:created xsi:type="dcterms:W3CDTF">2022-12-22T15:11:37Z</dcterms:created>
  <dcterms:modified xsi:type="dcterms:W3CDTF">2022-12-22T15:11:37Z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example document recreates in markdown the AMS LaTeX package’s “Newtheorem andtheoremstyle test” file (thmtest.pdf) by Michael Downes and Barbara Beeton in markdown.</vt:lpwstr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references">
    <vt:lpwstr/>
  </property>
  <property fmtid="{D5CDD505-2E9C-101B-9397-08002B2CF9AE}" pid="9" name="statement">
    <vt:lpwstr/>
  </property>
  <property fmtid="{D5CDD505-2E9C-101B-9397-08002B2CF9AE}" pid="10" name="statement-kinds">
    <vt:lpwstr/>
  </property>
  <property fmtid="{D5CDD505-2E9C-101B-9397-08002B2CF9AE}" pid="11" name="statement-styles">
    <vt:lpwstr/>
  </property>
  <property fmtid="{D5CDD505-2E9C-101B-9397-08002B2CF9AE}" pid="12" name="toc-title">
    <vt:lpwstr>Table of contents</vt:lpwstr>
  </property>
</Properties>
</file>