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Pronóstico de siniestros con víctimas en Bogotá: ejecución, optimización y validación comparativa</w:t>
      </w:r>
    </w:p>
    <w:p>
      <w:r>
        <w:rPr>
          <w:b w:val="0"/>
          <w:i w:val="0"/>
        </w:rPr>
        <w:t>Actividad 2 · Reporte técnico · Unidad 4 · Técnicas Avanzadas de Modelado en IA · Universidad de La Sabana</w:t>
      </w:r>
      <w:r>
        <w:br/>
      </w:r>
      <w:r>
        <w:rPr>
          <w:b w:val="0"/>
          <w:i w:val="0"/>
        </w:rPr>
        <w:t>Grupo 7: Diego Alejandro Ríos Gómez · Marlon [apellidos] · Nicolás [apellidos] · Nataly [apellidos] · Octubre de 2026</w:t>
      </w:r>
    </w:p>
    <w:p>
      <w:pPr>
        <w:pStyle w:val="Heading1"/>
      </w:pPr>
      <w:r>
        <w:rPr>
          <w:b w:val="0"/>
          <w:i w:val="0"/>
        </w:rPr>
        <w:t>Resumen</w:t>
      </w:r>
    </w:p>
    <w:p>
      <w:r>
        <w:rPr>
          <w:b w:val="0"/>
          <w:i w:val="0"/>
        </w:rPr>
        <w:t>Implementamos en PyTorch redes GRU y LSTM para pronosticar los siniestros con heridos o muertos de Bogotá a 1–7 días (entrenamiento 2015–2022 sin el periodo de pandemia, validación 2023, prueba 2024–2025). Tras una rejilla de 32 configuraciones, la mejor red en validación es la GRU: reduce el MAE de validación 5,1 % frente a Ridge con rezagos (mejor línea base en validación) y cumple el criterio de éxito. En prueba su MAE es 5,35 ± 0,05 siniestros/día (3 semillas), 2,3 % menor que Ridge con rezagos; la LSTM obtiene 5,35. La evidencia estadística es mixta: la LSTM supera a Ridge con rezagos con significancia (Diebold–Mariano, p = 0,04), la GRU no (p = 0,39). El calendario futuro es el componente con más aporte; la lluvia no aporta de forma robusta.</w:t>
      </w:r>
    </w:p>
    <w:p>
      <w:pPr>
        <w:pStyle w:val="Heading1"/>
      </w:pPr>
      <w:r>
        <w:rPr>
          <w:b w:val="0"/>
          <w:i w:val="0"/>
        </w:rPr>
        <w:t>1. Pipeline e implementación de la red</w:t>
      </w:r>
    </w:p>
    <w:p>
      <w:r>
        <w:rPr>
          <w:b w:val="0"/>
          <w:i w:val="0"/>
        </w:rPr>
        <w:t xml:space="preserve">El código está en el repositorio público </w:t>
      </w:r>
      <w:r>
        <w:rPr>
          <w:b w:val="0"/>
          <w:i/>
        </w:rPr>
        <w:t>github.com/dialrigo/pronostico-siniestros-bogota-grupo7</w:t>
      </w:r>
      <w:r>
        <w:rPr>
          <w:b w:val="0"/>
          <w:i w:val="0"/>
        </w:rPr>
        <w:t>, organizado en (</w:t>
      </w:r>
      <w:r>
        <w:rPr>
          <w:b w:val="0"/>
          <w:i/>
        </w:rPr>
        <w:t>config/</w:t>
      </w:r>
      <w:r>
        <w:rPr>
          <w:b w:val="0"/>
          <w:i w:val="0"/>
        </w:rPr>
        <w:t xml:space="preserve">, </w:t>
      </w:r>
      <w:r>
        <w:rPr>
          <w:b w:val="0"/>
          <w:i/>
        </w:rPr>
        <w:t>src/</w:t>
      </w:r>
      <w:r>
        <w:rPr>
          <w:b w:val="0"/>
          <w:i w:val="0"/>
        </w:rPr>
        <w:t xml:space="preserve">, </w:t>
      </w:r>
      <w:r>
        <w:rPr>
          <w:b w:val="0"/>
          <w:i/>
        </w:rPr>
        <w:t>scripts/</w:t>
      </w:r>
      <w:r>
        <w:rPr>
          <w:b w:val="0"/>
          <w:i w:val="0"/>
        </w:rPr>
        <w:t xml:space="preserve">, </w:t>
      </w:r>
      <w:r>
        <w:rPr>
          <w:b w:val="0"/>
          <w:i/>
        </w:rPr>
        <w:t>tests/</w:t>
      </w:r>
      <w:r>
        <w:rPr>
          <w:b w:val="0"/>
          <w:i w:val="0"/>
        </w:rPr>
        <w:t xml:space="preserve">, </w:t>
      </w:r>
      <w:r>
        <w:rPr>
          <w:b w:val="0"/>
          <w:i/>
        </w:rPr>
        <w:t>notebooks/</w:t>
      </w:r>
      <w:r>
        <w:rPr>
          <w:b w:val="0"/>
          <w:i w:val="0"/>
        </w:rPr>
        <w:t xml:space="preserve">). Todos los parámetros fijos, incluido el periodo atípico de pandemia, viven en </w:t>
      </w:r>
      <w:r>
        <w:rPr>
          <w:b w:val="0"/>
          <w:i/>
        </w:rPr>
        <w:t>config/config.yaml</w:t>
      </w:r>
      <w:r>
        <w:rPr>
          <w:b w:val="0"/>
          <w:i w:val="0"/>
        </w:rPr>
        <w:t>. El flujo es: extracción de las bases del Anuario → serie diaria y calendario (</w:t>
      </w:r>
      <w:r>
        <w:rPr>
          <w:b w:val="0"/>
          <w:i/>
        </w:rPr>
        <w:t>src/data.py</w:t>
      </w:r>
      <w:r>
        <w:rPr>
          <w:b w:val="0"/>
          <w:i w:val="0"/>
        </w:rPr>
        <w:t>) → tensores por origen móvil (</w:t>
      </w:r>
      <w:r>
        <w:rPr>
          <w:b w:val="0"/>
          <w:i/>
        </w:rPr>
        <w:t>src/models_dl.py</w:t>
      </w:r>
      <w:r>
        <w:rPr>
          <w:b w:val="0"/>
          <w:i w:val="0"/>
        </w:rPr>
        <w:t>) → entrenamiento con parada temprana → predicción y métricas (</w:t>
      </w:r>
      <w:r>
        <w:rPr>
          <w:b w:val="0"/>
          <w:i/>
        </w:rPr>
        <w:t>src/metrics.py</w:t>
      </w:r>
      <w:r>
        <w:rPr>
          <w:b w:val="0"/>
          <w:i w:val="0"/>
        </w:rPr>
        <w:t>) → comparación final (</w:t>
      </w:r>
      <w:r>
        <w:rPr>
          <w:b w:val="0"/>
          <w:i/>
        </w:rPr>
        <w:t>scripts/run_evaluacion.py</w:t>
      </w:r>
      <w:r>
        <w:rPr>
          <w:b w:val="0"/>
          <w:i w:val="0"/>
        </w:rPr>
        <w:t>). Ocho pruebas automáticas verifican la continuidad de la serie, el orden del split, la exclusión de la pandemia y que ninguna entrada contenga información posterior al origen.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1928"/>
        <w:gridCol w:w="5953"/>
      </w:tblGrid>
      <w:tr>
        <w:tc>
          <w:tcPr>
            <w:tcW w:type="dxa" w:w="175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Bloque</w:t>
            </w:r>
          </w:p>
        </w:tc>
        <w:tc>
          <w:tcPr>
            <w:tcW w:type="dxa" w:w="1928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Dimensión</w:t>
            </w:r>
          </w:p>
        </w:tc>
        <w:tc>
          <w:tcPr>
            <w:tcW w:type="dxa" w:w="5953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Contenido y justificación</w:t>
            </w:r>
          </w:p>
        </w:tc>
      </w:tr>
      <w:tr>
        <w:tc>
          <w:tcPr>
            <w:tcW w:type="dxa" w:w="1757"/>
          </w:tcPr>
          <w:p>
            <w:r>
              <w:rPr>
                <w:b w:val="0"/>
                <w:i w:val="0"/>
                <w:sz w:val="17"/>
              </w:rPr>
              <w:t>Entrada secuencial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7"/>
              </w:rPr>
              <w:t>W × 5 (W = 14 o 28)</w:t>
            </w:r>
          </w:p>
        </w:tc>
        <w:tc>
          <w:tcPr>
            <w:tcW w:type="dxa" w:w="5953"/>
          </w:tcPr>
          <w:p>
            <w:r>
              <w:rPr>
                <w:b w:val="0"/>
                <w:i w:val="0"/>
                <w:sz w:val="17"/>
              </w:rPr>
              <w:t>log1p(y) estandarizado, seno y coseno del día de la semana, festivo, lluvia observada estandarizada. Escaladores ajustados solo con entrenamiento y sin el periodo atípico.</w:t>
            </w:r>
          </w:p>
        </w:tc>
      </w:tr>
      <w:tr>
        <w:tc>
          <w:tcPr>
            <w:tcW w:type="dxa" w:w="1757"/>
          </w:tcPr>
          <w:p>
            <w:r>
              <w:rPr>
                <w:b w:val="0"/>
                <w:i w:val="0"/>
                <w:sz w:val="17"/>
              </w:rPr>
              <w:t>Capa recurrente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7"/>
              </w:rPr>
              <w:t>1 capa, 32 o 64 unidades</w:t>
            </w:r>
          </w:p>
        </w:tc>
        <w:tc>
          <w:tcPr>
            <w:tcW w:type="dxa" w:w="5953"/>
          </w:tcPr>
          <w:p>
            <w:r>
              <w:rPr>
                <w:b w:val="0"/>
                <w:i w:val="0"/>
                <w:sz w:val="17"/>
              </w:rPr>
              <w:t>GRU o LSTM. Una sola capa porque hay 2.319 orígenes de entrenamiento; capas adicionales aumentan parámetros sin datos que los respalden.</w:t>
            </w:r>
          </w:p>
        </w:tc>
      </w:tr>
      <w:tr>
        <w:tc>
          <w:tcPr>
            <w:tcW w:type="dxa" w:w="1757"/>
          </w:tcPr>
          <w:p>
            <w:r>
              <w:rPr>
                <w:b w:val="0"/>
                <w:i w:val="0"/>
                <w:sz w:val="17"/>
              </w:rPr>
              <w:t>Calendario futuro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7"/>
              </w:rPr>
              <w:t>7 × 12 = 84</w:t>
            </w:r>
          </w:p>
        </w:tc>
        <w:tc>
          <w:tcPr>
            <w:tcW w:type="dxa" w:w="5953"/>
          </w:tcPr>
          <w:p>
            <w:r>
              <w:rPr>
                <w:b w:val="0"/>
                <w:i w:val="0"/>
                <w:sz w:val="17"/>
              </w:rPr>
              <w:t>One-hot del día de la semana + festivo, puente, víspera, quincena y diciembre de cada día a pronosticar. Conocido de antemano: no hay fuga.</w:t>
            </w:r>
          </w:p>
        </w:tc>
      </w:tr>
      <w:tr>
        <w:tc>
          <w:tcPr>
            <w:tcW w:type="dxa" w:w="1757"/>
          </w:tcPr>
          <w:p>
            <w:r>
              <w:rPr>
                <w:b w:val="0"/>
                <w:i w:val="0"/>
                <w:sz w:val="17"/>
              </w:rPr>
              <w:t>Cabeza densa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7"/>
              </w:rPr>
              <w:t>(h + 84) → h → 7</w:t>
            </w:r>
          </w:p>
        </w:tc>
        <w:tc>
          <w:tcPr>
            <w:tcW w:type="dxa" w:w="5953"/>
          </w:tcPr>
          <w:p>
            <w:r>
              <w:rPr>
                <w:b w:val="0"/>
                <w:i w:val="0"/>
                <w:sz w:val="17"/>
              </w:rPr>
              <w:t>Concatenación del último estado oculto con el calendario; ReLU y dropout; salida lineal de 7 valores (pronóstico directo multi-horizonte).</w:t>
            </w:r>
          </w:p>
        </w:tc>
      </w:tr>
      <w:tr>
        <w:tc>
          <w:tcPr>
            <w:tcW w:type="dxa" w:w="1757"/>
          </w:tcPr>
          <w:p>
            <w:r>
              <w:rPr>
                <w:b w:val="0"/>
                <w:i w:val="0"/>
                <w:sz w:val="17"/>
              </w:rPr>
              <w:t>Pérdida y salida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7"/>
              </w:rPr>
              <w:t>MSE en escala log</w:t>
            </w:r>
          </w:p>
        </w:tc>
        <w:tc>
          <w:tcPr>
            <w:tcW w:type="dxa" w:w="5953"/>
          </w:tcPr>
          <w:p>
            <w:r>
              <w:rPr>
                <w:b w:val="0"/>
                <w:i w:val="0"/>
                <w:sz w:val="17"/>
              </w:rPr>
              <w:t>Estabiliza la varianza del conteo; la predicción vuelve a la escala original con expm1.</w:t>
            </w:r>
          </w:p>
        </w:tc>
      </w:tr>
    </w:tbl>
    <w:p/>
    <w:p>
      <w:pPr>
        <w:pStyle w:val="Heading1"/>
      </w:pPr>
      <w:r>
        <w:rPr>
          <w:b w:val="0"/>
          <w:i w:val="0"/>
        </w:rPr>
        <w:t>2. Optimización y ajuste de hiperparámetros</w:t>
      </w:r>
    </w:p>
    <w:p>
      <w:r>
        <w:rPr>
          <w:b w:val="0"/>
          <w:i w:val="0"/>
        </w:rPr>
        <w:t>Fijamos lo que no se compara y variamos de forma sistemática los hiperparámetros críticos: ventana de entrada {14, 28}, unidades ocultas {32, 64}, tasa de aprendizaje inicial {0,001; 0,003} y dropout {0; 0,2}, con la misma rejilla para ambas arquitecturas (32 corridas, semilla 42). Optimizador AdamW (decaimiento de pesos 1e-4, regularización L2 desacoplada), recorte de gradiente a norma 1 (estabiliza la recurrencia), reducción de la tasa a la mitad tras 10 épocas sin mejora y parada temprana con paciencia 25. Se comparan arquitecturas con el mismo criterio de parada y no con el mismo número de épocas, porque un modelo con más parámetros converge a otro ritmo. La selección usa solo el MAE de validación.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964"/>
        <w:gridCol w:w="1020"/>
        <w:gridCol w:w="964"/>
        <w:gridCol w:w="964"/>
        <w:gridCol w:w="1134"/>
        <w:gridCol w:w="964"/>
        <w:gridCol w:w="1247"/>
      </w:tblGrid>
      <w:tr>
        <w:tc>
          <w:tcPr>
            <w:tcW w:type="dxa" w:w="113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Modelo</w:t>
            </w:r>
          </w:p>
        </w:tc>
        <w:tc>
          <w:tcPr>
            <w:tcW w:type="dxa" w:w="96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Ventana</w:t>
            </w:r>
          </w:p>
        </w:tc>
        <w:tc>
          <w:tcPr>
            <w:tcW w:type="dxa" w:w="1020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Unidades</w:t>
            </w:r>
          </w:p>
        </w:tc>
        <w:tc>
          <w:tcPr>
            <w:tcW w:type="dxa" w:w="96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Tasa</w:t>
            </w:r>
          </w:p>
        </w:tc>
        <w:tc>
          <w:tcPr>
            <w:tcW w:type="dxa" w:w="96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Dropout</w:t>
            </w:r>
          </w:p>
        </w:tc>
        <w:tc>
          <w:tcPr>
            <w:tcW w:type="dxa" w:w="113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MAE val</w:t>
            </w:r>
          </w:p>
        </w:tc>
        <w:tc>
          <w:tcPr>
            <w:tcW w:type="dxa" w:w="96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Épocas</w:t>
            </w:r>
          </w:p>
        </w:tc>
        <w:tc>
          <w:tcPr>
            <w:tcW w:type="dxa" w:w="124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Parámetros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GRU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0,001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0,2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4,954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100</w:t>
            </w:r>
          </w:p>
        </w:tc>
        <w:tc>
          <w:tcPr>
            <w:tcW w:type="dxa" w:w="1247"/>
          </w:tcPr>
          <w:p>
            <w:r>
              <w:rPr>
                <w:b w:val="0"/>
                <w:i w:val="0"/>
                <w:sz w:val="17"/>
              </w:rPr>
              <w:t>7.719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GRU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0,003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0,2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4,984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39</w:t>
            </w:r>
          </w:p>
        </w:tc>
        <w:tc>
          <w:tcPr>
            <w:tcW w:type="dxa" w:w="1247"/>
          </w:tcPr>
          <w:p>
            <w:r>
              <w:rPr>
                <w:b w:val="0"/>
                <w:i w:val="0"/>
                <w:sz w:val="17"/>
              </w:rPr>
              <w:t>7.719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GRU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0,001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5,008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53</w:t>
            </w:r>
          </w:p>
        </w:tc>
        <w:tc>
          <w:tcPr>
            <w:tcW w:type="dxa" w:w="1247"/>
          </w:tcPr>
          <w:p>
            <w:r>
              <w:rPr>
                <w:b w:val="0"/>
                <w:i w:val="0"/>
                <w:sz w:val="17"/>
              </w:rPr>
              <w:t>7.719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LSTM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0,001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4,960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39</w:t>
            </w:r>
          </w:p>
        </w:tc>
        <w:tc>
          <w:tcPr>
            <w:tcW w:type="dxa" w:w="1247"/>
          </w:tcPr>
          <w:p>
            <w:r>
              <w:rPr>
                <w:b w:val="0"/>
                <w:i w:val="0"/>
                <w:sz w:val="17"/>
              </w:rPr>
              <w:t>8.967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LSTM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7"/>
              </w:rPr>
              <w:t>64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0,003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0,2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4,961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39</w:t>
            </w:r>
          </w:p>
        </w:tc>
        <w:tc>
          <w:tcPr>
            <w:tcW w:type="dxa" w:w="1247"/>
          </w:tcPr>
          <w:p>
            <w:r>
              <w:rPr>
                <w:b w:val="0"/>
                <w:i w:val="0"/>
                <w:sz w:val="17"/>
              </w:rPr>
              <w:t>28.167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LSTM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0,003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4,972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34</w:t>
            </w:r>
          </w:p>
        </w:tc>
        <w:tc>
          <w:tcPr>
            <w:tcW w:type="dxa" w:w="1247"/>
          </w:tcPr>
          <w:p>
            <w:r>
              <w:rPr>
                <w:b w:val="0"/>
                <w:i w:val="0"/>
                <w:sz w:val="17"/>
              </w:rPr>
              <w:t>8.967</w:t>
            </w:r>
          </w:p>
        </w:tc>
      </w:tr>
    </w:tbl>
    <w:p/>
    <w:p>
      <w:r>
        <w:rPr>
          <w:b w:val="0"/>
          <w:i w:val="0"/>
        </w:rPr>
        <w:t>Las 32 configuraciones quedan entre 4,95 y 5,09 de MAE de validación; todas mejoran a Ridge con rezagos (5,23) y a SARIMAX (5,29), así que el resultado no depende de una configuración afortunada. La ventana de 28 días rinde mejor que la de 14 en ambas arquitecturas (GRU 5,01 vs 5,07; LSTM 5,00 vs 5,02): cuatro semanas de historia capturan mejor el nivel reciente de la serie.</w:t>
      </w:r>
    </w:p>
    <w:p>
      <w:pPr>
        <w:pStyle w:val="Heading1"/>
      </w:pPr>
      <w:r>
        <w:rPr>
          <w:b w:val="0"/>
          <w:i w:val="0"/>
        </w:rPr>
        <w:t>3. Monitoreo de curvas de aprendizaje</w:t>
      </w:r>
    </w:p>
    <w:p>
      <w:r>
        <w:drawing>
          <wp:inline xmlns:a="http://schemas.openxmlformats.org/drawingml/2006/main" xmlns:pic="http://schemas.openxmlformats.org/drawingml/2006/picture">
            <wp:extent cx="5579991" cy="2499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urvas_aprendizaj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991" cy="2499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Figura 1. Pérdida de entrenamiento y validación de las configuraciones elegidas (semilla 42). La línea punteada marca la época conservada.</w:t>
      </w:r>
    </w:p>
    <w:p>
      <w:r>
        <w:rPr>
          <w:b w:val="0"/>
          <w:i w:val="0"/>
        </w:rPr>
        <w:t>La pérdida de entrenamiento baja de forma monótona; la de validación cae en las primeras épocas y luego se estabiliza. Después de la mejor época la validación deja de mejorar mientras el entrenamiento sigue bajando: es el inicio del sobreajuste, y la parada temprana conserva los pesos anteriores. La pérdida de validación queda por debajo de la de entrenamiento porque el dropout solo actúa al entrenar y porque 2023 es un año estable, sin choques de régimen: con la pandemia excluida, entrenamiento y validación representan el mismo régimen.</w:t>
      </w:r>
    </w:p>
    <w:p>
      <w:pPr>
        <w:pStyle w:val="Heading1"/>
      </w:pPr>
      <w:r>
        <w:rPr>
          <w:b w:val="0"/>
          <w:i w:val="0"/>
        </w:rPr>
        <w:t>4. Validación comparativa cuantitativa</w:t>
      </w:r>
    </w:p>
    <w:p>
      <w:r>
        <w:rPr>
          <w:b w:val="0"/>
          <w:i w:val="0"/>
        </w:rPr>
        <w:t>Todos los modelos se evalúan sobre los mismos 726 orígenes de prueba (2024–2025) y la misma partición. Las redes se reportan como media ± desviación de tres semillas {42, 7, 2024}.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907"/>
        <w:gridCol w:w="1361"/>
        <w:gridCol w:w="850"/>
        <w:gridCol w:w="907"/>
        <w:gridCol w:w="907"/>
        <w:gridCol w:w="1077"/>
        <w:gridCol w:w="907"/>
      </w:tblGrid>
      <w:tr>
        <w:tc>
          <w:tcPr>
            <w:tcW w:type="dxa" w:w="2041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Modelo</w:t>
            </w:r>
          </w:p>
        </w:tc>
        <w:tc>
          <w:tcPr>
            <w:tcW w:type="dxa" w:w="90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MAE val</w:t>
            </w:r>
          </w:p>
        </w:tc>
        <w:tc>
          <w:tcPr>
            <w:tcW w:type="dxa" w:w="1361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MAE prueba</w:t>
            </w:r>
          </w:p>
        </w:tc>
        <w:tc>
          <w:tcPr>
            <w:tcW w:type="dxa" w:w="850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RMSE</w:t>
            </w:r>
          </w:p>
        </w:tc>
        <w:tc>
          <w:tcPr>
            <w:tcW w:type="dxa" w:w="90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MAPE</w:t>
            </w:r>
          </w:p>
        </w:tc>
        <w:tc>
          <w:tcPr>
            <w:tcW w:type="dxa" w:w="90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RMSLE</w:t>
            </w:r>
          </w:p>
        </w:tc>
        <w:tc>
          <w:tcPr>
            <w:tcW w:type="dxa" w:w="107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Entreno (s)</w:t>
            </w:r>
          </w:p>
        </w:tc>
        <w:tc>
          <w:tcPr>
            <w:tcW w:type="dxa" w:w="90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Parám.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i w:val="0"/>
                <w:sz w:val="17"/>
              </w:rPr>
              <w:t>Naive estacional (t-7)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7,41</w:t>
            </w:r>
          </w:p>
        </w:tc>
        <w:tc>
          <w:tcPr>
            <w:tcW w:type="dxa" w:w="1361"/>
          </w:tcPr>
          <w:p>
            <w:r>
              <w:rPr>
                <w:b w:val="0"/>
                <w:i w:val="0"/>
                <w:sz w:val="17"/>
              </w:rPr>
              <w:t>7,75</w:t>
            </w:r>
          </w:p>
        </w:tc>
        <w:tc>
          <w:tcPr>
            <w:tcW w:type="dxa" w:w="850"/>
          </w:tcPr>
          <w:p>
            <w:r>
              <w:rPr>
                <w:b w:val="0"/>
                <w:i w:val="0"/>
                <w:sz w:val="17"/>
              </w:rPr>
              <w:t>9,67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25,4 %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0,305</w:t>
            </w:r>
          </w:p>
        </w:tc>
        <w:tc>
          <w:tcPr>
            <w:tcW w:type="dxa" w:w="1077"/>
          </w:tcPr>
          <w:p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i w:val="0"/>
                <w:sz w:val="17"/>
              </w:rPr>
              <w:t>Media estacional (4 sem.)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5,97</w:t>
            </w:r>
          </w:p>
        </w:tc>
        <w:tc>
          <w:tcPr>
            <w:tcW w:type="dxa" w:w="1361"/>
          </w:tcPr>
          <w:p>
            <w:r>
              <w:rPr>
                <w:b w:val="0"/>
                <w:i w:val="0"/>
                <w:sz w:val="17"/>
              </w:rPr>
              <w:t>6,27</w:t>
            </w:r>
          </w:p>
        </w:tc>
        <w:tc>
          <w:tcPr>
            <w:tcW w:type="dxa" w:w="850"/>
          </w:tcPr>
          <w:p>
            <w:r>
              <w:rPr>
                <w:b w:val="0"/>
                <w:i w:val="0"/>
                <w:sz w:val="17"/>
              </w:rPr>
              <w:t>7,88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20,8 %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0,245</w:t>
            </w:r>
          </w:p>
        </w:tc>
        <w:tc>
          <w:tcPr>
            <w:tcW w:type="dxa" w:w="1077"/>
          </w:tcPr>
          <w:p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i w:val="0"/>
                <w:sz w:val="17"/>
              </w:rPr>
              <w:t>Ridge con rezagos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5,23</w:t>
            </w:r>
          </w:p>
        </w:tc>
        <w:tc>
          <w:tcPr>
            <w:tcW w:type="dxa" w:w="1361"/>
          </w:tcPr>
          <w:p>
            <w:r>
              <w:rPr>
                <w:b w:val="0"/>
                <w:i w:val="0"/>
                <w:sz w:val="17"/>
              </w:rPr>
              <w:t>5,47</w:t>
            </w:r>
          </w:p>
        </w:tc>
        <w:tc>
          <w:tcPr>
            <w:tcW w:type="dxa" w:w="850"/>
          </w:tcPr>
          <w:p>
            <w:r>
              <w:rPr>
                <w:b w:val="0"/>
                <w:i w:val="0"/>
                <w:sz w:val="17"/>
              </w:rPr>
              <w:t>6,80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17,6 %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0,208</w:t>
            </w:r>
          </w:p>
        </w:tc>
        <w:tc>
          <w:tcPr>
            <w:tcW w:type="dxa" w:w="1077"/>
          </w:tcPr>
          <w:p>
            <w:r>
              <w:rPr>
                <w:b w:val="0"/>
                <w:i w:val="0"/>
                <w:sz w:val="17"/>
              </w:rPr>
              <w:t>5,5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i w:val="0"/>
                <w:sz w:val="17"/>
              </w:rPr>
              <w:t>SARIMAX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5,29</w:t>
            </w:r>
          </w:p>
        </w:tc>
        <w:tc>
          <w:tcPr>
            <w:tcW w:type="dxa" w:w="1361"/>
          </w:tcPr>
          <w:p>
            <w:r>
              <w:rPr>
                <w:b w:val="0"/>
                <w:i w:val="0"/>
                <w:sz w:val="17"/>
              </w:rPr>
              <w:t>5,46</w:t>
            </w:r>
          </w:p>
        </w:tc>
        <w:tc>
          <w:tcPr>
            <w:tcW w:type="dxa" w:w="850"/>
          </w:tcPr>
          <w:p>
            <w:r>
              <w:rPr>
                <w:b w:val="0"/>
                <w:i w:val="0"/>
                <w:sz w:val="17"/>
              </w:rPr>
              <w:t>6,81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17,6 %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0,208</w:t>
            </w:r>
          </w:p>
        </w:tc>
        <w:tc>
          <w:tcPr>
            <w:tcW w:type="dxa" w:w="1077"/>
          </w:tcPr>
          <w:p>
            <w:r>
              <w:rPr>
                <w:b w:val="0"/>
                <w:i w:val="0"/>
                <w:sz w:val="17"/>
              </w:rPr>
              <w:t>9,7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i w:val="0"/>
                <w:sz w:val="17"/>
              </w:rPr>
              <w:t>GRU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4,96</w:t>
            </w:r>
          </w:p>
        </w:tc>
        <w:tc>
          <w:tcPr>
            <w:tcW w:type="dxa" w:w="1361"/>
          </w:tcPr>
          <w:p>
            <w:r>
              <w:rPr>
                <w:b w:val="0"/>
                <w:i w:val="0"/>
                <w:sz w:val="17"/>
              </w:rPr>
              <w:t>5,35 ± 0,05</w:t>
            </w:r>
          </w:p>
        </w:tc>
        <w:tc>
          <w:tcPr>
            <w:tcW w:type="dxa" w:w="850"/>
          </w:tcPr>
          <w:p>
            <w:r>
              <w:rPr>
                <w:b w:val="0"/>
                <w:i w:val="0"/>
                <w:sz w:val="17"/>
              </w:rPr>
              <w:t>6,64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17,5 %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0,205</w:t>
            </w:r>
          </w:p>
        </w:tc>
        <w:tc>
          <w:tcPr>
            <w:tcW w:type="dxa" w:w="1077"/>
          </w:tcPr>
          <w:p>
            <w:r>
              <w:rPr>
                <w:b w:val="0"/>
                <w:i w:val="0"/>
                <w:sz w:val="17"/>
              </w:rPr>
              <w:t>24,3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7.719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i w:val="0"/>
                <w:sz w:val="17"/>
              </w:rPr>
              <w:t>LSTM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4,98</w:t>
            </w:r>
          </w:p>
        </w:tc>
        <w:tc>
          <w:tcPr>
            <w:tcW w:type="dxa" w:w="1361"/>
          </w:tcPr>
          <w:p>
            <w:r>
              <w:rPr>
                <w:b w:val="0"/>
                <w:i w:val="0"/>
                <w:sz w:val="17"/>
              </w:rPr>
              <w:t>5,35 ± 0,03</w:t>
            </w:r>
          </w:p>
        </w:tc>
        <w:tc>
          <w:tcPr>
            <w:tcW w:type="dxa" w:w="850"/>
          </w:tcPr>
          <w:p>
            <w:r>
              <w:rPr>
                <w:b w:val="0"/>
                <w:i w:val="0"/>
                <w:sz w:val="17"/>
              </w:rPr>
              <w:t>6,64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17,5 %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0,205</w:t>
            </w:r>
          </w:p>
        </w:tc>
        <w:tc>
          <w:tcPr>
            <w:tcW w:type="dxa" w:w="1077"/>
          </w:tcPr>
          <w:p>
            <w:r>
              <w:rPr>
                <w:b w:val="0"/>
                <w:i w:val="0"/>
                <w:sz w:val="17"/>
              </w:rPr>
              <w:t>5,7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8.967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3419994" cy="1525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omparacion_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9994" cy="1525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Figura 2. MAE en prueba. Gris: líneas base; azul: redes (media de 3 semillas ± d.e.).</w:t>
      </w:r>
    </w:p>
    <w:p>
      <w:r>
        <w:rPr>
          <w:b/>
          <w:i w:val="0"/>
        </w:rPr>
        <w:t>Prueba de Diebold–Mariano.</w:t>
      </w:r>
      <w:r>
        <w:rPr>
          <w:b w:val="0"/>
          <w:i w:val="0"/>
        </w:rPr>
        <w:t xml:space="preserve"> Para no afirmar superioridad con una sola cifra, comparamos los errores absolutos medios por origen (promedio de h = 1–7) con varianza HAC de Newey–West (rezago 7, por el solapamiento de horizontes) y la corrección de Harvey, Leybourne y Newbold. Se usa la corrida de semilla 42 de cada red; un estadístico positivo favorece a la red.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964"/>
        <w:gridCol w:w="907"/>
        <w:gridCol w:w="794"/>
        <w:gridCol w:w="1134"/>
        <w:gridCol w:w="680"/>
        <w:gridCol w:w="2835"/>
      </w:tblGrid>
      <w:tr>
        <w:tc>
          <w:tcPr>
            <w:tcW w:type="dxa" w:w="232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Comparación</w:t>
            </w:r>
          </w:p>
        </w:tc>
        <w:tc>
          <w:tcPr>
            <w:tcW w:type="dxa" w:w="96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MAE modelo</w:t>
            </w:r>
          </w:p>
        </w:tc>
        <w:tc>
          <w:tcPr>
            <w:tcW w:type="dxa" w:w="907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MAE base</w:t>
            </w:r>
          </w:p>
        </w:tc>
        <w:tc>
          <w:tcPr>
            <w:tcW w:type="dxa" w:w="79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Δ MAE</w:t>
            </w:r>
          </w:p>
        </w:tc>
        <w:tc>
          <w:tcPr>
            <w:tcW w:type="dxa" w:w="1134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DM (h = 1–7)</w:t>
            </w:r>
          </w:p>
        </w:tc>
        <w:tc>
          <w:tcPr>
            <w:tcW w:type="dxa" w:w="680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p</w:t>
            </w:r>
          </w:p>
        </w:tc>
        <w:tc>
          <w:tcPr>
            <w:tcW w:type="dxa" w:w="2835"/>
            <w:shd w:val="clear" w:color="auto" w:fill="1F4E8C"/>
          </w:tcPr>
          <w:p>
            <w:r>
              <w:rPr>
                <w:b/>
                <w:i w:val="0"/>
                <w:color w:val="FFFFFF"/>
                <w:sz w:val="17"/>
              </w:rPr>
              <w:t>Lectura</w:t>
            </w:r>
          </w:p>
        </w:tc>
      </w:tr>
      <w:tr>
        <w:tc>
          <w:tcPr>
            <w:tcW w:type="dxa" w:w="2324"/>
          </w:tcPr>
          <w:p>
            <w:r>
              <w:rPr>
                <w:b w:val="0"/>
                <w:i w:val="0"/>
                <w:sz w:val="17"/>
              </w:rPr>
              <w:t>GRU vs SARIMAX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5,39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5,46</w:t>
            </w:r>
          </w:p>
        </w:tc>
        <w:tc>
          <w:tcPr>
            <w:tcW w:type="dxa" w:w="794"/>
          </w:tcPr>
          <w:p>
            <w:r>
              <w:rPr>
                <w:b w:val="0"/>
                <w:i w:val="0"/>
                <w:sz w:val="17"/>
              </w:rPr>
              <w:t>-1,3 %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0,63</w:t>
            </w:r>
          </w:p>
        </w:tc>
        <w:tc>
          <w:tcPr>
            <w:tcW w:type="dxa" w:w="680"/>
          </w:tcPr>
          <w:p>
            <w:r>
              <w:rPr>
                <w:b w:val="0"/>
                <w:i w:val="0"/>
                <w:sz w:val="17"/>
              </w:rPr>
              <w:t>0,527</w:t>
            </w:r>
          </w:p>
        </w:tc>
        <w:tc>
          <w:tcPr>
            <w:tcW w:type="dxa" w:w="2835"/>
          </w:tcPr>
          <w:p>
            <w:r>
              <w:rPr>
                <w:b w:val="0"/>
                <w:i w:val="0"/>
                <w:sz w:val="17"/>
              </w:rPr>
              <w:t>Diferencia no significativa</w:t>
            </w:r>
          </w:p>
        </w:tc>
      </w:tr>
      <w:tr>
        <w:tc>
          <w:tcPr>
            <w:tcW w:type="dxa" w:w="2324"/>
          </w:tcPr>
          <w:p>
            <w:r>
              <w:rPr>
                <w:b w:val="0"/>
                <w:i w:val="0"/>
                <w:sz w:val="17"/>
              </w:rPr>
              <w:t>GRU vs Ridge con rezagos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5,39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5,47</w:t>
            </w:r>
          </w:p>
        </w:tc>
        <w:tc>
          <w:tcPr>
            <w:tcW w:type="dxa" w:w="794"/>
          </w:tcPr>
          <w:p>
            <w:r>
              <w:rPr>
                <w:b w:val="0"/>
                <w:i w:val="0"/>
                <w:sz w:val="17"/>
              </w:rPr>
              <w:t>-1,5 %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0,86</w:t>
            </w:r>
          </w:p>
        </w:tc>
        <w:tc>
          <w:tcPr>
            <w:tcW w:type="dxa" w:w="680"/>
          </w:tcPr>
          <w:p>
            <w:r>
              <w:rPr>
                <w:b w:val="0"/>
                <w:i w:val="0"/>
                <w:sz w:val="17"/>
              </w:rPr>
              <w:t>0,390</w:t>
            </w:r>
          </w:p>
        </w:tc>
        <w:tc>
          <w:tcPr>
            <w:tcW w:type="dxa" w:w="2835"/>
          </w:tcPr>
          <w:p>
            <w:r>
              <w:rPr>
                <w:b w:val="0"/>
                <w:i w:val="0"/>
                <w:sz w:val="17"/>
              </w:rPr>
              <w:t>Diferencia no significativa</w:t>
            </w:r>
          </w:p>
        </w:tc>
      </w:tr>
      <w:tr>
        <w:tc>
          <w:tcPr>
            <w:tcW w:type="dxa" w:w="2324"/>
          </w:tcPr>
          <w:p>
            <w:r>
              <w:rPr>
                <w:b w:val="0"/>
                <w:i w:val="0"/>
                <w:sz w:val="17"/>
              </w:rPr>
              <w:t>LSTM vs SARIMAX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5,33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5,46</w:t>
            </w:r>
          </w:p>
        </w:tc>
        <w:tc>
          <w:tcPr>
            <w:tcW w:type="dxa" w:w="794"/>
          </w:tcPr>
          <w:p>
            <w:r>
              <w:rPr>
                <w:b w:val="0"/>
                <w:i w:val="0"/>
                <w:sz w:val="17"/>
              </w:rPr>
              <w:t>-2,5 %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1,31</w:t>
            </w:r>
          </w:p>
        </w:tc>
        <w:tc>
          <w:tcPr>
            <w:tcW w:type="dxa" w:w="680"/>
          </w:tcPr>
          <w:p>
            <w:r>
              <w:rPr>
                <w:b w:val="0"/>
                <w:i w:val="0"/>
                <w:sz w:val="17"/>
              </w:rPr>
              <w:t>0,191</w:t>
            </w:r>
          </w:p>
        </w:tc>
        <w:tc>
          <w:tcPr>
            <w:tcW w:type="dxa" w:w="2835"/>
          </w:tcPr>
          <w:p>
            <w:r>
              <w:rPr>
                <w:b w:val="0"/>
                <w:i w:val="0"/>
                <w:sz w:val="17"/>
              </w:rPr>
              <w:t>Diferencia no significativa</w:t>
            </w:r>
          </w:p>
        </w:tc>
      </w:tr>
      <w:tr>
        <w:tc>
          <w:tcPr>
            <w:tcW w:type="dxa" w:w="2324"/>
          </w:tcPr>
          <w:p>
            <w:r>
              <w:rPr>
                <w:b w:val="0"/>
                <w:i w:val="0"/>
                <w:sz w:val="17"/>
              </w:rPr>
              <w:t>LSTM vs Ridge con rezagos</w:t>
            </w:r>
          </w:p>
        </w:tc>
        <w:tc>
          <w:tcPr>
            <w:tcW w:type="dxa" w:w="964"/>
          </w:tcPr>
          <w:p>
            <w:r>
              <w:rPr>
                <w:b w:val="0"/>
                <w:i w:val="0"/>
                <w:sz w:val="17"/>
              </w:rPr>
              <w:t>5,33</w:t>
            </w:r>
          </w:p>
        </w:tc>
        <w:tc>
          <w:tcPr>
            <w:tcW w:type="dxa" w:w="907"/>
          </w:tcPr>
          <w:p>
            <w:r>
              <w:rPr>
                <w:b w:val="0"/>
                <w:i w:val="0"/>
                <w:sz w:val="17"/>
              </w:rPr>
              <w:t>5,47</w:t>
            </w:r>
          </w:p>
        </w:tc>
        <w:tc>
          <w:tcPr>
            <w:tcW w:type="dxa" w:w="794"/>
          </w:tcPr>
          <w:p>
            <w:r>
              <w:rPr>
                <w:b w:val="0"/>
                <w:i w:val="0"/>
                <w:sz w:val="17"/>
              </w:rPr>
              <w:t>-2,7 %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7"/>
              </w:rPr>
              <w:t>2,06</w:t>
            </w:r>
          </w:p>
        </w:tc>
        <w:tc>
          <w:tcPr>
            <w:tcW w:type="dxa" w:w="680"/>
          </w:tcPr>
          <w:p>
            <w:r>
              <w:rPr>
                <w:b w:val="0"/>
                <w:i w:val="0"/>
                <w:sz w:val="17"/>
              </w:rPr>
              <w:t>0,040</w:t>
            </w:r>
          </w:p>
        </w:tc>
        <w:tc>
          <w:tcPr>
            <w:tcW w:type="dxa" w:w="2835"/>
          </w:tcPr>
          <w:p>
            <w:r>
              <w:rPr>
                <w:b w:val="0"/>
                <w:i w:val="0"/>
                <w:sz w:val="17"/>
              </w:rPr>
              <w:t>Red mejor (p &lt; 0,05)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2879995" cy="1776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mae_horizo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9995" cy="1776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Figura 3. MAE por horizonte en prueba. Las redes quedan por debajo de ambas líneas base en los siete horizontes.</w:t>
      </w:r>
    </w:p>
    <w:p>
      <w:r>
        <w:rPr>
          <w:b/>
          <w:i w:val="0"/>
        </w:rPr>
        <w:t>Lectura.</w:t>
      </w:r>
      <w:r>
        <w:rPr>
          <w:b w:val="0"/>
          <w:i w:val="0"/>
        </w:rPr>
        <w:t xml:space="preserve"> La GRU cumple el criterio en validación (−5,1 % frente a Ridge con rezagos) y conserva una ventaja menor en prueba (−2,3 %), con menor RMSE (6,64 vs 6,80). Ambas redes quedan por debajo de las dos líneas base en todos los horizontes. Pero la mejora es de 0,1 siniestros por día y solo la LSTM alcanza significancia frente a Ridge con rezagos; frente a SARIMAX ninguna red es significativa. Se elige la GRU como modelo avanzado por su desempeño en validación, sin afirmar una superioridad fuerte sobre un buen modelo lineal.</w:t>
      </w:r>
    </w:p>
    <w:p>
      <w:pPr>
        <w:pStyle w:val="Heading1"/>
      </w:pPr>
      <w:r>
        <w:rPr>
          <w:b w:val="0"/>
          <w:i w:val="0"/>
        </w:rPr>
        <w:t>5. Experimentos de ablación (un factor a la vez)</w:t>
      </w:r>
    </w:p>
    <w:p>
      <w:r>
        <w:drawing>
          <wp:inline xmlns:a="http://schemas.openxmlformats.org/drawingml/2006/main" xmlns:pic="http://schemas.openxmlformats.org/drawingml/2006/picture">
            <wp:extent cx="5579991" cy="21964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abla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991" cy="2196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Figura 4. MAE de las variantes con la misma configuración y 3 semillas.</w:t>
      </w:r>
    </w:p>
    <w:p>
      <w:r>
        <w:rPr>
          <w:b/>
          <w:i w:val="0"/>
        </w:rPr>
        <w:t>Calendario futuro:</w:t>
      </w:r>
      <w:r>
        <w:rPr>
          <w:b w:val="0"/>
          <w:i w:val="0"/>
        </w:rPr>
        <w:t xml:space="preserve"> sin él, el MAE de prueba sube 7,8 % en la GRU y 7,9 % en la LSTM: es el componente con mayor aporte. </w:t>
      </w:r>
      <w:r>
        <w:rPr>
          <w:b/>
          <w:i w:val="0"/>
        </w:rPr>
        <w:t>Lluvia:</w:t>
      </w:r>
      <w:r>
        <w:rPr>
          <w:b w:val="0"/>
          <w:i w:val="0"/>
        </w:rPr>
        <w:t xml:space="preserve"> sin ella, la prueba mejora levemente en ambas redes (GRU 5,24, LSTM 5,30) y la validación cambia de signo entre arquitecturas: su aporte no es robusto. </w:t>
      </w:r>
      <w:r>
        <w:rPr>
          <w:b/>
          <w:i w:val="0"/>
        </w:rPr>
        <w:t>Pandemia:</w:t>
      </w:r>
      <w:r>
        <w:rPr>
          <w:b w:val="0"/>
          <w:i w:val="0"/>
        </w:rPr>
        <w:t xml:space="preserve"> con el periodo atípico dentro del entrenamiento (y un indicador), la validación empeora en ambas redes (GRU 5,05 vs 4,96; LSTM 5,05 vs 4,98) y las líneas base empeoran también en prueba (Ridge 5,54 vs 5,47; SARIMAX 5,51 vs 5,46). En prueba las redes casi no cambian. La exclusión se mantiene porque la decisión se toma con validación.</w:t>
      </w:r>
    </w:p>
    <w:p>
      <w:pPr>
        <w:pStyle w:val="Heading1"/>
      </w:pPr>
      <w:r>
        <w:rPr>
          <w:b w:val="0"/>
          <w:i w:val="0"/>
        </w:rPr>
        <w:t>6. Análisis de errores</w:t>
      </w:r>
    </w:p>
    <w:p>
      <w:r>
        <w:drawing>
          <wp:inline xmlns:a="http://schemas.openxmlformats.org/drawingml/2006/main" xmlns:pic="http://schemas.openxmlformats.org/drawingml/2006/picture">
            <wp:extent cx="5579991" cy="2579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nostico_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991" cy="257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Figura 5. Pronóstico a 1 día de la GRU y de Ridge con rezagos frente al valor real (sep–dic 2025).</w:t>
      </w:r>
    </w:p>
    <w:p>
      <w:pPr>
        <w:pStyle w:val="ListBullet"/>
      </w:pPr>
      <w:r>
        <w:rPr>
          <w:b/>
          <w:i w:val="0"/>
        </w:rPr>
        <w:t>Por año:</w:t>
      </w:r>
      <w:r>
        <w:rPr>
          <w:b w:val="0"/>
          <w:i w:val="0"/>
        </w:rPr>
        <w:t xml:space="preserve"> el MAE de la GRU es 5,18 en 2024 y 5,60 en 2025. En 2025 la siniestralidad con víctimas bajó (31,7/día frente a 35,3 en 2024) y las redes la sobrestiman (sesgo de la LSTM +0,83/día).</w:t>
      </w:r>
    </w:p>
    <w:p>
      <w:pPr>
        <w:pStyle w:val="ListBullet"/>
      </w:pPr>
      <w:r>
        <w:rPr>
          <w:b/>
          <w:i w:val="0"/>
        </w:rPr>
        <w:t>Por día de la semana (MAE GRU):</w:t>
      </w:r>
      <w:r>
        <w:rPr>
          <w:b w:val="0"/>
          <w:i w:val="0"/>
        </w:rPr>
        <w:t xml:space="preserve"> mayor el sábado (6,30), martes (5,91) y jueves (5,79); menor el domingo (4,67) y el viernes (4,80).</w:t>
      </w:r>
    </w:p>
    <w:p>
      <w:pPr>
        <w:pStyle w:val="ListBullet"/>
      </w:pPr>
      <w:r>
        <w:rPr>
          <w:b/>
          <w:i w:val="0"/>
        </w:rPr>
        <w:t>Peores días:</w:t>
      </w:r>
      <w:r>
        <w:rPr>
          <w:b w:val="0"/>
          <w:i w:val="0"/>
        </w:rPr>
        <w:t xml:space="preserve"> 2025-12-07 (real 43), 2025-02-06 (real 16), 2025-02-12 (real 54), 2025-03-06 (real 20). Son días atípicos en ambos sentidos, como el domingo 7 de diciembre de 2025 (día de velitas, 43 siniestros con víctimas frente a ~24 de un domingo típico); ninguna variable los anticipa.</w:t>
      </w:r>
    </w:p>
    <w:p>
      <w:pPr>
        <w:pStyle w:val="ListBullet"/>
      </w:pPr>
      <w:r>
        <w:rPr>
          <w:b/>
          <w:i w:val="0"/>
        </w:rPr>
        <w:t>Lluvia:</w:t>
      </w:r>
      <w:r>
        <w:rPr>
          <w:b w:val="0"/>
          <w:i w:val="0"/>
        </w:rPr>
        <w:t xml:space="preserve"> el 10 % de días más lluviosos tiene más error (GRU 5,69 vs 5,36), aunque usar la lluvia observada como entrada no lo corrige.</w:t>
      </w:r>
    </w:p>
    <w:p>
      <w:pPr>
        <w:pStyle w:val="ListBullet"/>
      </w:pPr>
      <w:r>
        <w:rPr>
          <w:b/>
          <w:i w:val="0"/>
        </w:rPr>
        <w:t>Festivos:</w:t>
      </w:r>
      <w:r>
        <w:rPr>
          <w:b w:val="0"/>
          <w:i w:val="0"/>
        </w:rPr>
        <w:t xml:space="preserve"> MAE 5,03 frente a 5,41 en días normales: el calendario futuro los resuelve bien.</w:t>
      </w:r>
    </w:p>
    <w:p>
      <w:pPr>
        <w:pStyle w:val="Heading1"/>
      </w:pPr>
      <w:r>
        <w:rPr>
          <w:b w:val="0"/>
          <w:i w:val="0"/>
        </w:rPr>
        <w:t>7. Oportunidades de mejora</w:t>
      </w:r>
    </w:p>
    <w:p>
      <w:pPr>
        <w:pStyle w:val="ListBullet"/>
      </w:pPr>
      <w:r>
        <w:rPr>
          <w:b w:val="0"/>
          <w:i w:val="0"/>
        </w:rPr>
        <w:t>Pronóstico de lluvia (no la lluvia observada) como covariable futura, ya que los días lluviosos concentran más error.</w:t>
      </w:r>
    </w:p>
    <w:p>
      <w:pPr>
        <w:pStyle w:val="ListBullet"/>
      </w:pPr>
      <w:r>
        <w:rPr>
          <w:b w:val="0"/>
          <w:i w:val="0"/>
        </w:rPr>
        <w:t>Indicador de eventos (días sin carro, velitas, partidos, paros) conocido al pronosticar.</w:t>
      </w:r>
    </w:p>
    <w:p>
      <w:pPr>
        <w:pStyle w:val="ListBullet"/>
      </w:pPr>
      <w:r>
        <w:rPr>
          <w:b w:val="0"/>
          <w:i w:val="0"/>
        </w:rPr>
        <w:t>Modelo global por localidad (20 series): más datos para la red y un pronóstico más útil para la operación.</w:t>
      </w:r>
    </w:p>
    <w:p>
      <w:pPr>
        <w:pStyle w:val="ListBullet"/>
      </w:pPr>
      <w:r>
        <w:rPr>
          <w:b w:val="0"/>
          <w:i w:val="0"/>
        </w:rPr>
        <w:t>Pronóstico probabilístico (cuantiles) para planear con intervalos y no solo con un valor puntual.</w:t>
      </w:r>
    </w:p>
    <w:p>
      <w:pPr>
        <w:pStyle w:val="ListBullet"/>
      </w:pPr>
      <w:r>
        <w:rPr>
          <w:b w:val="0"/>
          <w:i w:val="0"/>
        </w:rPr>
        <w:t>Recalibrar el nivel con datos de 2025, año en que la siniestralidad con víctimas bajó.</w:t>
      </w:r>
    </w:p>
    <w:p>
      <w:pPr>
        <w:pStyle w:val="Heading1"/>
      </w:pPr>
      <w:r>
        <w:rPr>
          <w:b w:val="0"/>
          <w:i w:val="0"/>
        </w:rPr>
        <w:t>8. Reproducibilidad y uso de IA</w:t>
      </w:r>
    </w:p>
    <w:p>
      <w:r>
        <w:rPr>
          <w:b w:val="0"/>
          <w:i/>
        </w:rPr>
        <w:t>python -m scripts.extraer_anuarios → src.data → scripts.run_baselines → scripts.run_experiments → scripts.run_evaluacion</w:t>
      </w:r>
      <w:r>
        <w:rPr>
          <w:b w:val="0"/>
          <w:i w:val="0"/>
        </w:rPr>
        <w:t xml:space="preserve"> reproduce todas las cifras de este reporte (≈ 30 minutos en CPU). Semillas, dependencias y configuración están versionadas. Se usó un asistente de IA (Claude) como apoyo para escribir código y redactar; el equipo revisó, ejecutó y validó los resultados.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8C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8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8C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