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ackend_setup_rostrv2_runtim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Backend Setup: ROSTRv2 Runtime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quired_servi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Required services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Postgres or Supabase Postgres for workspace state, run state, artifact metadata, approvals, and audit logs.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Object storage for exported documents and source files.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Vector-capable retrieval store for approved GTM artifacts only.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Queue/worker for model calls, research, exports, and integration retries.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Secret manager for LLM, CRM, AWS, and email credentials.</w:t>
      </w:r>
    </w:p>
    <w:p>
      <w:pPr>
        <w:spacing w:line="360" w:before="315" w:after="105" w:lineRule="auto"/>
        <w:ind w:left="-30"/>
        <w:jc w:val="left"/>
      </w:pPr>
      <w:bookmarkStart w:id="2" w:name="minimum_t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Minimum tables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workspaces, members, runs, artifacts, artifact_versions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approvals, audit_events, tool_executions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integrations, integration_connections, sync_jobs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conversations, messages, retrieval_chunks</w:t>
      </w:r>
    </w:p>
    <w:p>
      <w:pPr>
        <w:spacing w:line="360" w:before="315" w:after="105" w:lineRule="auto"/>
        <w:ind w:left="-30"/>
        <w:jc w:val="left"/>
      </w:pPr>
      <w:bookmarkStart w:id="3" w:name="api_end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API endpoints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 /v1/runs: create a run with workspace and user context.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 /v1/runs/{id}/input: submit normalized input.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/v1/runs/{id}: retrieve phase, artifacts, and errors.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 /v1/approvals: issue/reject an approval bound to exact action payload.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 /v1/tools/execute: host-only tool execution endpoint that verifies approval scope.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GET /v1/artifacts/{id}: return current or specified immutable version.</w:t>
      </w:r>
    </w:p>
    <w:p>
      <w:pPr>
        <w:spacing w:line="360" w:before="315" w:after="105" w:lineRule="auto"/>
        <w:ind w:left="-30"/>
        <w:jc w:val="left"/>
      </w:pPr>
      <w:bookmarkStart w:id="4" w:name="execution_loo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loop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Authenticate user and resolve workspace.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idempotent run record.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Orchestrator routes to a specialist agent.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Specialist produces draft artifact envelope.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Validator checks schema, provenance, and guardrails.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 draft and return it to UI.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 an external action, request host approval with exact payload.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approval token server-side; execute through adapter; audit result.</w:t>
      </w:r>
    </w:p>
    <w:p>
      <w:pPr>
        <w:spacing w:line="360" w:before="315" w:after="105" w:lineRule="auto"/>
        <w:ind w:left="-30"/>
        <w:jc w:val="left"/>
      </w:pPr>
      <w:bookmarkStart w:id="5" w:name="security_baseli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Security baseline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workspace-scoped authorization/RLS. Keep all secrets server-side. Sign approval tokens. Encrypt integration credentials. Use idempotency keys for all writes. Restrict retrieval to approved artifacts unless a user explicitly selects drafts.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2026-10-06T05:47:30.465Z</dcterms:created>
  <dcterms:modified xsi:type="dcterms:W3CDTF">2026-10-06T05:47:30.465Z</dcterms:modified>
</cp:coreProperties>
</file>