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arness_install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Harness Installation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generic_harness_ma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Generic harness mapping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System prompt / agent spec: load each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agents/*.agent.yaml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Skills directory: mount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skills/*/SKILL.md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Agent registry: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contracts/rostrv2.manifest.yaml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Tools: bind canonical names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contracts/tool-adapters.yaml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harness tool implementations.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State: implement the run state machine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runtime/state-machine.yaml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Routing: apply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runtime/routing.yaml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before defaulting to a general assistant.</w:t>
      </w:r>
    </w:p>
    <w:p>
      <w:pPr>
        <w:spacing w:line="360" w:before="315" w:after="105" w:lineRule="auto"/>
        <w:ind w:left="-30"/>
        <w:jc w:val="left"/>
      </w:pPr>
      <w:bookmarkStart w:id="2" w:name="required_host_guarante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Required host guarantees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Workspace-scoped identity context reaches each run.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Tool adapters enforce mode and approval requirements server-side.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Approval binds exact target and payload.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Artifact IDs and versions remain stable across retries.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Agents cannot access unapproved secrets or send data to tools outside the workspace policy.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2026-10-06T05:47:34.417Z</dcterms:created>
  <dcterms:modified xsi:type="dcterms:W3CDTF">2026-10-06T05:47:34.417Z</dcterms:modified>
</cp:coreProperties>
</file>