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400"/>
        <w:jc w:val="center"/>
      </w:pPr>
      <w:r>
        <w:drawing>
          <wp:inline distT="0" distB="0" distL="0" distR="0">
            <wp:extent cx="2857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0C2FF"/>
          <w:spacing w:val="40"/>
          <w:sz w:val="20"/>
          <w:szCs w:val="20"/>
        </w:rPr>
        <w:t xml:space="preserve">ACTIVATION PLAN</w:t>
      </w:r>
    </w:p>
    <w:p>
      <w:pPr>
        <w:spacing w:after="100"/>
        <w:jc w:val="center"/>
      </w:pPr>
      <w:r>
        <w:rPr>
          <w:rFonts w:ascii="Poppins" w:cs="Poppins" w:eastAsia="Poppins" w:hAnsi="Poppins"/>
          <w:b/>
          <w:bCs/>
          <w:color w:val="091428"/>
          <w:sz w:val="52"/>
          <w:szCs w:val="52"/>
        </w:rPr>
        <w:t xml:space="preserve">Diamitani Industries</w:t>
      </w:r>
    </w:p>
    <w:p>
      <w:pPr>
        <w:spacing w:after="40"/>
        <w:jc w:val="center"/>
      </w:pPr>
      <w:r>
        <w:rPr>
          <w:rFonts w:ascii="Poppins" w:cs="Poppins" w:eastAsia="Poppins" w:hAnsi="Poppins"/>
          <w:b/>
          <w:bCs/>
          <w:color w:val="00C2FF"/>
          <w:sz w:val="40"/>
          <w:szCs w:val="40"/>
        </w:rPr>
        <w:t xml:space="preserve">×</w:t>
      </w:r>
    </w:p>
    <w:p>
      <w:pPr>
        <w:spacing w:after="500"/>
        <w:jc w:val="center"/>
      </w:pPr>
      <w:r>
        <w:rPr>
          <w:rFonts w:ascii="Poppins" w:cs="Poppins" w:eastAsia="Poppins" w:hAnsi="Poppins"/>
          <w:b/>
          <w:bCs/>
          <w:color w:val="091428"/>
          <w:sz w:val="52"/>
          <w:szCs w:val="52"/>
        </w:rPr>
        <w:t xml:space="preserve">Praecipio Consulting</w:t>
      </w:r>
    </w:p>
    <w:p>
      <w:pPr>
        <w:pBdr>
          <w:top w:val="single" w:color="00C2FF" w:sz="16" w:space="12"/>
        </w:pBdr>
        <w:spacing w:after="200" w:before="200"/>
        <w:ind w:left="2880" w:right="2880"/>
        <w:jc w:val="center"/>
      </w:pPr>
      <w:r>
        <w:rPr>
          <w:sz w:val="2"/>
          <w:szCs w:val="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B6B82"/>
          <w:sz w:val="20"/>
          <w:szCs w:val="20"/>
        </w:rPr>
        <w:t xml:space="preserve">September 9, 2026 · 4:59 PM CT</w:t>
      </w:r>
    </w:p>
    <w:p>
      <w:pPr>
        <w:spacing w:after="700"/>
        <w:jc w:val="center"/>
      </w:pPr>
      <w:r>
        <w:rPr>
          <w:rFonts w:ascii="Arial" w:cs="Arial" w:eastAsia="Arial" w:hAnsi="Arial"/>
          <w:color w:val="5B6B82"/>
          <w:sz w:val="20"/>
          <w:szCs w:val="20"/>
        </w:rPr>
        <w:t xml:space="preserve">Written by Patrick Diamitani</w:t>
      </w:r>
    </w:p>
    <w:p>
      <w:pPr>
        <w:spacing w:before="1600"/>
        <w:jc w:val="center"/>
      </w:pPr>
      <w:r>
        <w:rPr>
          <w:rFonts w:ascii="Arial" w:cs="Arial" w:eastAsia="Arial" w:hAnsi="Arial"/>
          <w:color w:val="5B6B82"/>
          <w:spacing w:val="16"/>
          <w:sz w:val="15"/>
          <w:szCs w:val="15"/>
        </w:rPr>
        <w:t xml:space="preserve">PREPARED EXCLUSIVELY FOR PRAECIPIO CONSULTING · CONFIDENTIAL</w:t>
      </w:r>
    </w:p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296" w:right="1296" w:bottom="1296" w:left="1296" w:header="708" w:footer="708" w:gutter="0"/>
          <w:pgNumType/>
          <w:titlePg/>
          <w:docGrid w:linePitch="360"/>
        </w:sectPr>
      </w:pPr>
    </w:p>
    <w:p>
      <w:pPr>
        <w:pBdr>
          <w:bottom w:val="single" w:color="00C2FF" w:sz="12" w:space="8"/>
        </w:pBdr>
        <w:spacing w:after="200" w:before="420"/>
      </w:pPr>
      <w:r>
        <w:rPr>
          <w:rFonts w:ascii="Poppins" w:cs="Poppins" w:eastAsia="Poppins" w:hAnsi="Poppins"/>
          <w:b/>
          <w:bCs/>
          <w:color w:val="00C2FF"/>
          <w:sz w:val="22"/>
          <w:szCs w:val="22"/>
        </w:rPr>
        <w:t xml:space="preserve">01  </w:t>
      </w:r>
      <w:r>
        <w:rPr>
          <w:rFonts w:ascii="Poppins" w:cs="Poppins" w:eastAsia="Poppins" w:hAnsi="Poppins"/>
          <w:b/>
          <w:bCs/>
          <w:color w:val="091428"/>
          <w:sz w:val="28"/>
          <w:szCs w:val="28"/>
        </w:rPr>
        <w:t xml:space="preserve">Overview</w:t>
      </w:r>
    </w:p>
    <w:p>
      <w:pPr>
        <w:spacing w:after="100" w:before="220"/>
      </w:pPr>
      <w:r>
        <w:rPr>
          <w:rFonts w:ascii="Poppins" w:cs="Poppins" w:eastAsia="Poppins" w:hAnsi="Poppins"/>
          <w:b/>
          <w:bCs/>
          <w:color w:val="091428"/>
          <w:sz w:val="22"/>
          <w:szCs w:val="22"/>
        </w:rPr>
        <w:t xml:space="preserve">About the Engagement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Praecipio Consulting is currently reviewing Patrick Diamitani for an internal GTM role, or for a Forward Deployed AI Engineer opportunity.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This plan proposes an alternative: a six-month consulting activation, with the option to renew, in which Patrick consults, strategizes, and executes on a range of internal go-to-market efforts for Praecipio Consulting — without the overhead of a full-time hire, and with a scope built specifically around Praecipio's tools, team, and pipeline.</w:t>
      </w:r>
    </w:p>
    <w:p>
      <w:pPr>
        <w:pBdr>
          <w:bottom w:val="single" w:color="00C2FF" w:sz="12" w:space="8"/>
        </w:pBdr>
        <w:spacing w:after="200" w:before="420"/>
      </w:pPr>
      <w:r>
        <w:rPr>
          <w:rFonts w:ascii="Poppins" w:cs="Poppins" w:eastAsia="Poppins" w:hAnsi="Poppins"/>
          <w:b/>
          <w:bCs/>
          <w:color w:val="00C2FF"/>
          <w:sz w:val="22"/>
          <w:szCs w:val="22"/>
        </w:rPr>
        <w:t xml:space="preserve">02  </w:t>
      </w:r>
      <w:r>
        <w:rPr>
          <w:rFonts w:ascii="Poppins" w:cs="Poppins" w:eastAsia="Poppins" w:hAnsi="Poppins"/>
          <w:b/>
          <w:bCs/>
          <w:color w:val="091428"/>
          <w:sz w:val="28"/>
          <w:szCs w:val="28"/>
        </w:rPr>
        <w:t xml:space="preserve">Scope of Engagement</w:t>
      </w:r>
    </w:p>
    <w:p>
      <w:pPr>
        <w:spacing w:after="100" w:before="220"/>
      </w:pPr>
      <w:r>
        <w:rPr>
          <w:rFonts w:ascii="Poppins" w:cs="Poppins" w:eastAsia="Poppins" w:hAnsi="Poppins"/>
          <w:b/>
          <w:bCs/>
          <w:color w:val="091428"/>
          <w:sz w:val="22"/>
          <w:szCs w:val="22"/>
        </w:rPr>
        <w:t xml:space="preserve">Core Deliverables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Six systems form the core of this engagement. Each combines a piece of Praecipio's existing stack with a purpose-built AI workflow.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Prospect Automation Workflow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Combine Praecipio's technical stack with its Ideal Customer Profiles to build a system that generates leads, conducts research, and sends personalized outbound messages on behalf of sales reps.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Inbound Automation Workflow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Combine the CRM and the website's contact submission form with a system that classifies every inbound message, correctly assigns MQLs to the right internal team, and increases lead-to-response speed.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Pre-Call Workflow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Combine upcoming external meetings with prospect research to automatically generate a briefing report and deliver it to the team member taking the call.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Post-Call Workflow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Combine past meetings with call transcript research to analyze outcomes and automatically execute the appropriate follow-up message or task.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Daily Execution Report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Combine daily runs across all active workflows into a system that sends a spreadsheet and summary of any failed automations.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Go-To-Market Dashboard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Pull data from Praecipio's platforms and systems, combined with agreed-upon KPIs and metrics, into a single dashboard that visualizes GTM performance.</w:t>
      </w:r>
    </w:p>
    <w:p>
      <w:pPr>
        <w:spacing w:after="100" w:before="220"/>
      </w:pPr>
      <w:r>
        <w:rPr>
          <w:rFonts w:ascii="Poppins" w:cs="Poppins" w:eastAsia="Poppins" w:hAnsi="Poppins"/>
          <w:b/>
          <w:bCs/>
          <w:color w:val="091428"/>
          <w:sz w:val="22"/>
          <w:szCs w:val="22"/>
        </w:rPr>
        <w:t xml:space="preserve">Ad Hoc Support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Beyond the six core systems, Patrick will construct and improve ad hoc workflows, skills, and agents as needed throughout the engagement — responding to whatever the GTM team's priorities require, month to month.</w:t>
      </w:r>
    </w:p>
    <w:p>
      <w:pPr>
        <w:pBdr>
          <w:bottom w:val="single" w:color="00C2FF" w:sz="12" w:space="8"/>
        </w:pBdr>
        <w:spacing w:after="200" w:before="420"/>
      </w:pPr>
      <w:r>
        <w:rPr>
          <w:rFonts w:ascii="Poppins" w:cs="Poppins" w:eastAsia="Poppins" w:hAnsi="Poppins"/>
          <w:b/>
          <w:bCs/>
          <w:color w:val="00C2FF"/>
          <w:sz w:val="22"/>
          <w:szCs w:val="22"/>
        </w:rPr>
        <w:t xml:space="preserve">03  </w:t>
      </w:r>
      <w:r>
        <w:rPr>
          <w:rFonts w:ascii="Poppins" w:cs="Poppins" w:eastAsia="Poppins" w:hAnsi="Poppins"/>
          <w:b/>
          <w:bCs/>
          <w:color w:val="091428"/>
          <w:sz w:val="28"/>
          <w:szCs w:val="28"/>
        </w:rPr>
        <w:t xml:space="preserve">Optional Expansion Projects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Available as extensions to the core engagement, scoped and priced separately as priorities emerge: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Custom SDR Agent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Connect Claude models to a chatbot interface, giving the team direct, conversational access to GTM activities: calling, lead generation, outreach, and research.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Sales Enablement Agent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Connect and configure the broader tech stack into a single, optimized, AI-native system that gives every employee a consistent approach to their workflow.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GTM Center of Excellence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Build a library of internal skills and workflows, paired with AI-generated tutorial and curriculum videos, to train the team on each tool.</w:t>
      </w:r>
    </w:p>
    <w:p>
      <w:pPr>
        <w:pBdr>
          <w:bottom w:val="single" w:color="00C2FF" w:sz="12" w:space="8"/>
        </w:pBdr>
        <w:spacing w:after="200" w:before="420"/>
      </w:pPr>
      <w:r>
        <w:rPr>
          <w:rFonts w:ascii="Poppins" w:cs="Poppins" w:eastAsia="Poppins" w:hAnsi="Poppins"/>
          <w:b/>
          <w:bCs/>
          <w:color w:val="00C2FF"/>
          <w:sz w:val="22"/>
          <w:szCs w:val="22"/>
        </w:rPr>
        <w:t xml:space="preserve">04  </w:t>
      </w:r>
      <w:r>
        <w:rPr>
          <w:rFonts w:ascii="Poppins" w:cs="Poppins" w:eastAsia="Poppins" w:hAnsi="Poppins"/>
          <w:b/>
          <w:bCs/>
          <w:color w:val="091428"/>
          <w:sz w:val="28"/>
          <w:szCs w:val="28"/>
        </w:rPr>
        <w:t xml:space="preserve">Engagement Process</w:t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00C2FF"/>
          <w:sz w:val="21"/>
          <w:szCs w:val="21"/>
        </w:rPr>
        <w:t xml:space="preserve">Phase 1 — </w:t>
      </w:r>
      <w:r>
        <w:rPr>
          <w:rFonts w:ascii="Poppins" w:cs="Poppins" w:eastAsia="Poppins" w:hAnsi="Poppins"/>
          <w:b/>
          <w:bCs/>
          <w:color w:val="091428"/>
          <w:sz w:val="21"/>
          <w:szCs w:val="21"/>
        </w:rPr>
        <w:t xml:space="preserve">Assessment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Patrick and the Praecipio team conduct an initial assessment session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Review existing tools, projects, plans, and KPIs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Align on goals and next steps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Transfer logins and credential access needed to begin work</w:t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00C2FF"/>
          <w:sz w:val="21"/>
          <w:szCs w:val="21"/>
        </w:rPr>
        <w:t xml:space="preserve">Phase 2 — </w:t>
      </w:r>
      <w:r>
        <w:rPr>
          <w:rFonts w:ascii="Poppins" w:cs="Poppins" w:eastAsia="Poppins" w:hAnsi="Poppins"/>
          <w:b/>
          <w:bCs/>
          <w:color w:val="091428"/>
          <w:sz w:val="21"/>
          <w:szCs w:val="21"/>
        </w:rPr>
        <w:t xml:space="preserve">Roadmap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Patrick constructs a personalized roadmap, covering: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Scope of Work (SOW)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Delivery timeline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Expected outcomes and deliverables for each system</w:t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00C2FF"/>
          <w:sz w:val="21"/>
          <w:szCs w:val="21"/>
        </w:rPr>
        <w:t xml:space="preserve">Phase 3 — </w:t>
      </w:r>
      <w:r>
        <w:rPr>
          <w:rFonts w:ascii="Poppins" w:cs="Poppins" w:eastAsia="Poppins" w:hAnsi="Poppins"/>
          <w:b/>
          <w:bCs/>
          <w:color w:val="091428"/>
          <w:sz w:val="21"/>
          <w:szCs w:val="21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Patrick and the team review the roadmap together — open thoughts, what's working, and constructive changes before build begins</w:t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00C2FF"/>
          <w:sz w:val="21"/>
          <w:szCs w:val="21"/>
        </w:rPr>
        <w:t xml:space="preserve">Phase 4 — </w:t>
      </w:r>
      <w:r>
        <w:rPr>
          <w:rFonts w:ascii="Poppins" w:cs="Poppins" w:eastAsia="Poppins" w:hAnsi="Poppins"/>
          <w:b/>
          <w:bCs/>
          <w:color w:val="091428"/>
          <w:sz w:val="21"/>
          <w:szCs w:val="21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Both sides confirm engagement terms: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Timeline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when to expect delivery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Transaction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when payment will be made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091428"/>
          <w:sz w:val="21"/>
          <w:szCs w:val="21"/>
        </w:rPr>
        <w:t xml:space="preserve">Technology</w:t>
      </w:r>
      <w:r>
        <w:rPr>
          <w:rFonts w:ascii="Arial" w:cs="Arial" w:eastAsia="Arial" w:hAnsi="Arial"/>
          <w:color w:val="2E3A4C"/>
          <w:sz w:val="21"/>
          <w:szCs w:val="21"/>
        </w:rPr>
        <w:t xml:space="preserve"> — which systems are in scope</w:t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00C2FF"/>
          <w:sz w:val="21"/>
          <w:szCs w:val="21"/>
        </w:rPr>
        <w:t xml:space="preserve">Phase 5 — </w:t>
      </w:r>
      <w:r>
        <w:rPr>
          <w:rFonts w:ascii="Poppins" w:cs="Poppins" w:eastAsia="Poppins" w:hAnsi="Poppins"/>
          <w:b/>
          <w:bCs/>
          <w:color w:val="091428"/>
          <w:sz w:val="21"/>
          <w:szCs w:val="21"/>
        </w:rPr>
        <w:t xml:space="preserve">Execution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2E3A4C"/>
          <w:sz w:val="21"/>
          <w:szCs w:val="21"/>
        </w:rPr>
        <w:t xml:space="preserve">Patrick begins the project</w:t>
      </w:r>
    </w:p>
    <w:p>
      <w:pPr>
        <w:pBdr>
          <w:bottom w:val="single" w:color="00C2FF" w:sz="12" w:space="8"/>
        </w:pBdr>
        <w:spacing w:after="200" w:before="420"/>
      </w:pPr>
      <w:r>
        <w:rPr>
          <w:rFonts w:ascii="Poppins" w:cs="Poppins" w:eastAsia="Poppins" w:hAnsi="Poppins"/>
          <w:b/>
          <w:bCs/>
          <w:color w:val="00C2FF"/>
          <w:sz w:val="22"/>
          <w:szCs w:val="22"/>
        </w:rPr>
        <w:t xml:space="preserve">05  </w:t>
      </w:r>
      <w:r>
        <w:rPr>
          <w:rFonts w:ascii="Poppins" w:cs="Poppins" w:eastAsia="Poppins" w:hAnsi="Poppins"/>
          <w:b/>
          <w:bCs/>
          <w:color w:val="091428"/>
          <w:sz w:val="28"/>
          <w:szCs w:val="28"/>
        </w:rPr>
        <w:t xml:space="preserve">Timeline &amp; Key Dates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160"/>
              <w:left w:type="dxa" w:w="220"/>
              <w:bottom w:type="dxa" w:w="160"/>
              <w:right w:type="dxa" w:w="16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91428"/>
                <w:sz w:val="19"/>
                <w:szCs w:val="19"/>
              </w:rPr>
              <w:t xml:space="preserve">Initial Engagement</w:t>
            </w:r>
          </w:p>
        </w:tc>
        <w:tc>
          <w:tcPr>
            <w:tcW w:type="dxa" w:w="6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160"/>
              <w:left w:type="dxa" w:w="160"/>
              <w:bottom w:type="dxa" w:w="16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color w:val="2E3A4C"/>
                <w:sz w:val="20"/>
                <w:szCs w:val="20"/>
              </w:rPr>
              <w:t xml:space="preserve">September 28, 2026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160"/>
              <w:left w:type="dxa" w:w="220"/>
              <w:bottom w:type="dxa" w:w="160"/>
              <w:right w:type="dxa" w:w="16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91428"/>
                <w:sz w:val="19"/>
                <w:szCs w:val="19"/>
              </w:rPr>
              <w:t xml:space="preserve">Proposed Start Date</w:t>
            </w:r>
          </w:p>
        </w:tc>
        <w:tc>
          <w:tcPr>
            <w:tcW w:type="dxa" w:w="6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160"/>
              <w:left w:type="dxa" w:w="160"/>
              <w:bottom w:type="dxa" w:w="16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color w:val="2E3A4C"/>
                <w:sz w:val="20"/>
                <w:szCs w:val="20"/>
              </w:rPr>
              <w:t xml:space="preserve">Monday, October 5, 2026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160"/>
              <w:left w:type="dxa" w:w="220"/>
              <w:bottom w:type="dxa" w:w="160"/>
              <w:right w:type="dxa" w:w="16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91428"/>
                <w:sz w:val="19"/>
                <w:szCs w:val="19"/>
              </w:rPr>
              <w:t xml:space="preserve">3-Month Check-In</w:t>
            </w:r>
          </w:p>
        </w:tc>
        <w:tc>
          <w:tcPr>
            <w:tcW w:type="dxa" w:w="6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160"/>
              <w:left w:type="dxa" w:w="160"/>
              <w:bottom w:type="dxa" w:w="16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color w:val="2E3A4C"/>
                <w:sz w:val="20"/>
                <w:szCs w:val="20"/>
              </w:rPr>
              <w:t xml:space="preserve">Q1 2027 — weekly office hours, standups, and training sessions, with unlimited communication by text, email, and call throughout.</w:t>
            </w:r>
          </w:p>
        </w:tc>
      </w:tr>
    </w:tbl>
    <w:p>
      <w:pPr>
        <w:pBdr>
          <w:bottom w:val="single" w:color="00C2FF" w:sz="12" w:space="8"/>
        </w:pBdr>
        <w:spacing w:after="200" w:before="420"/>
      </w:pPr>
      <w:r>
        <w:rPr>
          <w:rFonts w:ascii="Poppins" w:cs="Poppins" w:eastAsia="Poppins" w:hAnsi="Poppins"/>
          <w:b/>
          <w:bCs/>
          <w:color w:val="00C2FF"/>
          <w:sz w:val="22"/>
          <w:szCs w:val="22"/>
        </w:rPr>
        <w:t xml:space="preserve">06  </w:t>
      </w:r>
      <w:r>
        <w:rPr>
          <w:rFonts w:ascii="Poppins" w:cs="Poppins" w:eastAsia="Poppins" w:hAnsi="Poppins"/>
          <w:b/>
          <w:bCs/>
          <w:color w:val="091428"/>
          <w:sz w:val="28"/>
          <w:szCs w:val="28"/>
        </w:rPr>
        <w:t xml:space="preserve">Relevant Systems</w:t>
      </w:r>
    </w:p>
    <w:p>
      <w:pPr>
        <w:spacing w:after="100" w:before="220"/>
      </w:pPr>
      <w:r>
        <w:rPr>
          <w:rFonts w:ascii="Poppins" w:cs="Poppins" w:eastAsia="Poppins" w:hAnsi="Poppins"/>
          <w:b/>
          <w:bCs/>
          <w:color w:val="091428"/>
          <w:sz w:val="22"/>
          <w:szCs w:val="22"/>
        </w:rPr>
        <w:t xml:space="preserve">Selected Work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A sample of comparable systems already built and running in production — the same category of work proposed in this plan.</w:t>
      </w:r>
    </w:p>
    <w:p>
      <w:pPr>
        <w:spacing w:after="100" w:before="280"/>
      </w:pPr>
      <w:r>
        <w:drawing>
          <wp:inline distT="0" distB="0" distL="0" distR="0">
            <wp:extent cx="4381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00C2FF"/>
          <w:spacing w:val="16"/>
          <w:sz w:val="15"/>
          <w:szCs w:val="15"/>
        </w:rPr>
        <w:t xml:space="preserve">PROSPECT &amp; INBOUND ROUTING</w:t>
      </w:r>
    </w:p>
    <w:p>
      <w:pPr>
        <w:spacing w:after="80"/>
      </w:pPr>
      <w:r>
        <w:rPr>
          <w:rFonts w:ascii="Poppins" w:cs="Poppins" w:eastAsia="Poppins" w:hAnsi="Poppins"/>
          <w:b/>
          <w:bCs/>
          <w:color w:val="091428"/>
          <w:sz w:val="22"/>
          <w:szCs w:val="22"/>
        </w:rPr>
        <w:t xml:space="preserve">VNTNR Global Logistics — CRM Shield</w:t>
      </w:r>
    </w:p>
    <w:p>
      <w:pPr>
        <w:spacing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Lead-to-CRM routing across HubSpot and Salesforce, with data enrichment, qualify-and-route logic, and live email deliverability monitoring — the same architecture proposed for Praecipio's inbound automation workflow.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B6B82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B6B82"/>
          <w:sz w:val="18"/>
          <w:szCs w:val="18"/>
        </w:rPr>
        <w:t xml:space="preserve">HubSpot, Salesforce, data enrichment, real-time monitoring</w:t>
      </w:r>
    </w:p>
    <w:p>
      <w:pPr>
        <w:spacing w:after="100" w:before="280"/>
      </w:pPr>
      <w:r>
        <w:drawing>
          <wp:inline distT="0" distB="0" distL="0" distR="0">
            <wp:extent cx="4381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00C2FF"/>
          <w:spacing w:val="16"/>
          <w:sz w:val="15"/>
          <w:szCs w:val="15"/>
        </w:rPr>
        <w:t xml:space="preserve">GTM DASHBOARD</w:t>
      </w:r>
    </w:p>
    <w:p>
      <w:pPr>
        <w:spacing w:after="80"/>
      </w:pPr>
      <w:r>
        <w:rPr>
          <w:rFonts w:ascii="Poppins" w:cs="Poppins" w:eastAsia="Poppins" w:hAnsi="Poppins"/>
          <w:b/>
          <w:bCs/>
          <w:color w:val="091428"/>
          <w:sz w:val="22"/>
          <w:szCs w:val="22"/>
        </w:rPr>
        <w:t xml:space="preserve">Archin Robotics — Outbound Revenue Intelligence</w:t>
      </w:r>
    </w:p>
    <w:p>
      <w:pPr>
        <w:spacing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A single-view GTM dashboard combining pipeline forecast, lead generation velocity, lead source distribution, revenue attribution, and top-performer tracking — the model for Praecipio's proposed GTM dashboard.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B6B82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B6B82"/>
          <w:sz w:val="18"/>
          <w:szCs w:val="18"/>
        </w:rPr>
        <w:t xml:space="preserve">CRM data pull, KPI visualization, revenue attribution</w:t>
      </w:r>
    </w:p>
    <w:p>
      <w:pPr>
        <w:spacing w:after="100" w:before="280"/>
      </w:pPr>
      <w:r>
        <w:drawing>
          <wp:inline distT="0" distB="0" distL="0" distR="0">
            <wp:extent cx="4381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00C2FF"/>
          <w:spacing w:val="16"/>
          <w:sz w:val="15"/>
          <w:szCs w:val="15"/>
        </w:rPr>
        <w:t xml:space="preserve">OUTBOUND AUTOMATION</w:t>
      </w:r>
    </w:p>
    <w:p>
      <w:pPr>
        <w:spacing w:after="80"/>
      </w:pPr>
      <w:r>
        <w:rPr>
          <w:rFonts w:ascii="Poppins" w:cs="Poppins" w:eastAsia="Poppins" w:hAnsi="Poppins"/>
          <w:b/>
          <w:bCs/>
          <w:color w:val="091428"/>
          <w:sz w:val="22"/>
          <w:szCs w:val="22"/>
        </w:rPr>
        <w:t xml:space="preserve">Aeorim AI — Cold Email Outreach</w:t>
      </w:r>
    </w:p>
    <w:p>
      <w:pPr>
        <w:spacing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A sequenced outbound system with tested message variants, live open- and reply-rate tracking, and staged follow-up logic — directly applicable to Praecipio's prospect automation and outbound ops.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B6B82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B6B82"/>
          <w:sz w:val="18"/>
          <w:szCs w:val="18"/>
        </w:rPr>
        <w:t xml:space="preserve">Sequenced campaigns, A/B variant testing, analytics</w:t>
      </w:r>
    </w:p>
    <w:p>
      <w:pPr>
        <w:pBdr>
          <w:bottom w:val="single" w:color="00C2FF" w:sz="12" w:space="8"/>
        </w:pBdr>
        <w:spacing w:after="200" w:before="420"/>
      </w:pPr>
      <w:r>
        <w:rPr>
          <w:rFonts w:ascii="Poppins" w:cs="Poppins" w:eastAsia="Poppins" w:hAnsi="Poppins"/>
          <w:b/>
          <w:bCs/>
          <w:color w:val="00C2FF"/>
          <w:sz w:val="22"/>
          <w:szCs w:val="22"/>
        </w:rPr>
        <w:t xml:space="preserve">07  </w:t>
      </w:r>
      <w:r>
        <w:rPr>
          <w:rFonts w:ascii="Poppins" w:cs="Poppins" w:eastAsia="Poppins" w:hAnsi="Poppins"/>
          <w:b/>
          <w:bCs/>
          <w:color w:val="091428"/>
          <w:sz w:val="28"/>
          <w:szCs w:val="28"/>
        </w:rPr>
        <w:t xml:space="preserve">Next Steps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If this structure works for Praecipio, the next step is the initial assessment session outlined above — reviewing tools, KPIs, and access, and setting the September 28 engagement date.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3A4C"/>
          <w:sz w:val="21"/>
          <w:szCs w:val="21"/>
        </w:rPr>
        <w:t xml:space="preserve">Happy to walk through any part of this plan live.</w:t>
      </w:r>
    </w:p>
    <w:p>
      <w:pPr>
        <w:spacing w:after="20" w:before="300"/>
      </w:pPr>
      <w:r>
        <w:rPr>
          <w:rFonts w:ascii="Poppins" w:cs="Poppins" w:eastAsia="Poppins" w:hAnsi="Poppins"/>
          <w:b/>
          <w:bCs/>
          <w:color w:val="091428"/>
          <w:sz w:val="22"/>
          <w:szCs w:val="22"/>
        </w:rPr>
        <w:t xml:space="preserve">Patrick Diamitani</w:t>
      </w:r>
    </w:p>
    <w:p>
      <w:pPr>
        <w:spacing w:after="4"/>
      </w:pPr>
      <w:r>
        <w:rPr>
          <w:rFonts w:ascii="Arial" w:cs="Arial" w:eastAsia="Arial" w:hAnsi="Arial"/>
          <w:color w:val="2E3A4C"/>
          <w:sz w:val="19"/>
          <w:szCs w:val="19"/>
        </w:rPr>
        <w:t xml:space="preserve">Founder &amp; Principal, Diamitani Industries, Inc.</w:t>
      </w:r>
    </w:p>
    <w:p>
      <w:pPr>
        <w:spacing w:after="4"/>
      </w:pPr>
      <w:r>
        <w:rPr>
          <w:rFonts w:ascii="Arial" w:cs="Arial" w:eastAsia="Arial" w:hAnsi="Arial"/>
          <w:color w:val="5B6B82"/>
          <w:sz w:val="19"/>
          <w:szCs w:val="19"/>
        </w:rPr>
        <w:t xml:space="preserve">patrick@diamitani.com  ·  diamitani.com</w:t>
      </w:r>
    </w:p>
    <w:sectPr>
      <w:headerReference w:type="default" r:id="rId11"/>
      <w:footerReference w:type="default" r:id="rId12"/>
      <w:pgSz w:w="12240" w:h="15840" w:orient="portrait"/>
      <w:pgMar w:top="1584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82"/>
        <w:sz w:val="15"/>
        <w:szCs w:val="15"/>
      </w:rPr>
      <w:t xml:space="preserve">Confidential — </w:t>
    </w:r>
    <w:r>
      <w:rPr>
        <w:rFonts w:ascii="Arial" w:cs="Arial" w:eastAsia="Arial" w:hAnsi="Arial"/>
        <w:color w:val="5B6B82"/>
        <w:sz w:val="15"/>
        <w:szCs w:val="15"/>
      </w:rPr>
      <w:t xml:space="preserve">Page </w:t>
    </w:r>
    <w:r>
      <w:rPr>
        <w:rFonts w:ascii="Arial" w:cs="Arial" w:eastAsia="Arial" w:hAnsi="Arial"/>
        <w:color w:val="5B6B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2"/>
        <w:sz w:val="15"/>
        <w:szCs w:val="15"/>
      </w:rPr>
      <w:t xml:space="preserve"> of </w:t>
    </w:r>
    <w:r>
      <w:rPr>
        <w:rFonts w:ascii="Arial" w:cs="Arial" w:eastAsia="Arial" w:hAnsi="Arial"/>
        <w:color w:val="5B6B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2EC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91428"/>
        <w:spacing w:val="12"/>
        <w:sz w:val="15"/>
        <w:szCs w:val="15"/>
      </w:rPr>
      <w:t xml:space="preserve">DIAMITANI INDUSTRIES</w:t>
    </w:r>
    <w:r>
      <w:rPr>
        <w:rFonts w:ascii="Arial" w:cs="Arial" w:eastAsia="Arial" w:hAnsi="Arial"/>
        <w:color w:val="5B6B82"/>
        <w:spacing w:val="12"/>
        <w:sz w:val="15"/>
        <w:szCs w:val="15"/>
      </w:rPr>
      <w:t xml:space="preserve">	ACTIVATION PLAN — PRAECIPIO CONSULTING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00C2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8b97e951bd140ccf1441e16b1d414ebc9ddf5f35.png"/><Relationship Id="rId14" Type="http://schemas.openxmlformats.org/officeDocument/2006/relationships/image" Target="media/91ddd6895324e48a93dcc7afc0bd13fba90ec33f.jpg"/><Relationship Id="rId15" Type="http://schemas.openxmlformats.org/officeDocument/2006/relationships/image" Target="media/22f92d7c008aa1bab0dc316d0d3e93eb8c11f1c7.jpg"/><Relationship Id="rId16" Type="http://schemas.openxmlformats.org/officeDocument/2006/relationships/image" Target="media/15d8e0c1c8c9421de1ec2d8203e89eba7019253c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2026-09-10T05:36:16.302Z</dcterms:created>
  <dcterms:modified xsi:type="dcterms:W3CDTF">2026-09-10T05:36:16.313Z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