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evjug2zui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5-Touch Outbound Sequence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Targeting CTOs, CDOs, and AI/ML Leaders in Regulated Industries (Finance, Healthcare, Gov’t)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.0669456066945"/>
        <w:gridCol w:w="1591.0041841004183"/>
        <w:gridCol w:w="959.4979079497908"/>
        <w:gridCol w:w="5923.430962343096"/>
        <w:tblGridChange w:id="0">
          <w:tblGrid>
            <w:gridCol w:w="886.0669456066945"/>
            <w:gridCol w:w="1591.0041841004183"/>
            <w:gridCol w:w="959.4979079497908"/>
            <w:gridCol w:w="5923.4309623430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Outline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"Scaling Private AI Without Compliance Headaches"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Quick intro → Challenge (data privacy &amp; scaling) → Insight: Scalytics enables federated learning without moving data → CTA: Book a demo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LinkedIn Connect &amp;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 note:</w:t>
            </w:r>
            <w:r w:rsidDel="00000000" w:rsidR="00000000" w:rsidRPr="00000000">
              <w:rPr>
                <w:rtl w:val="0"/>
              </w:rPr>
              <w:t xml:space="preserve"> "We help AI leaders like [Company] deploy private, compliant AI at scale."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Reference recent industry compliance trend → Offer Scalytics whitepaper or use case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"AI Act, GDPR &amp; AI Scaling: Solved Together"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Short case study (e.g., European travel agency or fintech client) → Link to blog post → CTA: 20-minute consult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Phone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Day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Script:</w:t>
            </w:r>
            <w:r w:rsidDel="00000000" w:rsidR="00000000" w:rsidRPr="00000000">
              <w:rPr>
                <w:rtl w:val="0"/>
              </w:rPr>
              <w:t xml:space="preserve"> "Hi [Name], reaching out because your team might face data compliance and AI scaling challenges like other [Industry] leaders. Happy to share what we’ve done for firms like [Customer]."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Day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"Final follow-up: Secure AI scaling for [Company]"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Recap → Emphasize urgency (AI Act deadlines, data silos growing cost) → CTA: Schedule time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