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lingpt0x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Scalytics Sales Playbook | 2025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  <w:sz w:val="28"/>
          <w:szCs w:val="28"/>
        </w:rPr>
      </w:pPr>
      <w:bookmarkStart w:colFirst="0" w:colLast="0" w:name="_7wqqbdpefqlq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A Living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ya3rvcprb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Scalytics, we empower enterprises to deploy artificial intelligence (AI) solutions </w:t>
      </w:r>
      <w:r w:rsidDel="00000000" w:rsidR="00000000" w:rsidRPr="00000000">
        <w:rPr>
          <w:i w:val="1"/>
          <w:iCs w:val="1"/>
          <w:rtl w:val="0"/>
        </w:rPr>
        <w:t xml:space="preserve">on their terms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ensuring privacy, security, scalability, and full compliance with global regulations.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vision is to lead the enterprise AI market by advancing federated learning and privacy-first innovation. We focus on enabling organizations to scale AI without sacrificing data control or compliance.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Team: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Alten</w:t>
      </w:r>
      <w:r w:rsidDel="00000000" w:rsidR="00000000" w:rsidRPr="00000000">
        <w:rPr>
          <w:rtl w:val="0"/>
        </w:rPr>
        <w:t xml:space="preserve"> — Chief Executive Officer (CEO)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Dr. Zoi Kaoudi</w:t>
      </w:r>
      <w:r w:rsidDel="00000000" w:rsidR="00000000" w:rsidRPr="00000000">
        <w:rPr>
          <w:rtl w:val="0"/>
        </w:rPr>
        <w:t xml:space="preserve"> — Senior Vice President (SVP) of Engineering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Dr. Mirko Kämpf</w:t>
      </w:r>
      <w:r w:rsidDel="00000000" w:rsidR="00000000" w:rsidRPr="00000000">
        <w:rPr>
          <w:rtl w:val="0"/>
        </w:rPr>
        <w:t xml:space="preserve"> — Chief Revenue Officer (CRO)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Values:</w:t>
      </w:r>
      <w:r w:rsidDel="00000000" w:rsidR="00000000" w:rsidRPr="00000000">
        <w:rPr>
          <w:rtl w:val="0"/>
        </w:rPr>
        <w:t xml:space="preserve"> Privacy. Innovation. Transparency. Compliance.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hli3vu7r1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&amp; Solution Overview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Scalytics Connect Platform</w:t>
      </w:r>
      <w:r w:rsidDel="00000000" w:rsidR="00000000" w:rsidRPr="00000000">
        <w:rPr>
          <w:rtl w:val="0"/>
        </w:rPr>
        <w:t xml:space="preserve"> is the cornerstone of our offering.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private AI models at scale</w:t>
      </w:r>
      <w:r w:rsidDel="00000000" w:rsidR="00000000" w:rsidRPr="00000000">
        <w:rPr>
          <w:rtl w:val="0"/>
        </w:rPr>
        <w:t xml:space="preserve"> — for high-security, enterprise-grade applications.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Learning:</w:t>
      </w:r>
      <w:r w:rsidDel="00000000" w:rsidR="00000000" w:rsidRPr="00000000">
        <w:rPr>
          <w:rtl w:val="0"/>
        </w:rPr>
        <w:t xml:space="preserve"> Decentralized AI that allows training models without moving data across locations or jurisdictions.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Context Protocol (MCP):</w:t>
      </w:r>
      <w:r w:rsidDel="00000000" w:rsidR="00000000" w:rsidRPr="00000000">
        <w:rPr>
          <w:rtl w:val="0"/>
        </w:rPr>
        <w:t xml:space="preserve"> Enables private semantic search and multimodal AI capabilities tailored for enterprise needs.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Model Orchestration:</w:t>
      </w:r>
      <w:r w:rsidDel="00000000" w:rsidR="00000000" w:rsidRPr="00000000">
        <w:rPr>
          <w:rtl w:val="0"/>
        </w:rPr>
        <w:t xml:space="preserve"> Supports leading models including Meta’s LLaMa, Mistral, Gemma, and integrates seamlessly with OpenAI, Anthropic, and Gemini.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Flexibility:</w:t>
      </w:r>
      <w:r w:rsidDel="00000000" w:rsidR="00000000" w:rsidRPr="00000000">
        <w:rPr>
          <w:rtl w:val="0"/>
        </w:rPr>
        <w:t xml:space="preserve"> Cloud-native (Amazon Web Services, Microsoft Azure, Google Cloud Platform) or on-premises deployments.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Differentiators: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Privacy-first by design.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managed service.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ecosystem avoiding vendor lock-in.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Compliance-ready: General Data Protection Regulation (GDPR), Health Insurance Portability and Accountability Act (HIPAA), and the European Union Artificial Intelligence Act (AI Act).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q4ery8r8g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Customer Profile (ICP) &amp; Buyer Personas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 Segments: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AI Buyers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Makers: Chief Technology Officers (CTO), Chief Data Officers (CDO), Vice Presidents (VP) of AI.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 Points: Data privacy, scaling AI solutions, regulatory compliance.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Solutions: Federated AI, Model Context Protocol (MCP), and no data movement required.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Compliance-Led Industries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Makers: Data Protection Officers (DPO), Chief Information Security Officers (CISO).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 Points: Complex and evolving regulatory landscapes.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Solutions: Fully managed, compliance-aligned AI deployments.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Buyer Personas: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Authority:</w:t>
      </w:r>
      <w:r w:rsidDel="00000000" w:rsidR="00000000" w:rsidRPr="00000000">
        <w:rPr>
          <w:rtl w:val="0"/>
        </w:rPr>
        <w:t xml:space="preserve"> CTO / CDO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Buyer:</w:t>
      </w:r>
      <w:r w:rsidDel="00000000" w:rsidR="00000000" w:rsidRPr="00000000">
        <w:rPr>
          <w:rtl w:val="0"/>
        </w:rPr>
        <w:t xml:space="preserve"> VP of AI / Machine Learning Operations (ML Ops)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Champion:</w:t>
      </w:r>
      <w:r w:rsidDel="00000000" w:rsidR="00000000" w:rsidRPr="00000000">
        <w:rPr>
          <w:rtl w:val="0"/>
        </w:rPr>
        <w:t xml:space="preserve"> Head of Data Science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Segments:</w:t>
      </w:r>
      <w:r w:rsidDel="00000000" w:rsidR="00000000" w:rsidRPr="00000000">
        <w:rPr>
          <w:rtl w:val="0"/>
        </w:rPr>
        <w:t xml:space="preserve"> Mid-market companies accelerating AI initiatives, particularly those in regulated sectors.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n719tam2t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Process &amp; Methodology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Process Stages: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Qualified Lead (MQL) → Sales Qualified Lead (SQL) → Sales Accepted Opportunity (SAO) → Demo → Proposal → Close → Customer Success.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Qualification Frameworks: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Inbound:</w:t>
      </w:r>
      <w:r w:rsidDel="00000000" w:rsidR="00000000" w:rsidRPr="00000000">
        <w:rPr>
          <w:rtl w:val="0"/>
        </w:rPr>
        <w:t xml:space="preserve"> Budget, Authority, Need, Timeline (BANT).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Outbound:</w:t>
      </w:r>
      <w:r w:rsidDel="00000000" w:rsidR="00000000" w:rsidRPr="00000000">
        <w:rPr>
          <w:rtl w:val="0"/>
        </w:rPr>
        <w:t xml:space="preserve"> Problem, Authority, Consequences, Target Profile, Timing (PACTT) and Metrics, Economic Buyer, Decision Criteria, Decision Process, Identify Pain, Champion (MEDDIC).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Sales Methodology:</w:t>
        <w:br w:type="textWrapping"/>
        <w:t xml:space="preserve">The Challenger Sale</w:t>
      </w:r>
      <w:r w:rsidDel="00000000" w:rsidR="00000000" w:rsidRPr="00000000">
        <w:rPr>
          <w:rtl w:val="0"/>
        </w:rPr>
        <w:t xml:space="preserve"> — Teach, Tailor, Take Control.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process prioritizes education and value-driven conversations rather than product pitching.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wlacuiu5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Outreach &amp; Messaging Framework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Outbound Email Sequence:</w:t>
        <w:br w:type="textWrapping"/>
      </w:r>
      <w:r w:rsidDel="00000000" w:rsidR="00000000" w:rsidRPr="00000000">
        <w:rPr>
          <w:rtl w:val="0"/>
        </w:rPr>
        <w:t xml:space="preserve">A five-touch sequence combining email, LinkedIn messages, and phone calls. Messaging emphasizes privacy, compliance outcomes, and measurable return on investment (ROI).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Messaging Flow: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request → Share value proposition → Offer relevant case study → Request discovery meeting.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Cold Call Talk Track: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by addressing compliance and privacy pain points.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quick success stories from similar customers.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a discovery question → Call to Action (CTA) for an Account Executive (AE) meeting.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Objection Handling Examples: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"We have internal AI infrastructure."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Scalytics complements existing solutions and accelerates outcomes.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"Vendor lock-in concerns."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Scalytics provides open models and flexible Application Programming Interfaces (APIs).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rt5hx70u3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Enablement Tools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Resources: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Battlecards:</w:t>
      </w:r>
      <w:r w:rsidDel="00000000" w:rsidR="00000000" w:rsidRPr="00000000">
        <w:rPr>
          <w:rtl w:val="0"/>
        </w:rPr>
        <w:t xml:space="preserve"> Objection handling and competitor positioning.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One-Pager PDFs:</w:t>
      </w:r>
      <w:r w:rsidDel="00000000" w:rsidR="00000000" w:rsidRPr="00000000">
        <w:rPr>
          <w:rtl w:val="0"/>
        </w:rPr>
        <w:t xml:space="preserve"> Core value proposition and proof points.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Scripts:</w:t>
      </w:r>
      <w:r w:rsidDel="00000000" w:rsidR="00000000" w:rsidRPr="00000000">
        <w:rPr>
          <w:rtl w:val="0"/>
        </w:rPr>
        <w:t xml:space="preserve"> Email and LinkedIn cadences tailored to ICP pain points.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Dashboard:</w:t>
      </w:r>
      <w:r w:rsidDel="00000000" w:rsidR="00000000" w:rsidRPr="00000000">
        <w:rPr>
          <w:rtl w:val="0"/>
        </w:rPr>
        <w:t xml:space="preserve"> Tracks Sales Qualified Leads (SQLs), Sales Accepted Opportunities (SAOs), Win Rate, Deal Velocity, and Net Revenue Retention (NRR).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Training Calendar:</w:t>
      </w:r>
      <w:r w:rsidDel="00000000" w:rsidR="00000000" w:rsidRPr="00000000">
        <w:rPr>
          <w:rtl w:val="0"/>
        </w:rPr>
        <w:t xml:space="preserve"> Structured onboarding routines, discovery call roleplays, and enablement sessions.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u0lb2hrs3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Compensation Plans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Compensation Overview: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Development Representatives (SDRs):</w:t>
      </w:r>
      <w:r w:rsidDel="00000000" w:rsidR="00000000" w:rsidRPr="00000000">
        <w:rPr>
          <w:rtl w:val="0"/>
        </w:rPr>
        <w:t xml:space="preserve"> Bonuses for SQL generation and conversion accelerators for SAOs.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Executives (AEs):</w:t>
      </w:r>
      <w:r w:rsidDel="00000000" w:rsidR="00000000" w:rsidRPr="00000000">
        <w:rPr>
          <w:rtl w:val="0"/>
        </w:rPr>
        <w:t xml:space="preserve"> 10–15% commission on Annual Contract Value (ACV), plus accelerators for multi-year deals.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 Managers (CSMs):</w:t>
      </w:r>
      <w:r w:rsidDel="00000000" w:rsidR="00000000" w:rsidRPr="00000000">
        <w:rPr>
          <w:rtl w:val="0"/>
        </w:rPr>
        <w:t xml:space="preserve"> Renewal and upsell bonuses tied to NRR targets.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zv0qh6anv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Structure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POD Model:</w:t>
        <w:br w:type="textWrapping"/>
      </w:r>
      <w:r w:rsidDel="00000000" w:rsidR="00000000" w:rsidRPr="00000000">
        <w:rPr>
          <w:rtl w:val="0"/>
        </w:rPr>
        <w:t xml:space="preserve">Each team POD is built for technical consultative selling and seamless customer success. PODs are aligned by industry vertical or geographic region.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&amp; Responsibilities: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Engagement Manager (OEM):</w:t>
      </w:r>
      <w:r w:rsidDel="00000000" w:rsidR="00000000" w:rsidRPr="00000000">
        <w:rPr>
          <w:rtl w:val="0"/>
        </w:rPr>
        <w:t xml:space="preserve"> Identifies, researches, and contacts target accounts. Responsible for outbound prospecting and booking qualified meetings.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Engagement Manager (IEM):</w:t>
      </w:r>
      <w:r w:rsidDel="00000000" w:rsidR="00000000" w:rsidRPr="00000000">
        <w:rPr>
          <w:rtl w:val="0"/>
        </w:rPr>
        <w:t xml:space="preserve"> Manages and qualifies inbound leads, ensuring rapid response and conversion to discovery meetings.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Engineer (SE):</w:t>
      </w:r>
      <w:r w:rsidDel="00000000" w:rsidR="00000000" w:rsidRPr="00000000">
        <w:rPr>
          <w:rtl w:val="0"/>
        </w:rPr>
        <w:t xml:space="preserve"> Leads technical discovery, delivers demos, handles objection management, and collaborates with the SIA on solution design.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Implementation Architect (SIA):</w:t>
      </w:r>
      <w:r w:rsidDel="00000000" w:rsidR="00000000" w:rsidRPr="00000000">
        <w:rPr>
          <w:rtl w:val="0"/>
        </w:rPr>
        <w:t xml:space="preserve"> Designs the technical solution post-demo and leads implementation to ensure successful deployment.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Account Manager (TAM):</w:t>
      </w:r>
      <w:r w:rsidDel="00000000" w:rsidR="00000000" w:rsidRPr="00000000">
        <w:rPr>
          <w:rtl w:val="0"/>
        </w:rPr>
        <w:t xml:space="preserve"> Oversees post-sale relationship, ensuring adoption, performance, compliance success, renewals, and upsell opportunities.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Hierarchy: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Chief Revenue Officer (CRO) → Sales Enablement → POD Leads → OEM/IEM/SE/SIA/TAM Team Members.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l8bh2mw9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&amp; Key Performance Indicators (KPIs)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Stage KPIs: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Funnel:</w:t>
      </w:r>
      <w:r w:rsidDel="00000000" w:rsidR="00000000" w:rsidRPr="00000000">
        <w:rPr>
          <w:rtl w:val="0"/>
        </w:rPr>
        <w:t xml:space="preserve"> Conversion rate from Marketing Qualified Leads (MQLs) to Sales Qualified Leads (SQLs).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 Funnel:</w:t>
      </w:r>
      <w:r w:rsidDel="00000000" w:rsidR="00000000" w:rsidRPr="00000000">
        <w:rPr>
          <w:rtl w:val="0"/>
        </w:rPr>
        <w:t xml:space="preserve"> SQL to Sales Accepted Opportunity (SAO) conversion.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Win Rate, Deal Velocity, and Average Contract Value (ACV).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Post-Sale:</w:t>
      </w:r>
      <w:r w:rsidDel="00000000" w:rsidR="00000000" w:rsidRPr="00000000">
        <w:rPr>
          <w:rtl w:val="0"/>
        </w:rPr>
        <w:t xml:space="preserve"> Net Revenue Retention (NRR), Upsell Rate.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Metrics by Role: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OEM/IEM Activity:</w:t>
      </w:r>
      <w:r w:rsidDel="00000000" w:rsidR="00000000" w:rsidRPr="00000000">
        <w:rPr>
          <w:rtl w:val="0"/>
        </w:rPr>
        <w:t xml:space="preserve"> Conversations initiated, meetings booked, reply-to-demo conversion rates.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Engineer (SE) Metrics:</w:t>
      </w:r>
      <w:r w:rsidDel="00000000" w:rsidR="00000000" w:rsidRPr="00000000">
        <w:rPr>
          <w:rtl w:val="0"/>
        </w:rPr>
        <w:t xml:space="preserve"> Technical discovery calls conducted, demos delivered, demo-to-deal conversion rate.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Implementation Architect (SIA) Metrics:</w:t>
      </w:r>
      <w:r w:rsidDel="00000000" w:rsidR="00000000" w:rsidRPr="00000000">
        <w:rPr>
          <w:rtl w:val="0"/>
        </w:rPr>
        <w:t xml:space="preserve"> Deployment timelines, implementation success rate, technical escalations resolved.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Account Manager (TAM) Metrics:</w:t>
      </w:r>
      <w:r w:rsidDel="00000000" w:rsidR="00000000" w:rsidRPr="00000000">
        <w:rPr>
          <w:rtl w:val="0"/>
        </w:rPr>
        <w:t xml:space="preserve"> Upsell rate, Net Revenue Retention (NRR), Customer Satisfaction (CSAT) scores, renewals.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1j0x9ih74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 &amp; Expansion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Handoff Template:</w:t>
        <w:br w:type="textWrapping"/>
      </w:r>
      <w:r w:rsidDel="00000000" w:rsidR="00000000" w:rsidRPr="00000000">
        <w:rPr>
          <w:rtl w:val="0"/>
        </w:rPr>
        <w:t xml:space="preserve">At deal closure, a detailed handoff occurs from the Sales Engineer (SE) and Solution Implementation Architect (SIA) to the Technical Account Manager (TAM), preserving all relationship context, technical requirements, and strategic growth opportunities.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  <w:br w:type="textWrapping"/>
      </w:r>
      <w:r w:rsidDel="00000000" w:rsidR="00000000" w:rsidRPr="00000000">
        <w:rPr>
          <w:rtl w:val="0"/>
        </w:rPr>
        <w:t xml:space="preserve">Client Key Performance Indicators (KPIs) are aligned to compliance adherence, AI deployment success, and adoption of Scalytics features (e.g., MCP usage, federated learning deployments).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Expansion Opportunities:</w:t>
        <w:br w:type="textWrapping"/>
      </w:r>
      <w:r w:rsidDel="00000000" w:rsidR="00000000" w:rsidRPr="00000000">
        <w:rPr>
          <w:rtl w:val="0"/>
        </w:rPr>
        <w:t xml:space="preserve">The TAM identifies and leads upsell/cross-sell discussions for Model Context Protocol (MCP) add-ons, advanced model orchestration services, and future compliance framework enhancements as the client’s needs evolve.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wxmvc7py2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pzows3gfp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Sales Playbook reflects Scalytics’ commitment to a </w:t>
      </w:r>
      <w:r w:rsidDel="00000000" w:rsidR="00000000" w:rsidRPr="00000000">
        <w:rPr>
          <w:b w:val="1"/>
          <w:bCs w:val="1"/>
          <w:rtl w:val="0"/>
        </w:rPr>
        <w:t xml:space="preserve">consultative, compliance-forward approach</w:t>
      </w:r>
      <w:r w:rsidDel="00000000" w:rsidR="00000000" w:rsidRPr="00000000">
        <w:rPr>
          <w:rtl w:val="0"/>
        </w:rPr>
        <w:t xml:space="preserve"> that differentiates us in the AI marketplace. Every stage of the buyer journey is aligned with industry best practices, emphasizing education, collaboration, and delivering measurable value to customers.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advanced technical solutions with a clear, repeatable sales process, Scalytics is prepared to scale revenue predictably while maintaining our leadership in privacy-first, enterprise AI.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