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rPr>
          <w:b/>
          <w:bCs/>
          <w:color w:val="6C3AED"/>
          <w:sz w:val="18"/>
          <w:szCs w:val="18"/>
        </w:rPr>
        <w:t xml:space="preserve">ONE-PAGER · INBOUND TRIAGE™</w:t>
      </w:r>
    </w:p>
    <w:p>
      <w:pPr>
        <w:pStyle w:val="Title"/>
      </w:pPr>
      <w:r>
        <w:rPr>
          <w:b/>
          <w:bCs/>
          <w:color w:val="0F172A"/>
          <w:sz w:val="56"/>
          <w:szCs w:val="56"/>
        </w:rPr>
        <w:t xml:space="preserve">Stop losing inbound leads to slow follow-up.</w:t>
      </w:r>
    </w:p>
    <w:p>
      <w:pPr>
        <w:pStyle w:val="Subtitle"/>
      </w:pPr>
      <w:r>
        <w:rPr>
          <w:color w:val="475569"/>
          <w:sz w:val="26"/>
          <w:szCs w:val="26"/>
        </w:rPr>
        <w:t xml:space="preserve">Inbound Triage™ — an AI agent that classifies, routes, and replies to every form submission in under 30 seconds.</w:t>
      </w:r>
    </w:p>
    <w:p>
      <w:pPr>
        <w:pBdr>
          <w:bottom w:val="single" w:color="6C3AED" w:sz="6" w:space="4"/>
        </w:pBdr>
        <w:spacing w:after="200" w:before="200"/>
      </w:pPr>
      <w:r>
        <w:t xml:space="preserve"/>
      </w:r>
    </w:p>
    <w:p>
      <w:pPr>
        <w:pStyle w:val="Heading2"/>
      </w:pPr>
      <w:r>
        <w:t xml:space="preserve">The problem</w:t>
      </w:r>
    </w:p>
    <w:p>
      <w:pPr>
        <w:spacing w:after="100" w:before="60"/>
      </w:pPr>
      <w:r>
        <w:t xml:space="preserve">Your form is doing two things wrong: (1) prospects pick the wrong option, so good leads end up in the General queue and vendor pitches end up in your Sales queue. (2) By the time an SDR fixes it and a rep replies, the prospect has gone cold or booked a competitor's demo.</w:t>
      </w:r>
    </w:p>
    <w:p>
      <w:pPr>
        <w:pStyle w:val="Heading2"/>
      </w:pPr>
      <w:r>
        <w:t xml:space="preserve">What Inbound Triage™ does</w:t>
      </w:r>
    </w:p>
    <w:p>
      <w:pPr>
        <w:pStyle w:val="ListParagraph"/>
        <w:numPr>
          <w:ilvl w:val="0"/>
          <w:numId w:val="2"/>
        </w:numPr>
        <w:spacing w:after="60" w:before="40"/>
      </w:pPr>
      <w:r>
        <w:t xml:space="preserve">Reads every form submission and classifies the real intent — not the form selection.</w:t>
      </w:r>
    </w:p>
    <w:p>
      <w:pPr>
        <w:pStyle w:val="ListParagraph"/>
        <w:numPr>
          <w:ilvl w:val="0"/>
          <w:numId w:val="2"/>
        </w:numPr>
        <w:spacing w:after="60" w:before="40"/>
      </w:pPr>
      <w:r>
        <w:t xml:space="preserve">Auto-corrects mis-classified leads in your CRM (HubSpot, Salesforce, etc.).</w:t>
      </w:r>
    </w:p>
    <w:p>
      <w:pPr>
        <w:pStyle w:val="ListParagraph"/>
        <w:numPr>
          <w:ilvl w:val="0"/>
          <w:numId w:val="2"/>
        </w:numPr>
        <w:spacing w:after="60" w:before="40"/>
      </w:pPr>
      <w:r>
        <w:t xml:space="preserve">Drafts a brand-correct, country-aware reply in under 30 seconds — 24/7.</w:t>
      </w:r>
    </w:p>
    <w:p>
      <w:pPr>
        <w:pStyle w:val="ListParagraph"/>
        <w:numPr>
          <w:ilvl w:val="0"/>
          <w:numId w:val="2"/>
        </w:numPr>
        <w:spacing w:after="60" w:before="40"/>
      </w:pPr>
      <w:r>
        <w:t xml:space="preserve">Hands the rep a draft ready to send. They review and click.</w:t>
      </w:r>
    </w:p>
    <w:p>
      <w:pPr>
        <w:pStyle w:val="Heading2"/>
      </w:pPr>
      <w:r>
        <w:t xml:space="preserve">Real results · Atlas HXM</w:t>
      </w:r>
    </w:p>
    <w:p>
      <w:pPr>
        <w:spacing w:after="120" w:before="120"/>
      </w:pPr>
      <w:r>
        <w:rPr>
          <w:rFonts w:ascii="Inter" w:cs="Inter" w:eastAsia="Inter" w:hAnsi="Inter"/>
          <w:b/>
          <w:bCs/>
          <w:color w:val="6C3AED"/>
          <w:sz w:val="56"/>
          <w:szCs w:val="56"/>
        </w:rPr>
        <w:t xml:space="preserve">93%</w:t>
      </w:r>
      <w:r>
        <w:rPr>
          <w:rFonts w:ascii="Inter" w:cs="Inter" w:eastAsia="Inter" w:hAnsi="Inter"/>
          <w:color w:val="475569"/>
          <w:sz w:val="22"/>
          <w:szCs w:val="22"/>
        </w:rPr>
        <w:t xml:space="preserve">  drop in time-to-first-response</w:t>
      </w:r>
    </w:p>
    <w:p>
      <w:pPr>
        <w:spacing w:after="120" w:before="120"/>
      </w:pPr>
      <w:r>
        <w:rPr>
          <w:rFonts w:ascii="Inter" w:cs="Inter" w:eastAsia="Inter" w:hAnsi="Inter"/>
          <w:b/>
          <w:bCs/>
          <w:color w:val="6C3AED"/>
          <w:sz w:val="56"/>
          <w:szCs w:val="56"/>
        </w:rPr>
        <w:t xml:space="preserve">&lt;3%</w:t>
      </w:r>
      <w:r>
        <w:rPr>
          <w:rFonts w:ascii="Inter" w:cs="Inter" w:eastAsia="Inter" w:hAnsi="Inter"/>
          <w:color w:val="475569"/>
          <w:sz w:val="22"/>
          <w:szCs w:val="22"/>
        </w:rPr>
        <w:t xml:space="preserve">  misclassification rate (was 22%)</w:t>
      </w:r>
    </w:p>
    <w:p>
      <w:pPr>
        <w:spacing w:after="120" w:before="120"/>
      </w:pPr>
      <w:r>
        <w:rPr>
          <w:rFonts w:ascii="Inter" w:cs="Inter" w:eastAsia="Inter" w:hAnsi="Inter"/>
          <w:b/>
          <w:bCs/>
          <w:color w:val="6C3AED"/>
          <w:sz w:val="56"/>
          <w:szCs w:val="56"/>
        </w:rPr>
        <w:t xml:space="preserve">12+ hrs</w:t>
      </w:r>
      <w:r>
        <w:rPr>
          <w:rFonts w:ascii="Inter" w:cs="Inter" w:eastAsia="Inter" w:hAnsi="Inter"/>
          <w:color w:val="475569"/>
          <w:sz w:val="22"/>
          <w:szCs w:val="22"/>
        </w:rPr>
        <w:t xml:space="preserve">  of SDR triage time freed up per week</w:t>
      </w:r>
    </w:p>
    <w:p>
      <w:pPr>
        <w:pStyle w:val="Heading2"/>
      </w:pPr>
      <w: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Tier</w:t>
            </w:r>
          </w:p>
        </w:tc>
        <w:tc>
          <w:tcPr>
            <w:tcW w:type="dxa" w:w="240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Build</w:t>
            </w:r>
          </w:p>
        </w:tc>
        <w:tc>
          <w:tcPr>
            <w:tcW w:type="dxa" w:w="240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Retainer</w:t>
            </w:r>
          </w:p>
        </w:tc>
        <w:tc>
          <w:tcPr>
            <w:tcW w:type="dxa" w:w="216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Timeline</w:t>
            </w:r>
          </w:p>
        </w:tc>
      </w:tr>
      <w:tr>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Lite</w:t>
            </w:r>
          </w:p>
        </w:tc>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$7,500</w:t>
            </w:r>
          </w:p>
        </w:tc>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$850/mo</w:t>
            </w:r>
          </w:p>
        </w:tc>
        <w:tc>
          <w:tcPr>
            <w:tcW w:type="dxa" w:w="21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2–3 weeks</w:t>
            </w:r>
          </w:p>
        </w:tc>
      </w:tr>
      <w:tr>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Standard</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$14,500</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$1,500/mo</w:t>
            </w:r>
          </w:p>
        </w:tc>
        <w:tc>
          <w:tcPr>
            <w:tcW w:type="dxa" w:w="21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4–5 weeks</w:t>
            </w:r>
          </w:p>
        </w:tc>
      </w:tr>
      <w:tr>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Enterprise</w:t>
            </w:r>
          </w:p>
        </w:tc>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$24,500</w:t>
            </w:r>
          </w:p>
        </w:tc>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$2,500/mo</w:t>
            </w:r>
          </w:p>
        </w:tc>
        <w:tc>
          <w:tcPr>
            <w:tcW w:type="dxa" w:w="21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6–8 weeks</w:t>
            </w:r>
          </w:p>
        </w:tc>
      </w:tr>
    </w:tbl>
    <w:p>
      <w:pPr>
        <w:pStyle w:val="Heading2"/>
      </w:pPr>
      <w:r>
        <w:t xml:space="preserve">Stack</w:t>
      </w:r>
    </w:p>
    <w:p>
      <w:pPr>
        <w:spacing w:after="100" w:before="60"/>
      </w:pPr>
      <w:r>
        <w:t xml:space="preserve">n8n · OpenAI/Azure OpenAI · HubSpot/Salesforce/any CRM · optional RAG via Azure AI Search or Pinecone.</w:t>
      </w:r>
    </w:p>
    <w:p>
      <w:pPr>
        <w:pStyle w:val="Heading2"/>
      </w:pPr>
      <w:r>
        <w:t xml:space="preserve">Why GencyAI</w:t>
      </w:r>
    </w:p>
    <w:p>
      <w:pPr>
        <w:spacing w:after="100" w:before="60"/>
      </w:pPr>
      <w:r>
        <w:t xml:space="preserve">We build production-grade agents using the ROSTR framework — not chatbots, not demos. You own the code, the prompts, and the workflow JSON. Every engagement starts with a JTBD analysis of your real submissions before we write a line of code.</w:t>
      </w:r>
    </w:p>
    <w:p>
      <w:pPr>
        <w:pBdr>
          <w:bottom w:val="single" w:color="6C3AED" w:sz="6" w:space="4"/>
        </w:pBdr>
        <w:spacing w:after="200" w:before="200"/>
      </w:pPr>
      <w:r>
        <w:t xml:space="preserve"/>
      </w:r>
    </w:p>
    <w:p>
      <w:pPr>
        <w:spacing w:after="100" w:before="60"/>
      </w:pPr>
      <w:r>
        <w:rPr>
          <w:b/>
          <w:bCs/>
          <w:color w:val="6C3AED"/>
        </w:rPr>
        <w:t xml:space="preserve">Ready to stop bleeding inbound leads? Email patrick.diamitani@gmail.com or book a session at calendly.com/diamitani.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3AED" w:sz="6" w:space="4"/>
      </w:pBdr>
      <w:tabs>
        <w:tab w:val="right" w:pos="9026"/>
      </w:tabs>
    </w:pPr>
    <w:r>
      <w:rPr>
        <w:color w:val="475569"/>
        <w:sz w:val="18"/>
        <w:szCs w:val="18"/>
      </w:rPr>
      <w:t xml:space="preserve">GencyAI · Agent Development &amp; Workflow Automation</w:t>
    </w:r>
    <w:r>
      <w:rPr>
        <w:color w:val="475569"/>
        <w:sz w:val="18"/>
        <w:szCs w:val="18"/>
      </w:rPr>
      <w:t xml:space="preserve">	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drawing>
        <wp:inline distT="0" distB="0" distL="0" distR="0">
          <wp:extent cx="762000" cy="762000"/>
          <wp:effectExtent t="0" r="0" b="0" l="0"/>
          <wp:docPr id="1" name="gency" descr="GencyAI wordmark" title="Gency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762000"/>
                  </a:xfrm>
                  <a:prstGeom prst="rect">
                    <a:avLst/>
                  </a:prstGeom>
                </pic:spPr>
              </pic:pic>
            </a:graphicData>
          </a:graphic>
        </wp:inline>
      </w:drawing>
    </w:r>
    <w:r>
      <w:rPr>
        <w:b/>
        <w:bCs/>
        <w:color w:val="475569"/>
        <w:sz w:val="18"/>
        <w:szCs w:val="18"/>
      </w:rPr>
      <w:t xml:space="preserve">	Inbound Triage™ · Product Pack · One-Pager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Inter" w:cs="Inter" w:eastAsia="Inter" w:hAnsi="Inter"/>
      <w:b/>
      <w:bCs/>
      <w:color w:val="0F172A"/>
      <w:sz w:val="56"/>
      <w:szCs w:val="56"/>
    </w:rPr>
  </w:style>
  <w:style w:type="paragraph" w:styleId="Subtitle">
    <w:name w:val="Subtitle"/>
    <w:basedOn w:val="Normal"/>
    <w:next w:val="Normal"/>
    <w:pPr>
      <w:spacing w:after="360" w:before="0"/>
    </w:pPr>
    <w:rPr>
      <w:rFonts w:ascii="Inter" w:cs="Inter" w:eastAsia="Inter" w:hAnsi="Inter"/>
      <w:color w:val="475569"/>
      <w:sz w:val="26"/>
      <w:szCs w:val="26"/>
    </w:rPr>
  </w:style>
  <w:style w:type="paragraph" w:styleId="Heading1">
    <w:name w:val="Heading 1"/>
    <w:basedOn w:val="Normal"/>
    <w:next w:val="Normal"/>
    <w:qFormat/>
    <w:pPr>
      <w:spacing w:after="200" w:before="360"/>
      <w:outlineLvl w:val="0"/>
    </w:pPr>
    <w:rPr>
      <w:rFonts w:ascii="Inter" w:cs="Inter" w:eastAsia="Inter" w:hAnsi="Inter"/>
      <w:b/>
      <w:bCs/>
      <w:color w:val="6C3AED"/>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0F172A"/>
      <w:sz w:val="28"/>
      <w:szCs w:val="28"/>
    </w:rPr>
  </w:style>
  <w:style w:type="paragraph" w:styleId="Heading3">
    <w:name w:val="Heading 3"/>
    <w:basedOn w:val="Normal"/>
    <w:next w:val="Normal"/>
    <w:pPr>
      <w:spacing w:after="120" w:before="220"/>
      <w:outlineLvl w:val="2"/>
    </w:pPr>
    <w:rPr>
      <w:rFonts w:ascii="Inter" w:cs="Inter" w:eastAsia="Inter" w:hAnsi="Inter"/>
      <w:b/>
      <w:bCs/>
      <w:color w:val="0F172A"/>
      <w:sz w:val="24"/>
      <w:szCs w:val="24"/>
    </w:rPr>
  </w:style>
  <w:style w:type="paragraph" w:styleId="Eyebrow">
    <w:name w:val="Eyebrow"/>
    <w:basedOn w:val="Normal"/>
    <w:next w:val="Normal"/>
    <w:pPr>
      <w:spacing w:after="80" w:before="120"/>
    </w:pPr>
    <w:rPr>
      <w:rFonts w:ascii="Inter" w:cs="Inter" w:eastAsia="Inter" w:hAnsi="Inter"/>
      <w:b/>
      <w:bCs/>
      <w:caps/>
      <w:color w:val="6C3AED"/>
      <w:spacing w:val="4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3aedc3967dd72829928b6c02e240865c8f3f7e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2026-05-04T22:42:05.562Z</dcterms:created>
  <dcterms:modified xsi:type="dcterms:W3CDTF">2026-05-04T22:42:05.562Z</dcterms:modified>
</cp:coreProperties>
</file>

<file path=docProps/custom.xml><?xml version="1.0" encoding="utf-8"?>
<Properties xmlns="http://schemas.openxmlformats.org/officeDocument/2006/custom-properties" xmlns:vt="http://schemas.openxmlformats.org/officeDocument/2006/docPropsVTypes"/>
</file>