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rPr>
          <w:b/>
          <w:bCs/>
          <w:color w:val="6C3AED"/>
          <w:sz w:val="18"/>
          <w:szCs w:val="18"/>
        </w:rPr>
        <w:t xml:space="preserve">CASE STUDY · OUTBOUND + INTENT</w:t>
      </w:r>
    </w:p>
    <w:p>
      <w:pPr>
        <w:pStyle w:val="Title"/>
      </w:pPr>
      <w:r>
        <w:rPr>
          <w:b/>
          <w:bCs/>
          <w:color w:val="0F172A"/>
          <w:sz w:val="56"/>
          <w:szCs w:val="56"/>
        </w:rPr>
        <w:t xml:space="preserve">Atlas HXM turned daily intent signals into a self-routing prospecting engine.</w:t>
      </w:r>
    </w:p>
    <w:p>
      <w:pPr>
        <w:pStyle w:val="Subtitle"/>
      </w:pPr>
      <w:r>
        <w:rPr>
          <w:color w:val="475569"/>
          <w:sz w:val="26"/>
          <w:szCs w:val="26"/>
        </w:rPr>
        <w:t xml:space="preserve">How GencyAI built an autonomous pipeline that pulls intent data, filters to ICP, assigns to the right rep, and ships enrichment-ready leads — every morning at 7am.</w:t>
      </w:r>
    </w:p>
    <w:p>
      <w:pPr>
        <w:pBdr>
          <w:bottom w:val="single" w:color="6C3AED" w:sz="6" w:space="4"/>
        </w:pBdr>
        <w:spacing w:after="200" w:before="200"/>
      </w:pPr>
      <w:r>
        <w:t xml:space="preserve"/>
      </w:r>
    </w:p>
    <w:p>
      <w:pPr>
        <w:pStyle w:val="Heading2"/>
      </w:pPr>
      <w:r>
        <w:t xml:space="preserve">At a glance</w:t>
      </w:r>
    </w:p>
    <w:p>
      <w:pPr>
        <w:spacing w:after="120" w:before="120"/>
      </w:pPr>
      <w:r>
        <w:rPr>
          <w:rFonts w:ascii="Inter" w:cs="Inter" w:eastAsia="Inter" w:hAnsi="Inter"/>
          <w:b/>
          <w:bCs/>
          <w:color w:val="6C3AED"/>
          <w:sz w:val="56"/>
          <w:szCs w:val="56"/>
        </w:rPr>
        <w:t xml:space="preserve">7am</w:t>
      </w:r>
      <w:r>
        <w:rPr>
          <w:rFonts w:ascii="Inter" w:cs="Inter" w:eastAsia="Inter" w:hAnsi="Inter"/>
          <w:color w:val="475569"/>
          <w:sz w:val="22"/>
          <w:szCs w:val="22"/>
        </w:rPr>
        <w:t xml:space="preserve">  automated daily run, no human kickoff</w:t>
      </w:r>
    </w:p>
    <w:p>
      <w:pPr>
        <w:spacing w:after="120" w:before="120"/>
      </w:pPr>
      <w:r>
        <w:rPr>
          <w:rFonts w:ascii="Inter" w:cs="Inter" w:eastAsia="Inter" w:hAnsi="Inter"/>
          <w:b/>
          <w:bCs/>
          <w:color w:val="6C3AED"/>
          <w:sz w:val="56"/>
          <w:szCs w:val="56"/>
        </w:rPr>
        <w:t xml:space="preserve">8</w:t>
      </w:r>
      <w:r>
        <w:rPr>
          <w:rFonts w:ascii="Inter" w:cs="Inter" w:eastAsia="Inter" w:hAnsi="Inter"/>
          <w:color w:val="475569"/>
          <w:sz w:val="22"/>
          <w:szCs w:val="22"/>
        </w:rPr>
        <w:t xml:space="preserve">  ICP filters chained in sequence</w:t>
      </w:r>
    </w:p>
    <w:p>
      <w:pPr>
        <w:spacing w:after="120" w:before="120"/>
      </w:pPr>
      <w:r>
        <w:rPr>
          <w:rFonts w:ascii="Inter" w:cs="Inter" w:eastAsia="Inter" w:hAnsi="Inter"/>
          <w:b/>
          <w:bCs/>
          <w:color w:val="6C3AED"/>
          <w:sz w:val="56"/>
          <w:szCs w:val="56"/>
        </w:rPr>
        <w:t xml:space="preserve">6</w:t>
      </w:r>
      <w:r>
        <w:rPr>
          <w:rFonts w:ascii="Inter" w:cs="Inter" w:eastAsia="Inter" w:hAnsi="Inter"/>
          <w:color w:val="475569"/>
          <w:sz w:val="22"/>
          <w:szCs w:val="22"/>
        </w:rPr>
        <w:t xml:space="preserve">  rep pods routed by territory + region</w:t>
      </w:r>
    </w:p>
    <w:p>
      <w:pPr>
        <w:spacing w:after="120" w:before="120"/>
      </w:pPr>
      <w:r>
        <w:rPr>
          <w:rFonts w:ascii="Inter" w:cs="Inter" w:eastAsia="Inter" w:hAnsi="Inter"/>
          <w:b/>
          <w:bCs/>
          <w:color w:val="6C3AED"/>
          <w:sz w:val="56"/>
          <w:szCs w:val="56"/>
        </w:rPr>
        <w:t xml:space="preserve">0</w:t>
      </w:r>
      <w:r>
        <w:rPr>
          <w:rFonts w:ascii="Inter" w:cs="Inter" w:eastAsia="Inter" w:hAnsi="Inter"/>
          <w:color w:val="475569"/>
          <w:sz w:val="22"/>
          <w:szCs w:val="22"/>
        </w:rPr>
        <w:t xml:space="preserve">  manual hours per day on lead qualification</w:t>
      </w:r>
    </w:p>
    <w:p>
      <w:pPr>
        <w:pStyle w:val="Heading2"/>
      </w:pPr>
      <w:r>
        <w:t xml:space="preserve">The client</w:t>
      </w:r>
    </w:p>
    <w:p>
      <w:pPr>
        <w:spacing w:after="100" w:before="60"/>
      </w:pPr>
      <w:r>
        <w:t xml:space="preserve">Atlas HXM is a global Employer of Record helping companies hire across 160+ countries. The sales team relies on intent signals from ZoomInfo and Factors ABM to find companies actively researching global hiring solutions. The challenge: intent data is noisy, and translating raw signals into rep-ready opportunities was eating hours of SDR time every morning.</w:t>
      </w:r>
    </w:p>
    <w:p>
      <w:pPr>
        <w:pStyle w:val="Heading2"/>
      </w:pPr>
      <w:r>
        <w:t xml:space="preserve">The problem</w:t>
      </w:r>
    </w:p>
    <w:p>
      <w:pPr>
        <w:spacing w:after="100" w:before="60"/>
      </w:pPr>
      <w:r>
        <w:t xml:space="preserve">Atlas had two intent feeds, six rep pods, and no system to turn one into the other.</w:t>
      </w:r>
    </w:p>
    <w:p>
      <w:pPr>
        <w:pStyle w:val="ListParagraph"/>
        <w:numPr>
          <w:ilvl w:val="0"/>
          <w:numId w:val="2"/>
        </w:numPr>
        <w:spacing w:after="60" w:before="40"/>
      </w:pPr>
      <w:r>
        <w:t xml:space="preserve">Manual triage. Every morning, ops pulled CSV exports from ZoomInfo and Factors ABM, deduped, filtered for ICP, and round-robined to reps in spreadsheets.</w:t>
      </w:r>
    </w:p>
    <w:p>
      <w:pPr>
        <w:pStyle w:val="ListParagraph"/>
        <w:numPr>
          <w:ilvl w:val="0"/>
          <w:numId w:val="2"/>
        </w:numPr>
        <w:spacing w:after="60" w:before="40"/>
      </w:pPr>
      <w:r>
        <w:t xml:space="preserve">ICP leakage. Schools, governments, and competitors (Deel, Remote, Rippling) routinely landed in rep queues, wasting outreach cycles.</w:t>
      </w:r>
    </w:p>
    <w:p>
      <w:pPr>
        <w:pStyle w:val="ListParagraph"/>
        <w:numPr>
          <w:ilvl w:val="0"/>
          <w:numId w:val="2"/>
        </w:numPr>
        <w:spacing w:after="60" w:before="40"/>
      </w:pPr>
      <w:r>
        <w:t xml:space="preserve">APAC noise. Atlas didn't sell into APAC, but ZoomInfo flagged hundreds of APAC companies daily — even when location fields were empty (forcing reps to guess from domain TLDs and company names).</w:t>
      </w:r>
    </w:p>
    <w:p>
      <w:pPr>
        <w:pStyle w:val="ListParagraph"/>
        <w:numPr>
          <w:ilvl w:val="0"/>
          <w:numId w:val="2"/>
        </w:numPr>
        <w:spacing w:after="60" w:before="40"/>
      </w:pPr>
      <w:r>
        <w:t xml:space="preserve">Territory misrouting. US territory mapping (West/Midwest/Northeast/South-Central) was inconsistent, with reps cherry-picking deals or duplicating outreach.</w:t>
      </w:r>
    </w:p>
    <w:p>
      <w:pPr>
        <w:pStyle w:val="ListParagraph"/>
        <w:numPr>
          <w:ilvl w:val="0"/>
          <w:numId w:val="2"/>
        </w:numPr>
        <w:spacing w:after="60" w:before="40"/>
      </w:pPr>
      <w:r>
        <w:t xml:space="preserve">Enrichment lag. By the time a rep added a lead to Clay for enrichment, the intent signal was already 24+ hours 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AED" w:sz="4"/>
              <w:left w:val="single" w:color="6C3AED" w:sz="24"/>
              <w:bottom w:val="single" w:color="6C3AED" w:sz="4"/>
              <w:right w:val="single" w:color="6C3AED" w:sz="4"/>
            </w:tcBorders>
            <w:shd w:fill="F1F5F9" w:val="clear"/>
            <w:tcMar>
              <w:top w:type="dxa" w:w="200"/>
              <w:left w:type="dxa" w:w="280"/>
              <w:bottom w:type="dxa" w:w="200"/>
              <w:right w:type="dxa" w:w="280"/>
            </w:tcMar>
          </w:tcPr>
          <w:p>
            <w:r>
              <w:rPr>
                <w:color w:val="0F172A"/>
                <w:sz w:val="22"/>
                <w:szCs w:val="22"/>
              </w:rPr>
              <w:t xml:space="preserve">Atlas needed an autonomous prospecting engine: pull intent at scale, kill the noise, route by territory rules, and hand reps a clean list with full Clay enrichment running in parallel — before they finish their morning coffee.</w:t>
            </w:r>
          </w:p>
        </w:tc>
      </w:tr>
    </w:tbl>
    <w:p>
      <w:pPr>
        <w:pStyle w:val="Heading2"/>
      </w:pPr>
      <w:r>
        <w:t xml:space="preserve">What we built</w:t>
      </w:r>
    </w:p>
    <w:p>
      <w:pPr>
        <w:spacing w:after="100" w:before="60"/>
      </w:pPr>
      <w:r>
        <w:t xml:space="preserve">GencyAI delivered the Intent-to-Outreach™ Engine — a daily-scheduled n8n pipeline with 8 sequential filters, a deterministic round-robin assignment engine, and a Clay webhook integration that ships enriched leads directly to rep queues.</w:t>
      </w:r>
    </w:p>
    <w:p>
      <w:pPr>
        <w:pStyle w:val="Heading3"/>
      </w:pPr>
      <w:r>
        <w:t xml:space="preserve">1 · Daily intent capture</w:t>
      </w:r>
    </w:p>
    <w:p>
      <w:pPr>
        <w:spacing w:after="100" w:before="60"/>
      </w:pPr>
      <w:r>
        <w:t xml:space="preserve">Schedule trigger fires at 7am every day. The workflow queries HubSpot for any company that hit either ZoomInfo or Factors ABM intent yesterday, pulling 28 properties per record (industry, employee count, location, lifecycle stage, deal history, last sales activity, intent type).</w:t>
      </w:r>
    </w:p>
    <w:p>
      <w:pPr>
        <w:pStyle w:val="Heading3"/>
      </w:pPr>
      <w:r>
        <w:t xml:space="preserve">2 · Eight-stage ICP filter chain</w:t>
      </w:r>
    </w:p>
    <w:p>
      <w:pPr>
        <w:spacing w:after="100" w:before="60"/>
      </w:pPr>
      <w:r>
        <w:t xml:space="preserve">Companies pass through eight filters in sequence. Any company that fails any filter is dropped from the pipeline:</w:t>
      </w:r>
    </w:p>
    <w:p>
      <w:pPr>
        <w:pStyle w:val="ListParagraph"/>
        <w:numPr>
          <w:ilvl w:val="0"/>
          <w:numId w:val="3"/>
        </w:numPr>
        <w:spacing w:after="60" w:before="40"/>
      </w:pPr>
      <w:r>
        <w:t xml:space="preserve">Less than 2,000 employees (ICP fit)</w:t>
      </w:r>
    </w:p>
    <w:p>
      <w:pPr>
        <w:pStyle w:val="ListParagraph"/>
        <w:numPr>
          <w:ilvl w:val="0"/>
          <w:numId w:val="3"/>
        </w:numPr>
        <w:spacing w:after="60" w:before="40"/>
      </w:pPr>
      <w:r>
        <w:t xml:space="preserve">Not in APAC (territory exclusion with TLD + keyword fallback)</w:t>
      </w:r>
    </w:p>
    <w:p>
      <w:pPr>
        <w:pStyle w:val="ListParagraph"/>
        <w:numPr>
          <w:ilvl w:val="0"/>
          <w:numId w:val="3"/>
        </w:numPr>
        <w:spacing w:after="60" w:before="40"/>
      </w:pPr>
      <w:r>
        <w:t xml:space="preserve">Zero associated deals (no active opportunities)</w:t>
      </w:r>
    </w:p>
    <w:p>
      <w:pPr>
        <w:pStyle w:val="ListParagraph"/>
        <w:numPr>
          <w:ilvl w:val="0"/>
          <w:numId w:val="3"/>
        </w:numPr>
        <w:spacing w:after="60" w:before="40"/>
      </w:pPr>
      <w:r>
        <w:t xml:space="preserve">Not currently a customer (lifecycle stage check)</w:t>
      </w:r>
    </w:p>
    <w:p>
      <w:pPr>
        <w:pStyle w:val="ListParagraph"/>
        <w:numPr>
          <w:ilvl w:val="0"/>
          <w:numId w:val="3"/>
        </w:numPr>
        <w:spacing w:after="60" w:before="40"/>
      </w:pPr>
      <w:r>
        <w:t xml:space="preserve">Not flagged as type=Customer (secondary check)</w:t>
      </w:r>
    </w:p>
    <w:p>
      <w:pPr>
        <w:pStyle w:val="ListParagraph"/>
        <w:numPr>
          <w:ilvl w:val="0"/>
          <w:numId w:val="3"/>
        </w:numPr>
        <w:spacing w:after="60" w:before="40"/>
      </w:pPr>
      <w:r>
        <w:t xml:space="preserve">No sales activity in the last 30 days (cold-enough)</w:t>
      </w:r>
    </w:p>
    <w:p>
      <w:pPr>
        <w:pStyle w:val="ListParagraph"/>
        <w:numPr>
          <w:ilvl w:val="0"/>
          <w:numId w:val="3"/>
        </w:numPr>
        <w:spacing w:after="60" w:before="40"/>
      </w:pPr>
      <w:r>
        <w:t xml:space="preserve">Not a competitor (Deel, Remote, Rippling exclusion)</w:t>
      </w:r>
    </w:p>
    <w:p>
      <w:pPr>
        <w:pStyle w:val="ListParagraph"/>
        <w:numPr>
          <w:ilvl w:val="0"/>
          <w:numId w:val="3"/>
        </w:numPr>
        <w:spacing w:after="60" w:before="40"/>
      </w:pPr>
      <w:r>
        <w:t xml:space="preserve">Not a school or government entity (NGOs preserved)</w:t>
      </w:r>
    </w:p>
    <w:p>
      <w:pPr>
        <w:pStyle w:val="Heading3"/>
      </w:pPr>
      <w:r>
        <w:t xml:space="preserve">3 · Territory-aware round-robin assignment</w:t>
      </w:r>
    </w:p>
    <w:p>
      <w:pPr>
        <w:spacing w:after="100" w:before="60"/>
      </w:pPr>
      <w:r>
        <w:t xml:space="preserve">A custom code node implements the assignment logic: it normalizes location strings (state codes, country codes, abbreviations), maps each company to one of six rep pods, and round-robins within multi-rep pods. The pod map:</w:t>
      </w:r>
    </w:p>
    <w:p>
      <w:pPr>
        <w:pStyle w:val="ListParagraph"/>
        <w:numPr>
          <w:ilvl w:val="0"/>
          <w:numId w:val="2"/>
        </w:numPr>
        <w:spacing w:after="60" w:before="40"/>
      </w:pPr>
      <w:r>
        <w:t xml:space="preserve">US Midwest — Emily</w:t>
      </w:r>
    </w:p>
    <w:p>
      <w:pPr>
        <w:pStyle w:val="ListParagraph"/>
        <w:numPr>
          <w:ilvl w:val="0"/>
          <w:numId w:val="2"/>
        </w:numPr>
        <w:spacing w:after="60" w:before="40"/>
      </w:pPr>
      <w:r>
        <w:t xml:space="preserve">US West — Amanda</w:t>
      </w:r>
    </w:p>
    <w:p>
      <w:pPr>
        <w:pStyle w:val="ListParagraph"/>
        <w:numPr>
          <w:ilvl w:val="0"/>
          <w:numId w:val="2"/>
        </w:numPr>
        <w:spacing w:after="60" w:before="40"/>
      </w:pPr>
      <w:r>
        <w:t xml:space="preserve">US Northeast — Patrick</w:t>
      </w:r>
    </w:p>
    <w:p>
      <w:pPr>
        <w:pStyle w:val="ListParagraph"/>
        <w:numPr>
          <w:ilvl w:val="0"/>
          <w:numId w:val="2"/>
        </w:numPr>
        <w:spacing w:after="60" w:before="40"/>
      </w:pPr>
      <w:r>
        <w:t xml:space="preserve">US South/Central — James</w:t>
      </w:r>
    </w:p>
    <w:p>
      <w:pPr>
        <w:pStyle w:val="ListParagraph"/>
        <w:numPr>
          <w:ilvl w:val="0"/>
          <w:numId w:val="2"/>
        </w:numPr>
        <w:spacing w:after="60" w:before="40"/>
      </w:pPr>
      <w:r>
        <w:t xml:space="preserve">EMEA + Canada — Chiara/James (round-robin)</w:t>
      </w:r>
    </w:p>
    <w:p>
      <w:pPr>
        <w:pStyle w:val="ListParagraph"/>
        <w:numPr>
          <w:ilvl w:val="0"/>
          <w:numId w:val="2"/>
        </w:numPr>
        <w:spacing w:after="60" w:before="40"/>
      </w:pPr>
      <w:r>
        <w:t xml:space="preserve">Global Unmapped — James (catch-all)</w:t>
      </w:r>
    </w:p>
    <w:p>
      <w:pPr>
        <w:pStyle w:val="Heading3"/>
      </w:pPr>
      <w:r>
        <w:t xml:space="preserve">4 · Clay enrichment via webhook</w:t>
      </w:r>
    </w:p>
    <w:p>
      <w:pPr>
        <w:spacing w:after="100" w:before="60"/>
      </w:pPr>
      <w:r>
        <w:t xml:space="preserve">Each qualified company is posted to a Clay webhook with full context: company ID, LinkedIn URL, domain, name, state, intent type, country, industry, assigned rep ID. Clay handles people enrichment, contact discovery, and outreach prep in parallel — no rep waiting required.</w:t>
      </w:r>
    </w:p>
    <w:p>
      <w:pPr>
        <w:pStyle w:val="Heading3"/>
      </w:pPr>
      <w:r>
        <w:t xml:space="preserve">5 · Datatable as system of record</w:t>
      </w:r>
    </w:p>
    <w:p>
      <w:pPr>
        <w:spacing w:after="100" w:before="60"/>
      </w:pPr>
      <w:r>
        <w:t xml:space="preserve">Every assigned company is also upserted to an n8n datatable, giving Atlas a queryable history of every prospect routed, assigned rep, intent source, and enrichment status — without the CRM bloat.</w:t>
      </w:r>
    </w:p>
    <w:p>
      <w:r>
        <w:br w:type="page"/>
      </w:r>
    </w:p>
    <w:p>
      <w:pPr>
        <w:pStyle w:val="Heading2"/>
      </w:pPr>
      <w:r>
        <w:t xml:space="preserve">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Metric</w:t>
            </w:r>
          </w:p>
        </w:tc>
        <w:tc>
          <w:tcPr>
            <w:tcW w:type="dxa" w:w="318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Before</w:t>
            </w:r>
          </w:p>
        </w:tc>
        <w:tc>
          <w:tcPr>
            <w:tcW w:type="dxa" w:w="318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After GencyAI</w:t>
            </w:r>
          </w:p>
        </w:tc>
      </w:tr>
      <w:tr>
        <w:tc>
          <w:tcPr>
            <w:tcW w:type="dxa" w:w="30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Time from intent signal to rep queue</w:t>
            </w:r>
          </w:p>
        </w:tc>
        <w:tc>
          <w:tcPr>
            <w:tcW w:type="dxa" w:w="318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20+ hours</w:t>
            </w:r>
          </w:p>
        </w:tc>
        <w:tc>
          <w:tcPr>
            <w:tcW w:type="dxa" w:w="318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&lt;3 hours</w:t>
            </w:r>
          </w:p>
        </w:tc>
      </w:tr>
      <w:tr>
        <w:tc>
          <w:tcPr>
            <w:tcW w:type="dxa" w:w="30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Daily ICP-fit prospects per rep</w:t>
            </w:r>
          </w:p>
        </w:tc>
        <w:tc>
          <w:tcPr>
            <w:tcW w:type="dxa" w:w="318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~5–8 manual</w:t>
            </w:r>
          </w:p>
        </w:tc>
        <w:tc>
          <w:tcPr>
            <w:tcW w:type="dxa" w:w="318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10–25 auto-routed</w:t>
            </w:r>
          </w:p>
        </w:tc>
      </w:tr>
      <w:tr>
        <w:tc>
          <w:tcPr>
            <w:tcW w:type="dxa" w:w="30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APAC noise leakage</w:t>
            </w:r>
          </w:p>
        </w:tc>
        <w:tc>
          <w:tcPr>
            <w:tcW w:type="dxa" w:w="318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100s/day</w:t>
            </w:r>
          </w:p>
        </w:tc>
        <w:tc>
          <w:tcPr>
            <w:tcW w:type="dxa" w:w="318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0</w:t>
            </w:r>
          </w:p>
        </w:tc>
      </w:tr>
      <w:tr>
        <w:tc>
          <w:tcPr>
            <w:tcW w:type="dxa" w:w="30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Competitor leakage</w:t>
            </w:r>
          </w:p>
        </w:tc>
        <w:tc>
          <w:tcPr>
            <w:tcW w:type="dxa" w:w="318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Unknown</w:t>
            </w:r>
          </w:p>
        </w:tc>
        <w:tc>
          <w:tcPr>
            <w:tcW w:type="dxa" w:w="318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0 (3 names blocked)</w:t>
            </w:r>
          </w:p>
        </w:tc>
      </w:tr>
      <w:tr>
        <w:tc>
          <w:tcPr>
            <w:tcW w:type="dxa" w:w="30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Schools/gov in pipeline</w:t>
            </w:r>
          </w:p>
        </w:tc>
        <w:tc>
          <w:tcPr>
            <w:tcW w:type="dxa" w:w="318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~5–10/day</w:t>
            </w:r>
          </w:p>
        </w:tc>
        <w:tc>
          <w:tcPr>
            <w:tcW w:type="dxa" w:w="318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0</w:t>
            </w:r>
          </w:p>
        </w:tc>
      </w:tr>
      <w:tr>
        <w:tc>
          <w:tcPr>
            <w:tcW w:type="dxa" w:w="30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Manual ops hours per week</w:t>
            </w:r>
          </w:p>
        </w:tc>
        <w:tc>
          <w:tcPr>
            <w:tcW w:type="dxa" w:w="318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10+</w:t>
            </w:r>
          </w:p>
        </w:tc>
        <w:tc>
          <w:tcPr>
            <w:tcW w:type="dxa" w:w="318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&lt;1</w:t>
            </w:r>
          </w:p>
        </w:tc>
      </w:tr>
    </w:tbl>
    <w:p>
      <w:pPr>
        <w:pStyle w:val="Heading2"/>
      </w:pPr>
      <w:r>
        <w:t xml:space="preserve">Why it works</w:t>
      </w:r>
    </w:p>
    <w:p>
      <w:pPr>
        <w:pStyle w:val="ListParagraph"/>
        <w:numPr>
          <w:ilvl w:val="0"/>
          <w:numId w:val="2"/>
        </w:numPr>
        <w:spacing w:after="60" w:before="40"/>
      </w:pPr>
      <w:r>
        <w:t xml:space="preserve">Filter cascade, not filter blob. Each filter does one thing — easy to debug, easy to extend.</w:t>
      </w:r>
    </w:p>
    <w:p>
      <w:pPr>
        <w:pStyle w:val="ListParagraph"/>
        <w:numPr>
          <w:ilvl w:val="0"/>
          <w:numId w:val="2"/>
        </w:numPr>
        <w:spacing w:after="60" w:before="40"/>
      </w:pPr>
      <w:r>
        <w:t xml:space="preserve">APAC detection beyond country fields. We catch APAC even when location is empty, using domain TLDs (.cn, .jp, .in) and company-name keywords ("Hong Kong", "Mumbai").</w:t>
      </w:r>
    </w:p>
    <w:p>
      <w:pPr>
        <w:pStyle w:val="ListParagraph"/>
        <w:numPr>
          <w:ilvl w:val="0"/>
          <w:numId w:val="2"/>
        </w:numPr>
        <w:spacing w:after="60" w:before="40"/>
      </w:pPr>
      <w:r>
        <w:t xml:space="preserve">Round-robin that survives rep changes. Pod definitions are config — adding/removing a rep is a one-line change.</w:t>
      </w:r>
    </w:p>
    <w:p>
      <w:pPr>
        <w:pStyle w:val="ListParagraph"/>
        <w:numPr>
          <w:ilvl w:val="0"/>
          <w:numId w:val="2"/>
        </w:numPr>
        <w:spacing w:after="60" w:before="40"/>
      </w:pPr>
      <w:r>
        <w:t xml:space="preserve">Conditional reads. We never re-process a company already assigned — datatable upserts use company ID as the natural key.</w:t>
      </w:r>
    </w:p>
    <w:p>
      <w:pPr>
        <w:pStyle w:val="ListParagraph"/>
        <w:numPr>
          <w:ilvl w:val="0"/>
          <w:numId w:val="2"/>
        </w:numPr>
        <w:spacing w:after="60" w:before="40"/>
      </w:pPr>
      <w:r>
        <w:t xml:space="preserve">Extensible signal sources. ZoomInfo and Factors ABM are wired today; adding 6sense, Bombora, Demandbase, or G2 intent is a 10-minute change.</w:t>
      </w:r>
    </w:p>
    <w:p>
      <w:pPr>
        <w:pStyle w:val="Heading2"/>
      </w:pPr>
      <w:r>
        <w:t xml:space="preserve">Stack</w:t>
      </w:r>
    </w:p>
    <w:p>
      <w:pPr>
        <w:pStyle w:val="ListParagraph"/>
        <w:numPr>
          <w:ilvl w:val="0"/>
          <w:numId w:val="2"/>
        </w:numPr>
        <w:spacing w:after="60" w:before="40"/>
      </w:pPr>
      <w:r>
        <w:t xml:space="preserve">n8n (orchestration, scheduled trigger)</w:t>
      </w:r>
    </w:p>
    <w:p>
      <w:pPr>
        <w:pStyle w:val="ListParagraph"/>
        <w:numPr>
          <w:ilvl w:val="0"/>
          <w:numId w:val="2"/>
        </w:numPr>
        <w:spacing w:after="60" w:before="40"/>
      </w:pPr>
      <w:r>
        <w:t xml:space="preserve">HubSpot CRM (intent property storage, company search API)</w:t>
      </w:r>
    </w:p>
    <w:p>
      <w:pPr>
        <w:pStyle w:val="ListParagraph"/>
        <w:numPr>
          <w:ilvl w:val="0"/>
          <w:numId w:val="2"/>
        </w:numPr>
        <w:spacing w:after="60" w:before="40"/>
      </w:pPr>
      <w:r>
        <w:t xml:space="preserve">ZoomInfo + Factors ABM (intent signal sources)</w:t>
      </w:r>
    </w:p>
    <w:p>
      <w:pPr>
        <w:pStyle w:val="ListParagraph"/>
        <w:numPr>
          <w:ilvl w:val="0"/>
          <w:numId w:val="2"/>
        </w:numPr>
        <w:spacing w:after="60" w:before="40"/>
      </w:pPr>
      <w:r>
        <w:t xml:space="preserve">Clay (people enrichment + outreach automation)</w:t>
      </w:r>
    </w:p>
    <w:p>
      <w:pPr>
        <w:pStyle w:val="ListParagraph"/>
        <w:numPr>
          <w:ilvl w:val="0"/>
          <w:numId w:val="2"/>
        </w:numPr>
        <w:spacing w:after="60" w:before="40"/>
      </w:pPr>
      <w:r>
        <w:t xml:space="preserve">n8n datatables (assignment audit log)</w:t>
      </w:r>
    </w:p>
    <w:p>
      <w:pPr>
        <w:pStyle w:val="Heading2"/>
      </w:pPr>
      <w:r>
        <w:t xml:space="preserve">What Atlas got</w:t>
      </w:r>
    </w:p>
    <w:p>
      <w:pPr>
        <w:pStyle w:val="ListParagraph"/>
        <w:numPr>
          <w:ilvl w:val="0"/>
          <w:numId w:val="2"/>
        </w:numPr>
        <w:spacing w:after="60" w:before="40"/>
      </w:pPr>
      <w:r>
        <w:t xml:space="preserve">Full n8n workflow JSON, version-controlled and exportable</w:t>
      </w:r>
    </w:p>
    <w:p>
      <w:pPr>
        <w:pStyle w:val="ListParagraph"/>
        <w:numPr>
          <w:ilvl w:val="0"/>
          <w:numId w:val="2"/>
        </w:numPr>
        <w:spacing w:after="60" w:before="40"/>
      </w:pPr>
      <w:r>
        <w:t xml:space="preserve">Eight filter code nodes, each unit-tested against historical data</w:t>
      </w:r>
    </w:p>
    <w:p>
      <w:pPr>
        <w:pStyle w:val="ListParagraph"/>
        <w:numPr>
          <w:ilvl w:val="0"/>
          <w:numId w:val="2"/>
        </w:numPr>
        <w:spacing w:after="60" w:before="40"/>
      </w:pPr>
      <w:r>
        <w:t xml:space="preserve">Round-robin assignment engine with pod config externalized</w:t>
      </w:r>
    </w:p>
    <w:p>
      <w:pPr>
        <w:pStyle w:val="ListParagraph"/>
        <w:numPr>
          <w:ilvl w:val="0"/>
          <w:numId w:val="2"/>
        </w:numPr>
        <w:spacing w:after="60" w:before="40"/>
      </w:pPr>
      <w:r>
        <w:t xml:space="preserve">Clay webhook integration with full payload schema</w:t>
      </w:r>
    </w:p>
    <w:p>
      <w:pPr>
        <w:pStyle w:val="ListParagraph"/>
        <w:numPr>
          <w:ilvl w:val="0"/>
          <w:numId w:val="2"/>
        </w:numPr>
        <w:spacing w:after="60" w:before="40"/>
      </w:pPr>
      <w:r>
        <w:t xml:space="preserve">Datatable schema with intent + assignment fields</w:t>
      </w:r>
    </w:p>
    <w:p>
      <w:pPr>
        <w:pStyle w:val="ListParagraph"/>
        <w:numPr>
          <w:ilvl w:val="0"/>
          <w:numId w:val="2"/>
        </w:numPr>
        <w:spacing w:after="60" w:before="40"/>
      </w:pPr>
      <w:r>
        <w:t xml:space="preserve">Operator runbook: how to add new pods, signals, or filters</w:t>
      </w:r>
    </w:p>
    <w:p>
      <w:pPr>
        <w:pBdr>
          <w:bottom w:val="single" w:color="6C3AED" w:sz="6" w:space="4"/>
        </w:pBdr>
        <w:spacing w:after="200" w:before="200"/>
      </w:pPr>
      <w:r>
        <w:t xml:space="preserve"/>
      </w:r>
    </w:p>
    <w:p>
      <w:pPr>
        <w:pStyle w:val="Heading2"/>
      </w:pPr>
      <w:r>
        <w:t xml:space="preserve">In Atlas's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B6D4" w:sz="4"/>
              <w:left w:val="single" w:color="06B6D4" w:sz="24"/>
              <w:bottom w:val="single" w:color="06B6D4" w:sz="4"/>
              <w:right w:val="single" w:color="06B6D4" w:sz="4"/>
            </w:tcBorders>
            <w:shd w:fill="F1F5F9" w:val="clear"/>
            <w:tcMar>
              <w:top w:type="dxa" w:w="200"/>
              <w:left w:type="dxa" w:w="280"/>
              <w:bottom w:type="dxa" w:w="200"/>
              <w:right w:type="dxa" w:w="280"/>
            </w:tcMar>
          </w:tcPr>
          <w:p>
            <w:r>
              <w:rPr>
                <w:color w:val="0F172A"/>
                <w:sz w:val="22"/>
                <w:szCs w:val="22"/>
              </w:rPr>
              <w:t xml:space="preserve">"We used to spend the first hour of every morning manually qualifying intent data. Now reps log in and their queue is already triaged, assigned, and being enriched in Clay. We didn't add headcount — we added system." — Atlas Sales Operations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C3AED" w:sz="6" w:space="4"/>
      </w:pBdr>
      <w:tabs>
        <w:tab w:val="right" w:pos="9026"/>
      </w:tabs>
    </w:pPr>
    <w:r>
      <w:rPr>
        <w:color w:val="475569"/>
        <w:sz w:val="18"/>
        <w:szCs w:val="18"/>
      </w:rPr>
      <w:t xml:space="preserve">GencyAI · Agent Development &amp; Workflow Automation</w:t>
    </w:r>
    <w:r>
      <w:rPr>
        <w:color w:val="475569"/>
        <w:sz w:val="18"/>
        <w:szCs w:val="18"/>
      </w:rPr>
      <w:t xml:space="preserve">	Page </w:t>
    </w: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drawing>
        <wp:inline distT="0" distB="0" distL="0" distR="0">
          <wp:extent cx="762000" cy="762000"/>
          <wp:effectExtent t="0" r="0" b="0" l="0"/>
          <wp:docPr id="1" name="gency" descr="GencyAI wordmark" title="Gency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762000"/>
                  </a:xfrm>
                  <a:prstGeom prst="rect">
                    <a:avLst/>
                  </a:prstGeom>
                </pic:spPr>
              </pic:pic>
            </a:graphicData>
          </a:graphic>
        </wp:inline>
      </w:drawing>
    </w:r>
    <w:r>
      <w:rPr>
        <w:b/>
        <w:bCs/>
        <w:color w:val="475569"/>
        <w:sz w:val="18"/>
        <w:szCs w:val="18"/>
      </w:rPr>
      <w:t xml:space="preserve">	Intent-to-Outreach™ · Product Pack ·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Inter" w:cs="Inter" w:eastAsia="Inter" w:hAnsi="Inter"/>
      <w:b/>
      <w:bCs/>
      <w:color w:val="0F172A"/>
      <w:sz w:val="56"/>
      <w:szCs w:val="56"/>
    </w:rPr>
  </w:style>
  <w:style w:type="paragraph" w:styleId="Subtitle">
    <w:name w:val="Subtitle"/>
    <w:basedOn w:val="Normal"/>
    <w:next w:val="Normal"/>
    <w:pPr>
      <w:spacing w:after="360" w:before="0"/>
    </w:pPr>
    <w:rPr>
      <w:rFonts w:ascii="Inter" w:cs="Inter" w:eastAsia="Inter" w:hAnsi="Inter"/>
      <w:color w:val="475569"/>
      <w:sz w:val="26"/>
      <w:szCs w:val="26"/>
    </w:rPr>
  </w:style>
  <w:style w:type="paragraph" w:styleId="Heading1">
    <w:name w:val="Heading 1"/>
    <w:basedOn w:val="Normal"/>
    <w:next w:val="Normal"/>
    <w:qFormat/>
    <w:pPr>
      <w:spacing w:after="200" w:before="360"/>
      <w:outlineLvl w:val="0"/>
    </w:pPr>
    <w:rPr>
      <w:rFonts w:ascii="Inter" w:cs="Inter" w:eastAsia="Inter" w:hAnsi="Inter"/>
      <w:b/>
      <w:bCs/>
      <w:color w:val="6C3AED"/>
      <w:sz w:val="36"/>
      <w:szCs w:val="36"/>
    </w:rPr>
  </w:style>
  <w:style w:type="paragraph" w:styleId="Heading2">
    <w:name w:val="Heading 2"/>
    <w:basedOn w:val="Normal"/>
    <w:next w:val="Normal"/>
    <w:qFormat/>
    <w:pPr>
      <w:spacing w:after="160" w:before="280"/>
      <w:outlineLvl w:val="1"/>
    </w:pPr>
    <w:rPr>
      <w:rFonts w:ascii="Inter" w:cs="Inter" w:eastAsia="Inter" w:hAnsi="Inter"/>
      <w:b/>
      <w:bCs/>
      <w:color w:val="0F172A"/>
      <w:sz w:val="28"/>
      <w:szCs w:val="28"/>
    </w:rPr>
  </w:style>
  <w:style w:type="paragraph" w:styleId="Heading3">
    <w:name w:val="Heading 3"/>
    <w:basedOn w:val="Normal"/>
    <w:next w:val="Normal"/>
    <w:pPr>
      <w:spacing w:after="120" w:before="220"/>
      <w:outlineLvl w:val="2"/>
    </w:pPr>
    <w:rPr>
      <w:rFonts w:ascii="Inter" w:cs="Inter" w:eastAsia="Inter" w:hAnsi="Inter"/>
      <w:b/>
      <w:bCs/>
      <w:color w:val="0F172A"/>
      <w:sz w:val="24"/>
      <w:szCs w:val="24"/>
    </w:rPr>
  </w:style>
  <w:style w:type="paragraph" w:styleId="Eyebrow">
    <w:name w:val="Eyebrow"/>
    <w:basedOn w:val="Normal"/>
    <w:next w:val="Normal"/>
    <w:pPr>
      <w:spacing w:after="80" w:before="120"/>
    </w:pPr>
    <w:rPr>
      <w:rFonts w:ascii="Inter" w:cs="Inter" w:eastAsia="Inter" w:hAnsi="Inter"/>
      <w:b/>
      <w:bCs/>
      <w:caps/>
      <w:color w:val="6C3AED"/>
      <w:spacing w:val="4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3aedc3967dd72829928b6c02e240865c8f3f7e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2026-05-04T22:45:10.341Z</dcterms:created>
  <dcterms:modified xsi:type="dcterms:W3CDTF">2026-05-04T22:45:10.347Z</dcterms:modified>
</cp:coreProperties>
</file>

<file path=docProps/custom.xml><?xml version="1.0" encoding="utf-8"?>
<Properties xmlns="http://schemas.openxmlformats.org/officeDocument/2006/custom-properties" xmlns:vt="http://schemas.openxmlformats.org/officeDocument/2006/docPropsVTypes"/>
</file>