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rPr>
          <w:b/>
          <w:bCs/>
          <w:color w:val="6C3AED"/>
          <w:sz w:val="18"/>
          <w:szCs w:val="18"/>
        </w:rPr>
        <w:t xml:space="preserve">PRODUCT OVERVIEW · INTENT-TO-OUTREACH™</w:t>
      </w:r>
    </w:p>
    <w:p>
      <w:pPr>
        <w:pStyle w:val="Title"/>
      </w:pPr>
      <w:r>
        <w:rPr>
          <w:b/>
          <w:bCs/>
          <w:color w:val="0F172A"/>
          <w:sz w:val="56"/>
          <w:szCs w:val="56"/>
        </w:rPr>
        <w:t xml:space="preserve">Intent-to-Outreach™</w:t>
      </w:r>
    </w:p>
    <w:p>
      <w:pPr>
        <w:pStyle w:val="Subtitle"/>
      </w:pPr>
      <w:r>
        <w:rPr>
          <w:color w:val="475569"/>
          <w:sz w:val="26"/>
          <w:szCs w:val="26"/>
        </w:rPr>
        <w:t xml:space="preserve">An autonomous prospecting engine that turns intent signals into rep-ready, enriched leads — every day, automatically.</w:t>
      </w:r>
    </w:p>
    <w:p>
      <w:pPr>
        <w:pBdr>
          <w:bottom w:val="single" w:color="6C3AED" w:sz="6" w:space="4"/>
        </w:pBdr>
        <w:spacing w:after="200" w:before="200"/>
      </w:pPr>
      <w:r>
        <w:t xml:space="preserve"/>
      </w:r>
    </w:p>
    <w:p>
      <w:pPr>
        <w:pStyle w:val="Heading2"/>
      </w:pPr>
      <w:r>
        <w:t xml:space="preserve">The problem we solve</w:t>
      </w:r>
    </w:p>
    <w:p>
      <w:pPr>
        <w:spacing w:after="100" w:before="60"/>
      </w:pPr>
      <w:r>
        <w:t xml:space="preserve">You're paying for intent data — ZoomInfo, Factors ABM, 6sense, Bombora — and the signal is real. But the path from signal to outreach is broken. Ops pulls a CSV. SDRs filter in spreadsheets. Companies get assigned to the wrong rep. Competitors and schools sneak into the queue. Half the day is gone before anyone has actually emailed a prospect.</w:t>
      </w:r>
    </w:p>
    <w:p>
      <w:pPr>
        <w:spacing w:after="100" w:before="60"/>
      </w:pPr>
      <w:r>
        <w:t xml:space="preserve">Intent-to-Outreach™ is the autonomous prospecting layer between your intent data and your reps. It runs on a schedule, applies your ICP rules, routes by territory, kills the noise, and ships clean leads to enrichment — without human kickoff.</w:t>
      </w:r>
    </w:p>
    <w:p>
      <w:pPr>
        <w:pStyle w:val="Heading2"/>
      </w:pPr>
      <w:r>
        <w:t xml:space="preserve">How it works</w:t>
      </w:r>
    </w:p>
    <w:p>
      <w:pPr>
        <w:pStyle w:val="ListParagraph"/>
        <w:numPr>
          <w:ilvl w:val="0"/>
          <w:numId w:val="2"/>
        </w:numPr>
        <w:spacing w:after="60" w:before="40"/>
      </w:pPr>
      <w:r>
        <w:t xml:space="preserve">Schedule trigger fires daily (default 7am, configurable).</w:t>
      </w:r>
    </w:p>
    <w:p>
      <w:pPr>
        <w:pStyle w:val="ListParagraph"/>
        <w:numPr>
          <w:ilvl w:val="0"/>
          <w:numId w:val="2"/>
        </w:numPr>
        <w:spacing w:after="60" w:before="40"/>
      </w:pPr>
      <w:r>
        <w:t xml:space="preserve">Intent capture pulls every company that hit a signal yesterday from your CRM or intent provider.</w:t>
      </w:r>
    </w:p>
    <w:p>
      <w:pPr>
        <w:pStyle w:val="ListParagraph"/>
        <w:numPr>
          <w:ilvl w:val="0"/>
          <w:numId w:val="2"/>
        </w:numPr>
        <w:spacing w:after="60" w:before="40"/>
      </w:pPr>
      <w:r>
        <w:t xml:space="preserve">ICP filter cascade applies your rules in sequence — employee count, region, lifecycle, customer status, competitor list, schools/gov exclusion.</w:t>
      </w:r>
    </w:p>
    <w:p>
      <w:pPr>
        <w:pStyle w:val="ListParagraph"/>
        <w:numPr>
          <w:ilvl w:val="0"/>
          <w:numId w:val="2"/>
        </w:numPr>
        <w:spacing w:after="60" w:before="40"/>
      </w:pPr>
      <w:r>
        <w:t xml:space="preserve">Territory routing maps each company to a rep pod and round-robins within the pod.</w:t>
      </w:r>
    </w:p>
    <w:p>
      <w:pPr>
        <w:pStyle w:val="ListParagraph"/>
        <w:numPr>
          <w:ilvl w:val="0"/>
          <w:numId w:val="2"/>
        </w:numPr>
        <w:spacing w:after="60" w:before="40"/>
      </w:pPr>
      <w:r>
        <w:t xml:space="preserve">Enrichment handoff posts qualified companies to Clay (or any enrichment tool) with full context for downstream automation.</w:t>
      </w:r>
    </w:p>
    <w:p>
      <w:pPr>
        <w:pStyle w:val="ListParagraph"/>
        <w:numPr>
          <w:ilvl w:val="0"/>
          <w:numId w:val="2"/>
        </w:numPr>
        <w:spacing w:after="60" w:before="40"/>
      </w:pPr>
      <w:r>
        <w:t xml:space="preserve">Audit log writes the assignment to a datatable for ops visibility and reporting.</w:t>
      </w:r>
    </w:p>
    <w:p>
      <w:pPr>
        <w:pStyle w:val="Heading2"/>
      </w:pPr>
      <w: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4"/>
              <w:left w:val="single" w:color="E2E8F0" w:sz="4"/>
              <w:bottom w:val="single" w:color="E2E8F0" w:sz="4"/>
              <w:right w:val="single" w:color="E2E8F0" w:sz="4"/>
            </w:tcBorders>
            <w:shd w:fill="6C3AED" w:val="clear"/>
            <w:tcMar>
              <w:top w:type="dxa" w:w="120"/>
              <w:left w:type="dxa" w:w="160"/>
              <w:bottom w:type="dxa" w:w="120"/>
              <w:right w:type="dxa" w:w="160"/>
            </w:tcMar>
          </w:tcPr>
          <w:p>
            <w:pPr>
              <w:jc w:val="left"/>
            </w:pPr>
            <w:r>
              <w:rPr>
                <w:b/>
                <w:bCs/>
                <w:color w:val="FFFFFF"/>
                <w:sz w:val="22"/>
                <w:szCs w:val="22"/>
              </w:rPr>
              <w:t xml:space="preserve">Component</w:t>
            </w:r>
          </w:p>
        </w:tc>
        <w:tc>
          <w:tcPr>
            <w:tcW w:type="dxa" w:w="5860"/>
            <w:tcBorders>
              <w:top w:val="single" w:color="E2E8F0" w:sz="4"/>
              <w:left w:val="single" w:color="E2E8F0" w:sz="4"/>
              <w:bottom w:val="single" w:color="E2E8F0" w:sz="4"/>
              <w:right w:val="single" w:color="E2E8F0" w:sz="4"/>
            </w:tcBorders>
            <w:shd w:fill="6C3AED" w:val="clear"/>
            <w:tcMar>
              <w:top w:type="dxa" w:w="120"/>
              <w:left w:type="dxa" w:w="160"/>
              <w:bottom w:type="dxa" w:w="120"/>
              <w:right w:type="dxa" w:w="160"/>
            </w:tcMar>
          </w:tcPr>
          <w:p>
            <w:pPr>
              <w:jc w:val="left"/>
            </w:pPr>
            <w:r>
              <w:rPr>
                <w:b/>
                <w:bCs/>
                <w:color w:val="FFFFFF"/>
                <w:sz w:val="22"/>
                <w:szCs w:val="22"/>
              </w:rPr>
              <w:t xml:space="preserve">Purpose</w:t>
            </w:r>
          </w:p>
        </w:tc>
      </w:tr>
      <w:tr>
        <w:tc>
          <w:tcPr>
            <w:tcW w:type="dxa" w:w="35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Intent Capture Engine</w:t>
            </w:r>
          </w:p>
        </w:tc>
        <w:tc>
          <w:tcPr>
            <w:tcW w:type="dxa" w:w="58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Daily pull from HubSpot, ZoomInfo, Factors ABM, or any source</w:t>
            </w:r>
          </w:p>
        </w:tc>
      </w:tr>
      <w:tr>
        <w:tc>
          <w:tcPr>
            <w:tcW w:type="dxa" w:w="35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8-Stage Filter Cascade</w:t>
            </w:r>
          </w:p>
        </w:tc>
        <w:tc>
          <w:tcPr>
            <w:tcW w:type="dxa" w:w="586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Sequential ICP filters with debug logging at every step</w:t>
            </w:r>
          </w:p>
        </w:tc>
      </w:tr>
      <w:tr>
        <w:tc>
          <w:tcPr>
            <w:tcW w:type="dxa" w:w="35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APAC Noise Killer</w:t>
            </w:r>
          </w:p>
        </w:tc>
        <w:tc>
          <w:tcPr>
            <w:tcW w:type="dxa" w:w="58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TLD + keyword fallback for empty location fields</w:t>
            </w:r>
          </w:p>
        </w:tc>
      </w:tr>
      <w:tr>
        <w:tc>
          <w:tcPr>
            <w:tcW w:type="dxa" w:w="35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Competitor Block List</w:t>
            </w:r>
          </w:p>
        </w:tc>
        <w:tc>
          <w:tcPr>
            <w:tcW w:type="dxa" w:w="586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Excludes named competitors (configurable per client)</w:t>
            </w:r>
          </w:p>
        </w:tc>
      </w:tr>
      <w:tr>
        <w:tc>
          <w:tcPr>
            <w:tcW w:type="dxa" w:w="35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School/Gov Exclusion</w:t>
            </w:r>
          </w:p>
        </w:tc>
        <w:tc>
          <w:tcPr>
            <w:tcW w:type="dxa" w:w="58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Keyword detection with NGO preservation</w:t>
            </w:r>
          </w:p>
        </w:tc>
      </w:tr>
      <w:tr>
        <w:tc>
          <w:tcPr>
            <w:tcW w:type="dxa" w:w="35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Round-Robin Engine</w:t>
            </w:r>
          </w:p>
        </w:tc>
        <w:tc>
          <w:tcPr>
            <w:tcW w:type="dxa" w:w="586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Territory-aware assignment with pod config</w:t>
            </w:r>
          </w:p>
        </w:tc>
      </w:tr>
      <w:tr>
        <w:tc>
          <w:tcPr>
            <w:tcW w:type="dxa" w:w="35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Clay Webhook Integration</w:t>
            </w:r>
          </w:p>
        </w:tc>
        <w:tc>
          <w:tcPr>
            <w:tcW w:type="dxa" w:w="58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Full payload to enrichment in &lt;5s per lead</w:t>
            </w:r>
          </w:p>
        </w:tc>
      </w:tr>
      <w:tr>
        <w:tc>
          <w:tcPr>
            <w:tcW w:type="dxa" w:w="35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Datatable Audit Log</w:t>
            </w:r>
          </w:p>
        </w:tc>
        <w:tc>
          <w:tcPr>
            <w:tcW w:type="dxa" w:w="586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Queryable history of every assignment</w:t>
            </w:r>
          </w:p>
        </w:tc>
      </w:tr>
      <w:tr>
        <w:tc>
          <w:tcPr>
            <w:tcW w:type="dxa" w:w="35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Operator Runbook</w:t>
            </w:r>
          </w:p>
        </w:tc>
        <w:tc>
          <w:tcPr>
            <w:tcW w:type="dxa" w:w="58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How to extend, monitor, and debug</w:t>
            </w:r>
          </w:p>
        </w:tc>
      </w:tr>
    </w:tbl>
    <w:p>
      <w:r>
        <w:br w:type="page"/>
      </w:r>
    </w:p>
    <w:p>
      <w:pPr>
        <w:pStyle w:val="Heading2"/>
      </w:pPr>
      <w:r>
        <w:t xml:space="preserve">Who this is for</w:t>
      </w:r>
    </w:p>
    <w:p>
      <w:pPr>
        <w:pStyle w:val="ListParagraph"/>
        <w:numPr>
          <w:ilvl w:val="0"/>
          <w:numId w:val="3"/>
        </w:numPr>
        <w:spacing w:after="60" w:before="40"/>
      </w:pPr>
      <w:r>
        <w:t xml:space="preserve">Founders building outbound for the first time who already have intent data but no system around it.</w:t>
      </w:r>
    </w:p>
    <w:p>
      <w:pPr>
        <w:pStyle w:val="ListParagraph"/>
        <w:numPr>
          <w:ilvl w:val="0"/>
          <w:numId w:val="3"/>
        </w:numPr>
        <w:spacing w:after="60" w:before="40"/>
      </w:pPr>
      <w:r>
        <w:t xml:space="preserve">VPs of Sales whose SDRs are spending more time qualifying than prospecting.</w:t>
      </w:r>
    </w:p>
    <w:p>
      <w:pPr>
        <w:pStyle w:val="ListParagraph"/>
        <w:numPr>
          <w:ilvl w:val="0"/>
          <w:numId w:val="3"/>
        </w:numPr>
        <w:spacing w:after="60" w:before="40"/>
      </w:pPr>
      <w:r>
        <w:t xml:space="preserve">RevOps leaders trying to consolidate intent sources without rebuilding the stack.</w:t>
      </w:r>
    </w:p>
    <w:p>
      <w:pPr>
        <w:pStyle w:val="ListParagraph"/>
        <w:numPr>
          <w:ilvl w:val="0"/>
          <w:numId w:val="3"/>
        </w:numPr>
        <w:spacing w:after="60" w:before="40"/>
      </w:pPr>
      <w:r>
        <w:t xml:space="preserve">Mid-market sales teams running ZoomInfo + Clay + HubSpot already — Intent-to-Outreach™ ties them together.</w:t>
      </w:r>
    </w:p>
    <w:p>
      <w:pPr>
        <w:pStyle w:val="Heading2"/>
      </w:pPr>
      <w:r>
        <w:t xml:space="preserve">Outcomes you should expect</w:t>
      </w:r>
    </w:p>
    <w:p>
      <w:pPr>
        <w:spacing w:after="120" w:before="120"/>
      </w:pPr>
      <w:r>
        <w:rPr>
          <w:rFonts w:ascii="Inter" w:cs="Inter" w:eastAsia="Inter" w:hAnsi="Inter"/>
          <w:b/>
          <w:bCs/>
          <w:color w:val="6C3AED"/>
          <w:sz w:val="56"/>
          <w:szCs w:val="56"/>
        </w:rPr>
        <w:t xml:space="preserve">3x</w:t>
      </w:r>
      <w:r>
        <w:rPr>
          <w:rFonts w:ascii="Inter" w:cs="Inter" w:eastAsia="Inter" w:hAnsi="Inter"/>
          <w:color w:val="475569"/>
          <w:sz w:val="22"/>
          <w:szCs w:val="22"/>
        </w:rPr>
        <w:t xml:space="preserve">  more ICP-fit prospects per rep per day</w:t>
      </w:r>
    </w:p>
    <w:p>
      <w:pPr>
        <w:spacing w:after="120" w:before="120"/>
      </w:pPr>
      <w:r>
        <w:rPr>
          <w:rFonts w:ascii="Inter" w:cs="Inter" w:eastAsia="Inter" w:hAnsi="Inter"/>
          <w:b/>
          <w:bCs/>
          <w:color w:val="6C3AED"/>
          <w:sz w:val="56"/>
          <w:szCs w:val="56"/>
        </w:rPr>
        <w:t xml:space="preserve">90%+</w:t>
      </w:r>
      <w:r>
        <w:rPr>
          <w:rFonts w:ascii="Inter" w:cs="Inter" w:eastAsia="Inter" w:hAnsi="Inter"/>
          <w:color w:val="475569"/>
          <w:sz w:val="22"/>
          <w:szCs w:val="22"/>
        </w:rPr>
        <w:t xml:space="preserve">  drop in time from signal to first touch</w:t>
      </w:r>
    </w:p>
    <w:p>
      <w:pPr>
        <w:spacing w:after="120" w:before="120"/>
      </w:pPr>
      <w:r>
        <w:rPr>
          <w:rFonts w:ascii="Inter" w:cs="Inter" w:eastAsia="Inter" w:hAnsi="Inter"/>
          <w:b/>
          <w:bCs/>
          <w:color w:val="6C3AED"/>
          <w:sz w:val="56"/>
          <w:szCs w:val="56"/>
        </w:rPr>
        <w:t xml:space="preserve">0</w:t>
      </w:r>
      <w:r>
        <w:rPr>
          <w:rFonts w:ascii="Inter" w:cs="Inter" w:eastAsia="Inter" w:hAnsi="Inter"/>
          <w:color w:val="475569"/>
          <w:sz w:val="22"/>
          <w:szCs w:val="22"/>
        </w:rPr>
        <w:t xml:space="preserve">  manual triage hours</w:t>
      </w:r>
    </w:p>
    <w:p>
      <w:pPr>
        <w:spacing w:after="120" w:before="120"/>
      </w:pPr>
      <w:r>
        <w:rPr>
          <w:rFonts w:ascii="Inter" w:cs="Inter" w:eastAsia="Inter" w:hAnsi="Inter"/>
          <w:b/>
          <w:bCs/>
          <w:color w:val="6C3AED"/>
          <w:sz w:val="56"/>
          <w:szCs w:val="56"/>
        </w:rPr>
        <w:t xml:space="preserve">100%</w:t>
      </w:r>
      <w:r>
        <w:rPr>
          <w:rFonts w:ascii="Inter" w:cs="Inter" w:eastAsia="Inter" w:hAnsi="Inter"/>
          <w:color w:val="475569"/>
          <w:sz w:val="22"/>
          <w:szCs w:val="22"/>
        </w:rPr>
        <w:t xml:space="preserve">  clean territory routing</w:t>
      </w:r>
    </w:p>
    <w:p>
      <w:pPr>
        <w:pStyle w:val="Heading2"/>
      </w:pPr>
      <w:r>
        <w:t xml:space="preserve">Filter cascade — what we exclude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E2E8F0" w:sz="4"/>
              <w:left w:val="single" w:color="E2E8F0" w:sz="4"/>
              <w:bottom w:val="single" w:color="E2E8F0" w:sz="4"/>
              <w:right w:val="single" w:color="E2E8F0" w:sz="4"/>
            </w:tcBorders>
            <w:shd w:fill="6C3AED" w:val="clear"/>
            <w:tcMar>
              <w:top w:type="dxa" w:w="120"/>
              <w:left w:type="dxa" w:w="160"/>
              <w:bottom w:type="dxa" w:w="120"/>
              <w:right w:type="dxa" w:w="160"/>
            </w:tcMar>
          </w:tcPr>
          <w:p>
            <w:pPr>
              <w:jc w:val="left"/>
            </w:pPr>
            <w:r>
              <w:rPr>
                <w:b/>
                <w:bCs/>
                <w:color w:val="FFFFFF"/>
                <w:sz w:val="22"/>
                <w:szCs w:val="22"/>
              </w:rPr>
              <w:t xml:space="preserve">Filter</w:t>
            </w:r>
          </w:p>
        </w:tc>
        <w:tc>
          <w:tcPr>
            <w:tcW w:type="dxa" w:w="2800"/>
            <w:tcBorders>
              <w:top w:val="single" w:color="E2E8F0" w:sz="4"/>
              <w:left w:val="single" w:color="E2E8F0" w:sz="4"/>
              <w:bottom w:val="single" w:color="E2E8F0" w:sz="4"/>
              <w:right w:val="single" w:color="E2E8F0" w:sz="4"/>
            </w:tcBorders>
            <w:shd w:fill="6C3AED" w:val="clear"/>
            <w:tcMar>
              <w:top w:type="dxa" w:w="120"/>
              <w:left w:type="dxa" w:w="160"/>
              <w:bottom w:type="dxa" w:w="120"/>
              <w:right w:type="dxa" w:w="160"/>
            </w:tcMar>
          </w:tcPr>
          <w:p>
            <w:pPr>
              <w:jc w:val="left"/>
            </w:pPr>
            <w:r>
              <w:rPr>
                <w:b/>
                <w:bCs/>
                <w:color w:val="FFFFFF"/>
                <w:sz w:val="22"/>
                <w:szCs w:val="22"/>
              </w:rPr>
              <w:t xml:space="preserve">What it removes</w:t>
            </w:r>
          </w:p>
        </w:tc>
        <w:tc>
          <w:tcPr>
            <w:tcW w:type="dxa" w:w="4560"/>
            <w:tcBorders>
              <w:top w:val="single" w:color="E2E8F0" w:sz="4"/>
              <w:left w:val="single" w:color="E2E8F0" w:sz="4"/>
              <w:bottom w:val="single" w:color="E2E8F0" w:sz="4"/>
              <w:right w:val="single" w:color="E2E8F0" w:sz="4"/>
            </w:tcBorders>
            <w:shd w:fill="6C3AED" w:val="clear"/>
            <w:tcMar>
              <w:top w:type="dxa" w:w="120"/>
              <w:left w:type="dxa" w:w="160"/>
              <w:bottom w:type="dxa" w:w="120"/>
              <w:right w:type="dxa" w:w="160"/>
            </w:tcMar>
          </w:tcPr>
          <w:p>
            <w:pPr>
              <w:jc w:val="left"/>
            </w:pPr>
            <w:r>
              <w:rPr>
                <w:b/>
                <w:bCs/>
                <w:color w:val="FFFFFF"/>
                <w:sz w:val="22"/>
                <w:szCs w:val="22"/>
              </w:rPr>
              <w:t xml:space="preserve">Why</w:t>
            </w:r>
          </w:p>
        </w:tc>
      </w:tr>
      <w:tr>
        <w:tc>
          <w:tcPr>
            <w:tcW w:type="dxa" w:w="20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Employee count</w:t>
            </w:r>
          </w:p>
        </w:tc>
        <w:tc>
          <w:tcPr>
            <w:tcW w:type="dxa" w:w="28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Companies above your ICP ceiling</w:t>
            </w:r>
          </w:p>
        </w:tc>
        <w:tc>
          <w:tcPr>
            <w:tcW w:type="dxa" w:w="45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Enterprise needs a different motion</w:t>
            </w:r>
          </w:p>
        </w:tc>
      </w:tr>
      <w:tr>
        <w:tc>
          <w:tcPr>
            <w:tcW w:type="dxa" w:w="20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APAC region</w:t>
            </w:r>
          </w:p>
        </w:tc>
        <w:tc>
          <w:tcPr>
            <w:tcW w:type="dxa" w:w="28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Asia-Pacific companies</w:t>
            </w:r>
          </w:p>
        </w:tc>
        <w:tc>
          <w:tcPr>
            <w:tcW w:type="dxa" w:w="456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Outside your territory (configurable)</w:t>
            </w:r>
          </w:p>
        </w:tc>
      </w:tr>
      <w:tr>
        <w:tc>
          <w:tcPr>
            <w:tcW w:type="dxa" w:w="20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Active deals</w:t>
            </w:r>
          </w:p>
        </w:tc>
        <w:tc>
          <w:tcPr>
            <w:tcW w:type="dxa" w:w="28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Companies with open opportunities</w:t>
            </w:r>
          </w:p>
        </w:tc>
        <w:tc>
          <w:tcPr>
            <w:tcW w:type="dxa" w:w="45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Already in your pipeline</w:t>
            </w:r>
          </w:p>
        </w:tc>
      </w:tr>
      <w:tr>
        <w:tc>
          <w:tcPr>
            <w:tcW w:type="dxa" w:w="20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Customer status</w:t>
            </w:r>
          </w:p>
        </w:tc>
        <w:tc>
          <w:tcPr>
            <w:tcW w:type="dxa" w:w="28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Existing customers</w:t>
            </w:r>
          </w:p>
        </w:tc>
        <w:tc>
          <w:tcPr>
            <w:tcW w:type="dxa" w:w="456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Should route to CS, not sales</w:t>
            </w:r>
          </w:p>
        </w:tc>
      </w:tr>
      <w:tr>
        <w:tc>
          <w:tcPr>
            <w:tcW w:type="dxa" w:w="20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Sales activity</w:t>
            </w:r>
          </w:p>
        </w:tc>
        <w:tc>
          <w:tcPr>
            <w:tcW w:type="dxa" w:w="28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Companies touched in last 30 days</w:t>
            </w:r>
          </w:p>
        </w:tc>
        <w:tc>
          <w:tcPr>
            <w:tcW w:type="dxa" w:w="45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Avoid stepping on rep's toes</w:t>
            </w:r>
          </w:p>
        </w:tc>
      </w:tr>
      <w:tr>
        <w:tc>
          <w:tcPr>
            <w:tcW w:type="dxa" w:w="20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Competitor list</w:t>
            </w:r>
          </w:p>
        </w:tc>
        <w:tc>
          <w:tcPr>
            <w:tcW w:type="dxa" w:w="28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Named competitors</w:t>
            </w:r>
          </w:p>
        </w:tc>
        <w:tc>
          <w:tcPr>
            <w:tcW w:type="dxa" w:w="456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Wasted outreach</w:t>
            </w:r>
          </w:p>
        </w:tc>
      </w:tr>
      <w:tr>
        <w:tc>
          <w:tcPr>
            <w:tcW w:type="dxa" w:w="20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Schools/government</w:t>
            </w:r>
          </w:p>
        </w:tc>
        <w:tc>
          <w:tcPr>
            <w:tcW w:type="dxa" w:w="28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Education + gov entities</w:t>
            </w:r>
          </w:p>
        </w:tc>
        <w:tc>
          <w:tcPr>
            <w:tcW w:type="dxa" w:w="45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Different sales motion (NGOs preserved)</w:t>
            </w:r>
          </w:p>
        </w:tc>
      </w:tr>
    </w:tbl>
    <w:p>
      <w:pPr>
        <w:pStyle w:val="Heading2"/>
      </w:pPr>
      <w:r>
        <w:t xml:space="preserve">Stack</w:t>
      </w:r>
    </w:p>
    <w:p>
      <w:pPr>
        <w:spacing w:after="100" w:before="60"/>
      </w:pPr>
      <w:r>
        <w:t xml:space="preserve">Built on tools your team is already running:</w:t>
      </w:r>
    </w:p>
    <w:p>
      <w:pPr>
        <w:pStyle w:val="ListParagraph"/>
        <w:numPr>
          <w:ilvl w:val="0"/>
          <w:numId w:val="3"/>
        </w:numPr>
        <w:spacing w:after="60" w:before="40"/>
      </w:pPr>
      <w:r>
        <w:t xml:space="preserve">n8n (self-hosted or cloud) for orchestration</w:t>
      </w:r>
    </w:p>
    <w:p>
      <w:pPr>
        <w:pStyle w:val="ListParagraph"/>
        <w:numPr>
          <w:ilvl w:val="0"/>
          <w:numId w:val="3"/>
        </w:numPr>
        <w:spacing w:after="60" w:before="40"/>
      </w:pPr>
      <w:r>
        <w:t xml:space="preserve">HubSpot, Salesforce, or any CRM with an intent property</w:t>
      </w:r>
    </w:p>
    <w:p>
      <w:pPr>
        <w:pStyle w:val="ListParagraph"/>
        <w:numPr>
          <w:ilvl w:val="0"/>
          <w:numId w:val="3"/>
        </w:numPr>
        <w:spacing w:after="60" w:before="40"/>
      </w:pPr>
      <w:r>
        <w:t xml:space="preserve">ZoomInfo, Factors ABM, 6sense, Bombora, G2 — any intent source</w:t>
      </w:r>
    </w:p>
    <w:p>
      <w:pPr>
        <w:pStyle w:val="ListParagraph"/>
        <w:numPr>
          <w:ilvl w:val="0"/>
          <w:numId w:val="3"/>
        </w:numPr>
        <w:spacing w:after="60" w:before="40"/>
      </w:pPr>
      <w:r>
        <w:t xml:space="preserve">Clay, Apollo, ZoomInfo Engage, or any enrichment tool</w:t>
      </w:r>
    </w:p>
    <w:p>
      <w:pPr>
        <w:pStyle w:val="ListParagraph"/>
        <w:numPr>
          <w:ilvl w:val="0"/>
          <w:numId w:val="3"/>
        </w:numPr>
        <w:spacing w:after="60" w:before="40"/>
      </w:pPr>
      <w:r>
        <w:t xml:space="preserve">Optional: Slack daily digest, Linear/Notion ops dashboard</w:t>
      </w:r>
    </w:p>
    <w:p>
      <w:pPr>
        <w:pStyle w:val="Heading2"/>
      </w:pPr>
      <w:r>
        <w:t xml:space="preserve">Why GencyAI</w:t>
      </w:r>
    </w:p>
    <w:p>
      <w:pPr>
        <w:spacing w:after="100" w:before="60"/>
      </w:pPr>
      <w:r>
        <w:t xml:space="preserve">We don't write you a black-box prospecting tool. Every filter, every pod definition, every webhook payload is exposed and editable. You own the workflow JSON and the assignment logic. We tune it against your real intent data, not generic ICP assumptions.</w:t>
      </w:r>
    </w:p>
    <w:p>
      <w:pPr>
        <w:pStyle w:val="ListParagraph"/>
        <w:numPr>
          <w:ilvl w:val="0"/>
          <w:numId w:val="3"/>
        </w:numPr>
        <w:spacing w:after="60" w:before="40"/>
      </w:pPr>
      <w:r>
        <w:t xml:space="preserve">4–8 week build · documented · fully owned by you</w:t>
      </w:r>
    </w:p>
    <w:p>
      <w:pPr>
        <w:pStyle w:val="ListParagraph"/>
        <w:numPr>
          <w:ilvl w:val="0"/>
          <w:numId w:val="3"/>
        </w:numPr>
        <w:spacing w:after="60" w:before="40"/>
      </w:pPr>
      <w:r>
        <w:t xml:space="preserve">ICP filters tuned against your last 90 days of intent data</w:t>
      </w:r>
    </w:p>
    <w:p>
      <w:pPr>
        <w:pStyle w:val="ListParagraph"/>
        <w:numPr>
          <w:ilvl w:val="0"/>
          <w:numId w:val="3"/>
        </w:numPr>
        <w:spacing w:after="60" w:before="40"/>
      </w:pPr>
      <w:r>
        <w:t xml:space="preserve">Pod definitions externalized — no code changes to add reps</w:t>
      </w:r>
    </w:p>
    <w:p>
      <w:pPr>
        <w:pStyle w:val="ListParagraph"/>
        <w:numPr>
          <w:ilvl w:val="0"/>
          <w:numId w:val="3"/>
        </w:numPr>
        <w:spacing w:after="60" w:before="40"/>
      </w:pPr>
      <w:r>
        <w:t xml:space="preserve">Operator runbook so RevOps can extend it without 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C3AED" w:sz="6" w:space="4"/>
      </w:pBdr>
      <w:tabs>
        <w:tab w:val="right" w:pos="9026"/>
      </w:tabs>
    </w:pPr>
    <w:r>
      <w:rPr>
        <w:color w:val="475569"/>
        <w:sz w:val="18"/>
        <w:szCs w:val="18"/>
      </w:rPr>
      <w:t xml:space="preserve">GencyAI · Agent Development &amp; Workflow Automation</w:t>
    </w:r>
    <w:r>
      <w:rPr>
        <w:color w:val="475569"/>
        <w:sz w:val="18"/>
        <w:szCs w:val="18"/>
      </w:rPr>
      <w:t xml:space="preserve">	Page </w:t>
    </w: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drawing>
        <wp:inline distT="0" distB="0" distL="0" distR="0">
          <wp:extent cx="762000" cy="762000"/>
          <wp:effectExtent t="0" r="0" b="0" l="0"/>
          <wp:docPr id="1" name="gency" descr="GencyAI wordmark" title="Gency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762000"/>
                  </a:xfrm>
                  <a:prstGeom prst="rect">
                    <a:avLst/>
                  </a:prstGeom>
                </pic:spPr>
              </pic:pic>
            </a:graphicData>
          </a:graphic>
        </wp:inline>
      </w:drawing>
    </w:r>
    <w:r>
      <w:rPr>
        <w:b/>
        <w:bCs/>
        <w:color w:val="475569"/>
        <w:sz w:val="18"/>
        <w:szCs w:val="18"/>
      </w:rPr>
      <w:t xml:space="preserve">	Intent-to-Outreach™ · Product Pack · Product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Inter" w:cs="Inter" w:eastAsia="Inter" w:hAnsi="Inter"/>
      <w:b/>
      <w:bCs/>
      <w:color w:val="0F172A"/>
      <w:sz w:val="56"/>
      <w:szCs w:val="56"/>
    </w:rPr>
  </w:style>
  <w:style w:type="paragraph" w:styleId="Subtitle">
    <w:name w:val="Subtitle"/>
    <w:basedOn w:val="Normal"/>
    <w:next w:val="Normal"/>
    <w:pPr>
      <w:spacing w:after="360" w:before="0"/>
    </w:pPr>
    <w:rPr>
      <w:rFonts w:ascii="Inter" w:cs="Inter" w:eastAsia="Inter" w:hAnsi="Inter"/>
      <w:color w:val="475569"/>
      <w:sz w:val="26"/>
      <w:szCs w:val="26"/>
    </w:rPr>
  </w:style>
  <w:style w:type="paragraph" w:styleId="Heading1">
    <w:name w:val="Heading 1"/>
    <w:basedOn w:val="Normal"/>
    <w:next w:val="Normal"/>
    <w:qFormat/>
    <w:pPr>
      <w:spacing w:after="200" w:before="360"/>
      <w:outlineLvl w:val="0"/>
    </w:pPr>
    <w:rPr>
      <w:rFonts w:ascii="Inter" w:cs="Inter" w:eastAsia="Inter" w:hAnsi="Inter"/>
      <w:b/>
      <w:bCs/>
      <w:color w:val="6C3AED"/>
      <w:sz w:val="36"/>
      <w:szCs w:val="36"/>
    </w:rPr>
  </w:style>
  <w:style w:type="paragraph" w:styleId="Heading2">
    <w:name w:val="Heading 2"/>
    <w:basedOn w:val="Normal"/>
    <w:next w:val="Normal"/>
    <w:qFormat/>
    <w:pPr>
      <w:spacing w:after="160" w:before="280"/>
      <w:outlineLvl w:val="1"/>
    </w:pPr>
    <w:rPr>
      <w:rFonts w:ascii="Inter" w:cs="Inter" w:eastAsia="Inter" w:hAnsi="Inter"/>
      <w:b/>
      <w:bCs/>
      <w:color w:val="0F172A"/>
      <w:sz w:val="28"/>
      <w:szCs w:val="28"/>
    </w:rPr>
  </w:style>
  <w:style w:type="paragraph" w:styleId="Heading3">
    <w:name w:val="Heading 3"/>
    <w:basedOn w:val="Normal"/>
    <w:next w:val="Normal"/>
    <w:pPr>
      <w:spacing w:after="120" w:before="220"/>
      <w:outlineLvl w:val="2"/>
    </w:pPr>
    <w:rPr>
      <w:rFonts w:ascii="Inter" w:cs="Inter" w:eastAsia="Inter" w:hAnsi="Inter"/>
      <w:b/>
      <w:bCs/>
      <w:color w:val="0F172A"/>
      <w:sz w:val="24"/>
      <w:szCs w:val="24"/>
    </w:rPr>
  </w:style>
  <w:style w:type="paragraph" w:styleId="Eyebrow">
    <w:name w:val="Eyebrow"/>
    <w:basedOn w:val="Normal"/>
    <w:next w:val="Normal"/>
    <w:pPr>
      <w:spacing w:after="80" w:before="120"/>
    </w:pPr>
    <w:rPr>
      <w:rFonts w:ascii="Inter" w:cs="Inter" w:eastAsia="Inter" w:hAnsi="Inter"/>
      <w:b/>
      <w:bCs/>
      <w:caps/>
      <w:color w:val="6C3AED"/>
      <w:spacing w:val="4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3aedc3967dd72829928b6c02e240865c8f3f7e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2026-05-04T22:45:10.466Z</dcterms:created>
  <dcterms:modified xsi:type="dcterms:W3CDTF">2026-05-04T22:45:10.466Z</dcterms:modified>
</cp:coreProperties>
</file>

<file path=docProps/custom.xml><?xml version="1.0" encoding="utf-8"?>
<Properties xmlns="http://schemas.openxmlformats.org/officeDocument/2006/custom-properties" xmlns:vt="http://schemas.openxmlformats.org/officeDocument/2006/docPropsVTypes"/>
</file>