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b/>
          <w:bCs/>
          <w:color w:val="6C3AED"/>
          <w:sz w:val="18"/>
          <w:szCs w:val="18"/>
        </w:rPr>
        <w:t xml:space="preserve">PRICING · INTENT-TO-OUTREACH™</w:t>
      </w:r>
    </w:p>
    <w:p>
      <w:pPr>
        <w:pStyle w:val="Title"/>
      </w:pPr>
      <w:r>
        <w:rPr>
          <w:b/>
          <w:bCs/>
          <w:color w:val="0F172A"/>
          <w:sz w:val="56"/>
          <w:szCs w:val="56"/>
        </w:rPr>
        <w:t xml:space="preserve">Pricing &amp; engagement model</w:t>
      </w:r>
    </w:p>
    <w:p>
      <w:pPr>
        <w:pStyle w:val="Subtitle"/>
      </w:pPr>
      <w:r>
        <w:rPr>
          <w:color w:val="475569"/>
          <w:sz w:val="26"/>
          <w:szCs w:val="26"/>
        </w:rPr>
        <w:t xml:space="preserve">Productized fixed-fee build + monthly retainer. Three tiers depending on how many intent sources, pods, and integrations you need.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Three tiers · scoped to your stack complexity</w:t>
      </w:r>
    </w:p>
    <w:p>
      <w:pPr>
        <w:spacing w:after="100" w:before="60"/>
      </w:pPr>
      <w:r>
        <w:t xml:space="preserve">All tiers include the Intent-to-Outreach™ core engine: scheduled intent capture, ICP filter cascade, round-robin assignment, and enrichment handoff. Tiers add signal sources, pod complexity, and analytics.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700"/>
        <w:gridCol w:w="2160"/>
      </w:tblGrid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Lite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Standard (most popular)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Build fee (one-time)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$9,500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$18,500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$32,500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Build timeline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3–4 weeks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5–7 weeks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8–12 weeks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Intent sources wired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(ZoomInfo or Factors)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3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Unlimited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ICP filters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5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10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 (any logic)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Rep pods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3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8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Unlimited + sub-pods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Territory routing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Country level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State + region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Full custom (industry, size, deal value)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Enrichment integration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tool (Clay/Apollo)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2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Unlimited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Datatable audit log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 + dashboards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 + BI export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Daily Slack digest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 + per-rep summary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AI scoring layer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 (deal-likelihood model)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Operator runbook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 + video walkthrough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Monthly retainer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$1,500/mo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$2,500/mo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$4,000/mo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What the monthly retainer covers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Filter tuning as your ICP shifts (new verticals, new exclusions, new ABM lists).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Up to 6 hours/month of build work — adding new intent sources, new pods, or new enrichment integrations.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Monitoring + ops alerting on filter drop rates, assignment accuracy, and webhook failures.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Monthly performance review: pipeline contribution, lead quality, rep load balance.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Priority Slack support during business hours (Standard &amp; Enterprise).</w:t>
      </w:r>
    </w:p>
    <w:p>
      <w:pPr>
        <w:pStyle w:val="Heading2"/>
      </w:pPr>
      <w:r>
        <w:t xml:space="preserve">Build fee covers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Discovery + ICP definition: we map your real signal sources, exclusion rules, and territory logic against your last 90 days of 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Full n8n workflow JSON, owned by you, version-controlled.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Filter code nodes with debug logging at every stage.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Round-robin engine with externalized pod config.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Enrichment webhook integration tested end-to-end.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Datatable schema and audit log.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Operator runbook and team training (1 session, recorded).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First 30 days of post-launch support included before retainer kicks in.</w:t>
      </w:r>
    </w:p>
    <w:p>
      <w:pPr>
        <w:pStyle w:val="Heading2"/>
      </w:pPr>
      <w:r>
        <w:t xml:space="preserve">Add-ons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800"/>
        <w:gridCol w:w="3860"/>
      </w:tblGrid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Add-on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When to add it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Additional intent source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$2,500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Adding 6sense, Bombora, G2, or custom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AI scoring layer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$6,500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Want deal-likelihood scoring before assignment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 CRM integration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$3,500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Salesforce, Pipedrive, custom CRM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LinkedIn Sales Nav signal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$3,000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Layer LinkedIn intent + job change data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Account-based pod logic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$4,500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Tier 1 named accounts route differently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BI dashboard (Looker/Hex/Tableau)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$5,500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Leadership pipeline visibility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Multi-tenant pod (per-region team)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$4,000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Different pod logic by geography</w:t>
            </w:r>
          </w:p>
        </w:tc>
      </w:tr>
    </w:tbl>
    <w:p>
      <w:pPr>
        <w:pStyle w:val="Heading2"/>
      </w:pPr>
      <w:r>
        <w:t xml:space="preserve">Engagement terms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50% deposit on signed SOW, 50% on production launch.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Build timeline starts on kickoff call. Most builds ship in 5–7 weeks.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Retainer is month-to-month with 30-day notice.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You own the workflow JSON, filter logic, and pod config. We document everything.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Retainer pauses without penalty during budget freezes. Re-spin in 5 business days.</w:t>
      </w:r>
    </w:p>
    <w:p>
      <w:pPr>
        <w:pStyle w:val="Heading2"/>
      </w:pPr>
      <w:r>
        <w:t xml:space="preserve">ROI math (typical Standard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AED" w:sz="4"/>
              <w:left w:val="single" w:color="6C3AED" w:sz="24"/>
              <w:bottom w:val="single" w:color="6C3AED" w:sz="4"/>
              <w:right w:val="single" w:color="6C3AED" w:sz="4"/>
            </w:tcBorders>
            <w:shd w:fill="F1F5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$18,500 build + $2,500/mo retainer = $48,500 in year one. If your average intent-driven deal is $25K ARR and the engine adds even 4 incremental closed deals/year (vs. manual triage), payback is ~5 months. Most clients see compound gains as the filter cascade tightens over time.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AED" w:sz="6" w:space="4"/>
      </w:pBdr>
      <w:tabs>
        <w:tab w:val="right" w:pos="9026"/>
      </w:tabs>
    </w:pPr>
    <w:r>
      <w:rPr>
        <w:color w:val="475569"/>
        <w:sz w:val="18"/>
        <w:szCs w:val="18"/>
      </w:rPr>
      <w:t xml:space="preserve">GencyAI · Agent Development &amp; Workflow Automation</w:t>
    </w:r>
    <w:r>
      <w:rPr>
        <w:color w:val="475569"/>
        <w:sz w:val="18"/>
        <w:szCs w:val="18"/>
      </w:rPr>
      <w:t xml:space="preserve">	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762000" cy="762000"/>
          <wp:effectExtent t="0" r="0" b="0" l="0"/>
          <wp:docPr id="1" name="gency" descr="GencyAI wordmark" title="Gency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75569"/>
        <w:sz w:val="18"/>
        <w:szCs w:val="18"/>
      </w:rPr>
      <w:t xml:space="preserve">	Intent-to-Outreach™ · Product Pack · Pricing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Inter" w:cs="Inter" w:eastAsia="Inter" w:hAnsi="Inter"/>
      <w:b/>
      <w:bCs/>
      <w:color w:val="0F172A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Inter" w:cs="Inter" w:eastAsia="Inter" w:hAnsi="Inter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6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Eyebrow">
    <w:name w:val="Eyebrow"/>
    <w:basedOn w:val="Normal"/>
    <w:next w:val="Normal"/>
    <w:pPr>
      <w:spacing w:after="80" w:before="120"/>
    </w:pPr>
    <w:rPr>
      <w:rFonts w:ascii="Inter" w:cs="Inter" w:eastAsia="Inter" w:hAnsi="Inter"/>
      <w:b/>
      <w:bCs/>
      <w:caps/>
      <w:color w:val="6C3AED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aedc3967dd72829928b6c02e240865c8f3f7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2026-05-04T22:45:10.510Z</dcterms:created>
  <dcterms:modified xsi:type="dcterms:W3CDTF">2026-05-04T22:45:10.510Z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