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b/>
          <w:bCs/>
          <w:color w:val="6C3AED"/>
          <w:sz w:val="18"/>
          <w:szCs w:val="18"/>
        </w:rPr>
        <w:t xml:space="preserve">ONE-PAGER · INTENT-TO-OUTREACH™</w:t>
      </w:r>
    </w:p>
    <w:p>
      <w:pPr>
        <w:pStyle w:val="Title"/>
      </w:pPr>
      <w:r>
        <w:rPr>
          <w:b/>
          <w:bCs/>
          <w:color w:val="0F172A"/>
          <w:sz w:val="56"/>
          <w:szCs w:val="56"/>
        </w:rPr>
        <w:t xml:space="preserve">Turn intent data into rep-ready leads — automatically, every morning.</w:t>
      </w:r>
    </w:p>
    <w:p>
      <w:pPr>
        <w:pStyle w:val="Subtitle"/>
      </w:pPr>
      <w:r>
        <w:rPr>
          <w:color w:val="475569"/>
          <w:sz w:val="26"/>
          <w:szCs w:val="26"/>
        </w:rPr>
        <w:t xml:space="preserve">Intent-to-Outreach™ — an autonomous prospecting engine that filters, routes, and enriches your intent signals before reps log in.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The problem</w:t>
      </w:r>
    </w:p>
    <w:p>
      <w:pPr>
        <w:spacing w:after="100" w:before="60"/>
      </w:pPr>
      <w:r>
        <w:t xml:space="preserve">You're paying for intent data, but your team is burning the morning manually filtering CSVs, removing competitors, and round-robining leads in spreadsheets. Half the day is gone before anyone has emailed a prospect — and the signal is already cold.</w:t>
      </w:r>
    </w:p>
    <w:p>
      <w:pPr>
        <w:pStyle w:val="Heading2"/>
      </w:pPr>
      <w:r>
        <w:t xml:space="preserve">What Intent-to-Outreach™ does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Pulls every intent-flagged company from your CRM daily at 7am.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Runs them through 8 filters — ICP fit, region, customer status, competitor exclusion, schools/gov, sales activity.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Assigns to the right rep based on territory + round-robin logic.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Ships to Clay (or any enrichment tool) with full context for outreach automation.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Logs every assignment to a queryable datatable.</w:t>
      </w:r>
    </w:p>
    <w:p>
      <w:pPr>
        <w:pStyle w:val="Heading2"/>
      </w:pPr>
      <w:r>
        <w:t xml:space="preserve">Real results · Atlas HXM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3x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ICP-fit prospects per rep per day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90%+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drop in time-to-first-touch</w:t>
      </w:r>
    </w:p>
    <w:p>
      <w:pPr>
        <w:spacing w:after="120" w:before="120"/>
      </w:pPr>
      <w:r>
        <w:rPr>
          <w:rFonts w:ascii="Inter" w:cs="Inter" w:eastAsia="Inter" w:hAnsi="Inter"/>
          <w:b/>
          <w:bCs/>
          <w:color w:val="6C3AED"/>
          <w:sz w:val="56"/>
          <w:szCs w:val="56"/>
        </w:rPr>
        <w:t xml:space="preserve">0</w:t>
      </w:r>
      <w:r>
        <w:rPr>
          <w:rFonts w:ascii="Inter" w:cs="Inter" w:eastAsia="Inter" w:hAnsi="Inter"/>
          <w:color w:val="475569"/>
          <w:sz w:val="22"/>
          <w:szCs w:val="22"/>
        </w:rPr>
        <w:t xml:space="preserve">  manual ops hours per day</w:t>
      </w:r>
    </w:p>
    <w:p>
      <w:pPr>
        <w:pStyle w:val="Heading2"/>
      </w:pPr>
      <w: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Retainer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Lite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$9,500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$1,500/mo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3–4 weeks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$18,500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$2,500/mo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5–7 weeks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$32,500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$4,000/mo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8–12 weeks</w:t>
            </w:r>
          </w:p>
        </w:tc>
      </w:tr>
    </w:tbl>
    <w:p>
      <w:pPr>
        <w:pStyle w:val="Heading2"/>
      </w:pPr>
      <w:r>
        <w:t xml:space="preserve">Stack</w:t>
      </w:r>
    </w:p>
    <w:p>
      <w:pPr>
        <w:spacing w:after="100" w:before="60"/>
      </w:pPr>
      <w:r>
        <w:t xml:space="preserve">n8n · HubSpot/Salesforce/any CRM · ZoomInfo/Factors ABM/6sense/any intent source · Clay/Apollo/any enrichment tool · optional Slack digest.</w:t>
      </w:r>
    </w:p>
    <w:p>
      <w:pPr>
        <w:pStyle w:val="Heading2"/>
      </w:pPr>
      <w:r>
        <w:t xml:space="preserve">Why GencyAI</w:t>
      </w:r>
    </w:p>
    <w:p>
      <w:pPr>
        <w:spacing w:after="100" w:before="60"/>
      </w:pPr>
      <w:r>
        <w:t xml:space="preserve">Every filter, pod, and webhook payload is exposed and editable. We tune the cascade against your last 90 days of intent data — not generic ICP assumptions. You own the JSON, the prompts, and the assignment logic.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spacing w:after="100" w:before="60"/>
      </w:pPr>
      <w:r>
        <w:rPr>
          <w:b/>
          <w:bCs/>
          <w:color w:val="6C3AED"/>
        </w:rPr>
        <w:t xml:space="preserve">Ready to stop manually qualifying intent data? Email patrick.diamitani@gmail.com or book a session at calendly.com/diamitani.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AED" w:sz="6" w:space="4"/>
      </w:pBdr>
      <w:tabs>
        <w:tab w:val="right" w:pos="9026"/>
      </w:tabs>
    </w:pPr>
    <w:r>
      <w:rPr>
        <w:color w:val="475569"/>
        <w:sz w:val="18"/>
        <w:szCs w:val="18"/>
      </w:rPr>
      <w:t xml:space="preserve">GencyAI · Agent Development &amp; Workflow Automation</w:t>
    </w:r>
    <w:r>
      <w:rPr>
        <w:color w:val="475569"/>
        <w:sz w:val="18"/>
        <w:szCs w:val="18"/>
      </w:rPr>
      <w:t xml:space="preserve">	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762000" cy="762000"/>
          <wp:effectExtent t="0" r="0" b="0" l="0"/>
          <wp:docPr id="1" name="gency" descr="GencyAI wordmark" title="Gency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75569"/>
        <w:sz w:val="18"/>
        <w:szCs w:val="18"/>
      </w:rPr>
      <w:t xml:space="preserve">	Intent-to-Outreach™ · Product Pack · One-Pager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Inter" w:cs="Inter" w:eastAsia="Inter" w:hAnsi="Inter"/>
      <w:b/>
      <w:bCs/>
      <w:color w:val="0F172A"/>
      <w:sz w:val="56"/>
      <w:szCs w:val="56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Inter" w:cs="Inter" w:eastAsia="Inter" w:hAnsi="Inter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6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  <w:style w:type="paragraph" w:styleId="Eyebrow">
    <w:name w:val="Eyebrow"/>
    <w:basedOn w:val="Normal"/>
    <w:next w:val="Normal"/>
    <w:pPr>
      <w:spacing w:after="80" w:before="120"/>
    </w:pPr>
    <w:rPr>
      <w:rFonts w:ascii="Inter" w:cs="Inter" w:eastAsia="Inter" w:hAnsi="Inter"/>
      <w:b/>
      <w:bCs/>
      <w:caps/>
      <w:color w:val="6C3AED"/>
      <w:spacing w:val="4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3aedc3967dd72829928b6c02e240865c8f3f7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2026-05-04T22:45:10.578Z</dcterms:created>
  <dcterms:modified xsi:type="dcterms:W3CDTF">2026-05-04T22:45:10.578Z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