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Eyebrow"/>
      </w:pPr>
      <w:r>
        <w:rPr>
          <w:b/>
          <w:bCs/>
          <w:color w:val="6C3AED"/>
          <w:sz w:val="18"/>
          <w:szCs w:val="18"/>
        </w:rPr>
        <w:t xml:space="preserve">PRICING · CALL-TO-REVENUE™</w:t>
      </w:r>
    </w:p>
    <w:p>
      <w:pPr>
        <w:pStyle w:val="Title"/>
      </w:pPr>
      <w:r>
        <w:rPr>
          <w:b/>
          <w:bCs/>
          <w:color w:val="0F172A"/>
          <w:sz w:val="56"/>
          <w:szCs w:val="56"/>
        </w:rPr>
        <w:t xml:space="preserve">Pricing &amp; engagement model</w:t>
      </w:r>
    </w:p>
    <w:p>
      <w:pPr>
        <w:pStyle w:val="Subtitle"/>
      </w:pPr>
      <w:r>
        <w:rPr>
          <w:color w:val="475569"/>
          <w:sz w:val="26"/>
          <w:szCs w:val="26"/>
        </w:rPr>
        <w:t xml:space="preserve">Productized fixed-fee build + monthly retainer. Three tiers depending on agent count, knowledge base depth, and integration complexity.</w:t>
      </w:r>
    </w:p>
    <w:p>
      <w:pPr>
        <w:pBdr>
          <w:bottom w:val="single" w:color="6C3AED" w:sz="6" w:space="4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Three tiers · scoped to how much intelligence you need per call</w:t>
      </w:r>
    </w:p>
    <w:p>
      <w:pPr>
        <w:spacing w:after="100" w:before="60"/>
      </w:pPr>
      <w:r>
        <w:t xml:space="preserve">All tiers include the Call-to-Revenue™ core engine: call recorder integration, transcript polling, deal context extraction, AI agent orchestration, and HTML digest delivery. Tiers add agents, knowledge depth, and integrations.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700"/>
        <w:gridCol w:w="2160"/>
      </w:tblGrid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Lite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Standard (most popular)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Enterprise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Build fee (one-time)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$12,500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$24,500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$42,500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Build timeline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4–6 weeks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7–10 weeks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10–14 weeks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AI agents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1 (follow-up email)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3 (email + missed Qs + competitor)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5 (full pack including LinkedIn + expansion)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Call recorder integration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1 tool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1 tool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Up to 3 (Avoma/Gong/Chorus)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RAG knowledge base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Included (your KB ingested)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Multi-index (countries + products + competitors)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Deal context extractor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Basic (10 fields)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Standard (20+ fields)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Custom (any object)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CRM integration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1 (HubSpot or Salesforce)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1 + note writer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Up to 3 + custom objects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Digest delivery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Email only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Email + CRM note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Email + CRM + Slack/Teams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Brand voice tuning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Standard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Custom (1 round)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Custom (3 rounds)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LinkedIn post agent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Add-on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Included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Expansion analysis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Included (with TalentEdge framework)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Operator runbook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Included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Included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Included + video walkthrough</w:t>
            </w:r>
          </w:p>
        </w:tc>
      </w:tr>
      <w:tr>
        <w:tc>
          <w:tcPr>
            <w:tcW w:type="dxa" w:w="2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Monthly retainer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$2,000/mo</w:t>
            </w:r>
          </w:p>
        </w:tc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$3,500/mo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$6,000/mo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What the monthly retainer covers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Prompt tuning across all 5 agents as your buyer base, competitors, and brand voice evolve.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Up to 8 hours/month of build work — adding new agents, new knowledge base sources, or new CRM properties.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RAG knowledge base maintenance: re-indexing as new docs are added, query quality monitoring.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Monitoring + ops alerting on transcript polling failures, RAG retrieval quality, and agent output errors.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Monthly performance review: agent accuracy, follow-up adoption, coaching impact.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Priority Slack support during business hours (Standard &amp; Enterprise).</w:t>
      </w:r>
    </w:p>
    <w:p>
      <w:pPr>
        <w:pStyle w:val="Heading2"/>
      </w:pPr>
      <w:r>
        <w:t xml:space="preserve">Build fee covers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Discovery + JTBD analysis: we map your real call types, edge cases, and current follow-up failure modes.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Full n8n workflow JSON with parallel agent branches.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All agent prompts, production-tuned against 30+ of your actual call transcripts.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RAG knowledge base setup: ingestion, embedding, query tuning, retrieval evaluation (Standard+).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CRM integration: deal context extractor, note writer, contact association.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HTML digest template with brand-styled sections.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Error workflow with retry-on-fail and Slack alerts.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Operator runbook and team training (2 sessions, recorded).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First 30 days of post-launch support included before retainer kicks in.</w:t>
      </w:r>
    </w:p>
    <w:p>
      <w:pPr>
        <w:pStyle w:val="Heading2"/>
      </w:pPr>
      <w:r>
        <w:t xml:space="preserve">Add-ons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800"/>
        <w:gridCol w:w="3860"/>
      </w:tblGrid>
      <w:tr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Add-on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When to add it</w:t>
            </w:r>
          </w:p>
        </w:tc>
      </w:tr>
      <w:tr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Additional agent (e.g., pricing extractor)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$4,500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New use case emerges from call data</w:t>
            </w:r>
          </w:p>
        </w:tc>
      </w:tr>
      <w:tr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Custom RAG knowledge base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$6,800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Country, product, or competitive Q&amp;A grounding</w:t>
            </w:r>
          </w:p>
        </w:tc>
      </w:tr>
      <w:tr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Multi-language transcript support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$5,500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Global team selling in 3+ languages</w:t>
            </w:r>
          </w:p>
        </w:tc>
      </w:tr>
      <w:tr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Salesforce custom object integration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$4,800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Beyond standard contact/deal/account</w:t>
            </w:r>
          </w:p>
        </w:tc>
      </w:tr>
      <w:tr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Real-time coaching during call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$8,500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Live agent that whispers to rep mid-call</w:t>
            </w:r>
          </w:p>
        </w:tc>
      </w:tr>
      <w:tr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Sales leader dashboard (BI)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$6,500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Aggregate insights across all reps' calls</w:t>
            </w:r>
          </w:p>
        </w:tc>
      </w:tr>
      <w:tr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LinkedIn auto-publish (with approval)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$3,500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Approval queue → publish workflow</w:t>
            </w:r>
          </w:p>
        </w:tc>
      </w:tr>
      <w:tr>
        <w:tc>
          <w:tcPr>
            <w:tcW w:type="dxa" w:w="3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Webhook to TalentEdge or expansion tool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$3,000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Auto-trigger expansion analysis on signal</w:t>
            </w:r>
          </w:p>
        </w:tc>
      </w:tr>
    </w:tbl>
    <w:p>
      <w:pPr>
        <w:pStyle w:val="Heading2"/>
      </w:pPr>
      <w:r>
        <w:t xml:space="preserve">Engagement terms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50% deposit on signed SOW, 50% on production launch.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Build timeline starts on kickoff call. Most builds ship in 7–10 weeks.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Retainer is month-to-month with 30-day notice.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You own the workflow JSON, prompts, agent code, and RAG configuration.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Retainer pauses without penalty during budget freezes.</w:t>
      </w:r>
    </w:p>
    <w:p>
      <w:pPr>
        <w:pStyle w:val="Heading2"/>
      </w:pPr>
      <w:r>
        <w:t xml:space="preserve">ROI math (typical Standard tier)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AED" w:sz="4"/>
              <w:left w:val="single" w:color="6C3AED" w:sz="24"/>
              <w:bottom w:val="single" w:color="6C3AED" w:sz="4"/>
              <w:right w:val="single" w:color="6C3AED" w:sz="4"/>
            </w:tcBorders>
            <w:shd w:fill="F1F5F9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$24,500 build + $3,500/mo retainer = $66,500 in year one. If your average deal is $50K ARR and the engine raises win rate even 5% on a 100-deal pipeline (5 incremental wins × $50K = $250K ARR), payback is ~3 months. Most clients see compounding gains as the RAG knowledge base deepens.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C3AED" w:sz="6" w:space="4"/>
      </w:pBdr>
      <w:tabs>
        <w:tab w:val="right" w:pos="9026"/>
      </w:tabs>
    </w:pPr>
    <w:r>
      <w:rPr>
        <w:color w:val="475569"/>
        <w:sz w:val="18"/>
        <w:szCs w:val="18"/>
      </w:rPr>
      <w:t xml:space="preserve">GencyAI · Agent Development &amp; Workflow Automation</w:t>
    </w:r>
    <w:r>
      <w:rPr>
        <w:color w:val="475569"/>
        <w:sz w:val="18"/>
        <w:szCs w:val="18"/>
      </w:rPr>
      <w:t xml:space="preserve">	Page </w:t>
    </w:r>
    <w:r>
      <w:rPr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762000" cy="762000"/>
          <wp:effectExtent t="0" r="0" b="0" l="0"/>
          <wp:docPr id="1" name="gency" descr="GencyAI wordmark" title="Gency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475569"/>
        <w:sz w:val="18"/>
        <w:szCs w:val="18"/>
      </w:rPr>
      <w:t xml:space="preserve">	Call-to-Revenue™ · Product Pack · Pricing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Inter" w:cs="Inter" w:eastAsia="Inter" w:hAnsi="Inter"/>
      <w:b/>
      <w:bCs/>
      <w:color w:val="0F172A"/>
      <w:sz w:val="56"/>
      <w:szCs w:val="56"/>
    </w:rPr>
  </w:style>
  <w:style w:type="paragraph" w:styleId="Subtitle">
    <w:name w:val="Subtitle"/>
    <w:basedOn w:val="Normal"/>
    <w:next w:val="Normal"/>
    <w:pPr>
      <w:spacing w:after="360" w:before="0"/>
    </w:pPr>
    <w:rPr>
      <w:rFonts w:ascii="Inter" w:cs="Inter" w:eastAsia="Inter" w:hAnsi="Inter"/>
      <w:color w:val="475569"/>
      <w:sz w:val="26"/>
      <w:szCs w:val="2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6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Inter" w:cs="Inter" w:eastAsia="Inter" w:hAnsi="Inter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pPr>
      <w:spacing w:after="120" w:before="220"/>
      <w:outlineLvl w:val="2"/>
    </w:pPr>
    <w:rPr>
      <w:rFonts w:ascii="Inter" w:cs="Inter" w:eastAsia="Inter" w:hAnsi="Inter"/>
      <w:b/>
      <w:bCs/>
      <w:color w:val="0F172A"/>
      <w:sz w:val="24"/>
      <w:szCs w:val="24"/>
    </w:rPr>
  </w:style>
  <w:style w:type="paragraph" w:styleId="Eyebrow">
    <w:name w:val="Eyebrow"/>
    <w:basedOn w:val="Normal"/>
    <w:next w:val="Normal"/>
    <w:pPr>
      <w:spacing w:after="80" w:before="120"/>
    </w:pPr>
    <w:rPr>
      <w:rFonts w:ascii="Inter" w:cs="Inter" w:eastAsia="Inter" w:hAnsi="Inter"/>
      <w:b/>
      <w:bCs/>
      <w:caps/>
      <w:color w:val="6C3AED"/>
      <w:spacing w:val="4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3aedc3967dd72829928b6c02e240865c8f3f7e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2026-05-04T22:48:47.818Z</dcterms:created>
  <dcterms:modified xsi:type="dcterms:W3CDTF">2026-05-04T22:48:47.818Z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