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B4965"/>
          <w:sz w:val="50"/>
          <w:szCs w:val="50"/>
        </w:rPr>
        <w:t xml:space="preserve">IDAEYI HEATHCOTE-FUMADOR</w:t>
      </w:r>
    </w:p>
    <w:p>
      <w:pPr>
        <w:spacing w:after="30"/>
      </w:pPr>
      <w:r>
        <w:rPr>
          <w:color w:val="595959"/>
          <w:sz w:val="20"/>
          <w:szCs w:val="20"/>
        </w:rPr>
        <w:t xml:space="preserve">Studiegången 18, Göteborg, Sverige</w:t>
      </w:r>
    </w:p>
    <w:p>
      <w:pPr>
        <w:pBdr>
          <w:bottom w:val="single" w:color="1B4965" w:sz="8" w:space="6"/>
        </w:pBdr>
        <w:spacing w:after="160"/>
      </w:pPr>
      <w:r>
        <w:rPr>
          <w:color w:val="595959"/>
          <w:sz w:val="20"/>
          <w:szCs w:val="20"/>
        </w:rPr>
        <w:t xml:space="preserve">+46 72 338 33 60   ·   ida.heathcote.fumador@gmail.com   ·   LinkedIn</w:t>
      </w:r>
    </w:p>
    <w:p>
      <w:pPr>
        <w:pStyle w:val="Heading1"/>
      </w:pPr>
      <w:r>
        <w:t xml:space="preserve">Profil</w:t>
      </w:r>
    </w:p>
    <w:p>
      <w:pPr>
        <w:spacing w:after="80" w:line="232"/>
        <w:jc w:val="both"/>
      </w:pPr>
      <w:r>
        <w:rPr>
          <w:color w:val="262626"/>
          <w:sz w:val="21"/>
          <w:szCs w:val="21"/>
        </w:rPr>
        <w:t xml:space="preserve">Projektkoordinator och forskare med doktorsexamen i teknikens ekonomi och organisation från Chalmers tekniska högskola (november 2025), med specialisering inom hållbara affärsekosystem, cirkulär ekonomi och hållbart entreprenörskap. Har praktisk erfarenhet av att planera, koordinera och genomföra projektaktiviteter i internationell akademisk och industriell miljö, inklusive deltagande i och ledning av EU-relaterade projektansökningar. Kombinerar vetenskaplig kompetens med ett starkt engagemang för ansvarsfull samhällsomvandling och förmåga att bygga samarbeten med forskare, studenter, startupbolag och internationella partners. Trivs i självständiga och initiativrika roller och är van att leverera mot deadlines i komplexa sammanhang.</w:t>
      </w:r>
    </w:p>
    <w:p>
      <w:pPr>
        <w:pStyle w:val="Heading1"/>
      </w:pPr>
      <w:r>
        <w:t xml:space="preserve">Utbildning</w:t>
      </w:r>
    </w:p>
    <w:p>
      <w:pPr>
        <w:tabs>
          <w:tab w:val="right" w:pos="9026"/>
        </w:tabs>
        <w:spacing w:after="20" w:before="100"/>
      </w:pPr>
      <w:r>
        <w:rPr>
          <w:b/>
          <w:bCs/>
          <w:color w:val="1B4965"/>
          <w:sz w:val="22"/>
          <w:szCs w:val="22"/>
        </w:rPr>
        <w:t xml:space="preserve">Doktorsexamen, teknikens ekonomi och organisation</w:t>
      </w:r>
      <w:r>
        <w:rPr>
          <w:b/>
          <w:bCs/>
          <w:color w:val="595959"/>
          <w:sz w:val="20"/>
          <w:szCs w:val="20"/>
        </w:rPr>
        <w:t xml:space="preserve">	Augusti 2019 – November 2025</w:t>
      </w:r>
    </w:p>
    <w:p>
      <w:pPr>
        <w:spacing w:after="70"/>
      </w:pPr>
      <w:r>
        <w:rPr>
          <w:i/>
          <w:iCs/>
          <w:color w:val="595959"/>
          <w:sz w:val="20"/>
          <w:szCs w:val="20"/>
        </w:rPr>
        <w:t xml:space="preserve">Chalmers tekniska högskola, Sverige (inklusive 1 års föräldraledighet)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Omfattande kunskap om skärningspunkten mellan digital teknik och cirkulär ekonomi, strategisk ledning, informationssystem och hållbar utveckling.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Förmåga att utforma intervjuprotokoll och genomföra intervjuer med ett stort antal personer.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Skicklig på att analysera stora kvalitativa datamängder och utveckla process- och konceptuella modeller utifrån dataanalysen.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Kunnig inom grundad teori (grounded theory) och processstudier.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Behärskar akademiskt skrivande och kommunikation.</w:t>
      </w:r>
    </w:p>
    <w:p>
      <w:pPr>
        <w:tabs>
          <w:tab w:val="right" w:pos="9026"/>
        </w:tabs>
        <w:spacing w:after="20" w:before="100"/>
      </w:pPr>
      <w:r>
        <w:rPr>
          <w:b/>
          <w:bCs/>
          <w:color w:val="1B4965"/>
          <w:sz w:val="22"/>
          <w:szCs w:val="22"/>
        </w:rPr>
        <w:t xml:space="preserve">Trippel magisterexamen, datasystem, nätverk och hållbarhet</w:t>
      </w:r>
      <w:r>
        <w:rPr>
          <w:b/>
          <w:bCs/>
          <w:color w:val="595959"/>
          <w:sz w:val="20"/>
          <w:szCs w:val="20"/>
        </w:rPr>
        <w:t xml:space="preserve">	2016 – 2018</w:t>
      </w:r>
    </w:p>
    <w:p>
      <w:pPr>
        <w:spacing w:after="70"/>
      </w:pPr>
      <w:r>
        <w:rPr>
          <w:i/>
          <w:iCs/>
          <w:color w:val="595959"/>
          <w:sz w:val="20"/>
          <w:szCs w:val="20"/>
        </w:rPr>
        <w:t xml:space="preserve">Erasmusstipendium — Luleå tekniska universitet, Université de Lorraine, Lappeenranta University of Technology — Sverige, Frankrike och Finland</w:t>
      </w:r>
    </w:p>
    <w:p>
      <w:pPr>
        <w:tabs>
          <w:tab w:val="right" w:pos="9026"/>
        </w:tabs>
        <w:spacing w:after="20" w:before="100"/>
      </w:pPr>
      <w:r>
        <w:rPr>
          <w:b/>
          <w:bCs/>
          <w:color w:val="1B4965"/>
          <w:sz w:val="22"/>
          <w:szCs w:val="22"/>
        </w:rPr>
        <w:t xml:space="preserve">Kandidatexamen, informations- och kommunikationsteknik (högsta betyg)</w:t>
      </w:r>
      <w:r>
        <w:rPr>
          <w:b/>
          <w:bCs/>
          <w:color w:val="595959"/>
          <w:sz w:val="20"/>
          <w:szCs w:val="20"/>
        </w:rPr>
        <w:t xml:space="preserve">	2004 – 2008</w:t>
      </w:r>
    </w:p>
    <w:p>
      <w:pPr>
        <w:spacing w:after="70"/>
      </w:pPr>
      <w:r>
        <w:rPr>
          <w:i/>
          <w:iCs/>
          <w:color w:val="595959"/>
          <w:sz w:val="20"/>
          <w:szCs w:val="20"/>
        </w:rPr>
        <w:t xml:space="preserve">University of Ghana, Accra, Ghana</w:t>
      </w:r>
    </w:p>
    <w:p>
      <w:pPr>
        <w:pStyle w:val="Heading1"/>
      </w:pPr>
      <w:r>
        <w:t xml:space="preserve">Arbetslivserfarenhet</w:t>
      </w:r>
    </w:p>
    <w:p>
      <w:pPr>
        <w:tabs>
          <w:tab w:val="right" w:pos="9026"/>
        </w:tabs>
        <w:spacing w:after="20" w:before="100"/>
      </w:pPr>
      <w:r>
        <w:rPr>
          <w:b/>
          <w:bCs/>
          <w:color w:val="1B4965"/>
          <w:sz w:val="22"/>
          <w:szCs w:val="22"/>
        </w:rPr>
        <w:t xml:space="preserve">Doktorand och projektmedarbetare</w:t>
      </w:r>
      <w:r>
        <w:rPr>
          <w:b/>
          <w:bCs/>
          <w:color w:val="595959"/>
          <w:sz w:val="20"/>
          <w:szCs w:val="20"/>
        </w:rPr>
        <w:t xml:space="preserve">	Augusti 2019 – November 2025</w:t>
      </w:r>
    </w:p>
    <w:p>
      <w:pPr>
        <w:spacing w:after="70"/>
      </w:pPr>
      <w:r>
        <w:rPr>
          <w:i/>
          <w:iCs/>
          <w:color w:val="595959"/>
          <w:sz w:val="20"/>
          <w:szCs w:val="20"/>
        </w:rPr>
        <w:t xml:space="preserve">Chalmers tekniska högskola, Institutionen för teknikens ekonomi och organisation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Planerade, koordinerade och genomförde en workshop om cirkulär ekonomi (2019) helt utan extern handledning — tog eget ansvar för materialutveckling, marknadsföring (inkl. posterdesign) och genomförande av workshopföreläsning, med genomgående positiv återkoppling från deltagarna.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Deltog aktivt i ett EU-finansierat projekt (2022–2025): närvarade vid samtliga projektmöten, bidrog till rapportering och använde insamlad data i forskning, vilket stärkte förståelsen för projektadministration och uppföljning i europeisk samarbetskontext.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Genomförde fältforskning i Sverige, Portugal och Ghana (2020–2025) i samarbete med offentliga, privata och akademiska aktörer, med fokus på hur hållbara entreprenörer driver framväxten av cirkulära ekosystem.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Ledde partnermobilisering i en EU–Afrika-projektansökan inriktad på AI och hälsoinnovation (2025): identifierade och kontaktade potentiella partners i Sverige, övriga Europa och Ghana, drev löpande engagemang och samskrev ansökan — som erhöll 12 av 15 möjliga poäng.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Publicerade “Circular Ecosystem Emergence and Orchestration by Sustainable Entrepreneurs” i Academy of Management Proceedings (2024), och bidrog därmed till den internationella diskursen om ekosystem, innovation och hållbar samhällsutveckling.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Presenterade forskning vid internationella konferenser: Academy of Management (USA, 2023), PROS-konferensen (Grekland, 2023) samt europeiska informationssystemkonferenser.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Undervisade och utvecklade självständigt föreläsningar och workshops för kurserna “Organizing for Innovation” (masternivå) och “Leading in a Digital World” (kandidatnivå).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Genomförde kurs i hållbart entreprenörskap inom ENHANCE-ramverket, vilket fördjupade förståelsen för europeiska samarbetsstrukturer och Chalmers roll i ENHANCE Alliance.</w:t>
      </w:r>
    </w:p>
    <w:p>
      <w:pPr>
        <w:tabs>
          <w:tab w:val="right" w:pos="9026"/>
        </w:tabs>
        <w:spacing w:after="20" w:before="100"/>
      </w:pPr>
      <w:r>
        <w:rPr>
          <w:b/>
          <w:bCs/>
          <w:color w:val="1B4965"/>
          <w:sz w:val="22"/>
          <w:szCs w:val="22"/>
        </w:rPr>
        <w:t xml:space="preserve">Produktchef / medgrundare</w:t>
      </w:r>
      <w:r>
        <w:rPr>
          <w:b/>
          <w:bCs/>
          <w:color w:val="595959"/>
          <w:sz w:val="20"/>
          <w:szCs w:val="20"/>
        </w:rPr>
        <w:t xml:space="preserve">	December 2025 – Nuvarande</w:t>
      </w:r>
    </w:p>
    <w:p>
      <w:pPr>
        <w:spacing w:after="70"/>
      </w:pPr>
      <w:r>
        <w:rPr>
          <w:i/>
          <w:iCs/>
          <w:color w:val="595959"/>
          <w:sz w:val="20"/>
          <w:szCs w:val="20"/>
        </w:rPr>
        <w:t xml:space="preserve">ReleevAI, Ghana (remote)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Leder forskningsdriven teknologisk innovation för sjukvård i Ghana.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Översätter användarkrav till tekniska krav för att bygga en LLM-lösning som löser nuvarande tillgänglighets- och språkutmaningar inom Ghanas sjukvård.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Genomför marknadsundersökningar och konkurrensanalys för att säkerställa produktens livskraft.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Leder tvärfunktionella team för att definiera produktvision och färdplan.</w:t>
      </w:r>
    </w:p>
    <w:p>
      <w:pPr>
        <w:tabs>
          <w:tab w:val="right" w:pos="9026"/>
        </w:tabs>
        <w:spacing w:after="20" w:before="100"/>
      </w:pPr>
      <w:r>
        <w:rPr>
          <w:b/>
          <w:bCs/>
          <w:color w:val="1B4965"/>
          <w:sz w:val="22"/>
          <w:szCs w:val="22"/>
        </w:rPr>
        <w:t xml:space="preserve">Mjukvaruutvecklare (praktik)</w:t>
      </w:r>
      <w:r>
        <w:rPr>
          <w:b/>
          <w:bCs/>
          <w:color w:val="595959"/>
          <w:sz w:val="20"/>
          <w:szCs w:val="20"/>
        </w:rPr>
        <w:t xml:space="preserve">	Januari 2019 – Augusti 2019</w:t>
      </w:r>
    </w:p>
    <w:p>
      <w:pPr>
        <w:spacing w:after="70"/>
      </w:pPr>
      <w:r>
        <w:rPr>
          <w:i/>
          <w:iCs/>
          <w:color w:val="595959"/>
          <w:sz w:val="20"/>
          <w:szCs w:val="20"/>
        </w:rPr>
        <w:t xml:space="preserve">TietoEvry Sweden, Hälso- och sjukvård, Skellefteå, Sverige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Samutvecklade anpassade applikationer med KnockoutJS, Bootstrap och C#.Net-ramverket enligt UI-design.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Arbetade i dynamiska scrum-team.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Samarbetade med tvärfunktionella team, UX-teamet och produktägare för att designa användarvänliga gränssnitt för vårdprogramvara.</w:t>
      </w:r>
    </w:p>
    <w:p>
      <w:pPr>
        <w:tabs>
          <w:tab w:val="right" w:pos="9026"/>
        </w:tabs>
        <w:spacing w:after="20" w:before="100"/>
      </w:pPr>
      <w:r>
        <w:rPr>
          <w:b/>
          <w:bCs/>
          <w:color w:val="1B4965"/>
          <w:sz w:val="22"/>
          <w:szCs w:val="22"/>
        </w:rPr>
        <w:t xml:space="preserve">Medgrundare / Produktchef</w:t>
      </w:r>
      <w:r>
        <w:rPr>
          <w:b/>
          <w:bCs/>
          <w:color w:val="595959"/>
          <w:sz w:val="20"/>
          <w:szCs w:val="20"/>
        </w:rPr>
        <w:t xml:space="preserve">	Juli 2011 – Januari 2017</w:t>
      </w:r>
    </w:p>
    <w:p>
      <w:pPr>
        <w:spacing w:after="70"/>
      </w:pPr>
      <w:r>
        <w:rPr>
          <w:i/>
          <w:iCs/>
          <w:color w:val="595959"/>
          <w:sz w:val="20"/>
          <w:szCs w:val="20"/>
        </w:rPr>
        <w:t xml:space="preserve">NewTouch Technologies, Accra, Ghana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Levererade internet- och molntjänster till små och medelstora företag och förbättrade deras operativa kapacitet.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Utvecklade varumärkesidentiteter online för företag genom omdesign av webbplatser och varumärkesbyggande på sociala medier, vilket ökade deras synlighet.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Erbjöd konsultation till SMF om IT-drivna tjänster och vägledde dem i teknikadoption och integration.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Implementerade konverteringsspårning/Google Analytics på webbplatser.</w:t>
      </w:r>
    </w:p>
    <w:p>
      <w:pPr>
        <w:pStyle w:val="Heading1"/>
      </w:pPr>
      <w:r>
        <w:t xml:space="preserve">Datorkunskaper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Atlas.TI – kvalitativ dataanalys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NVivo – kvalitativ dataanalys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Otter.ai – transkribering, dataanalys och mötessammanfattningar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Microsoft Power BI – dataanalys och visualisering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Microsoft Office – skriv- och presentationsverktyg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Innehållsskapande för sociala medier</w:t>
      </w:r>
    </w:p>
    <w:p>
      <w:pPr>
        <w:pStyle w:val="ListParagraph"/>
        <w:numPr>
          <w:ilvl w:val="0"/>
          <w:numId w:val="2"/>
        </w:numPr>
        <w:spacing w:after="15" w:line="220"/>
      </w:pPr>
      <w:r>
        <w:rPr>
          <w:color w:val="262626"/>
          <w:sz w:val="21"/>
          <w:szCs w:val="21"/>
        </w:rPr>
        <w:t xml:space="preserve">Videoredigering och grafisk design</w:t>
      </w:r>
    </w:p>
    <w:p>
      <w:pPr>
        <w:pStyle w:val="Heading1"/>
      </w:pPr>
      <w:r>
        <w:t xml:space="preserve">Referenser</w:t>
      </w:r>
    </w:p>
    <w:p>
      <w:pPr>
        <w:spacing w:after="15" w:before="100"/>
      </w:pPr>
      <w:r>
        <w:rPr>
          <w:b/>
          <w:bCs/>
          <w:color w:val="1B4965"/>
          <w:sz w:val="22"/>
          <w:szCs w:val="22"/>
        </w:rPr>
        <w:t xml:space="preserve">Prof. Robin Teigland</w:t>
      </w:r>
    </w:p>
    <w:p>
      <w:pPr>
        <w:spacing w:after="15"/>
      </w:pPr>
      <w:r>
        <w:rPr>
          <w:i/>
          <w:iCs/>
          <w:color w:val="595959"/>
          <w:sz w:val="20"/>
          <w:szCs w:val="20"/>
        </w:rPr>
        <w:t xml:space="preserve">Entreprenörskap och strategi, Institutionen för teknikens ekonomi och organisation, Chalmers tekniska högskola</w:t>
      </w:r>
    </w:p>
    <w:p>
      <w:pPr>
        <w:spacing w:after="60"/>
      </w:pPr>
      <w:r>
        <w:rPr>
          <w:color w:val="595959"/>
          <w:sz w:val="20"/>
          <w:szCs w:val="20"/>
        </w:rPr>
        <w:t xml:space="preserve">+46 31 772 65 58   ·   robin.teigland@chalmers.se</w:t>
      </w:r>
    </w:p>
    <w:p>
      <w:pPr>
        <w:spacing w:after="15" w:before="100"/>
      </w:pPr>
      <w:r>
        <w:rPr>
          <w:b/>
          <w:bCs/>
          <w:color w:val="1B4965"/>
          <w:sz w:val="22"/>
          <w:szCs w:val="22"/>
        </w:rPr>
        <w:t xml:space="preserve">Prof. Lisen Selander</w:t>
      </w:r>
    </w:p>
    <w:p>
      <w:pPr>
        <w:spacing w:after="15"/>
      </w:pPr>
      <w:r>
        <w:rPr>
          <w:i/>
          <w:iCs/>
          <w:color w:val="595959"/>
          <w:sz w:val="20"/>
          <w:szCs w:val="20"/>
        </w:rPr>
        <w:t xml:space="preserve">Institutionen för tillämpad IT, Informatik, Göteborgs universitet</w:t>
      </w:r>
    </w:p>
    <w:p>
      <w:pPr>
        <w:spacing w:after="60"/>
      </w:pPr>
      <w:r>
        <w:rPr>
          <w:color w:val="595959"/>
          <w:sz w:val="20"/>
          <w:szCs w:val="20"/>
        </w:rPr>
        <w:t xml:space="preserve">+46 31 786 27 25   ·   lisen.selander@ait.gu.se</w:t>
      </w:r>
    </w:p>
    <w:sectPr>
      <w:pgSz w:w="11906" w:h="16838" w:orient="portrait"/>
      <w:pgMar w:top="380" w:right="1260" w:bottom="3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965" w:sz="6" w:space="4"/>
      </w:pBdr>
      <w:spacing w:after="60" w:before="140"/>
      <w:outlineLvl w:val="0"/>
    </w:pPr>
    <w:rPr>
      <w:rFonts w:ascii="Arial" w:cs="Arial" w:eastAsia="Arial" w:hAnsi="Arial"/>
      <w:b/>
      <w:bCs/>
      <w:caps/>
      <w:color w:val="1B496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2026-06-28T18:34:09.339Z</dcterms:created>
  <dcterms:modified xsi:type="dcterms:W3CDTF">2026-06-28T18:34:09.352Z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