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Kode Warna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PrChange w:author="HAMNAH AL ATSARIYAH" w:id="0" w:date="2021-10-14T16:19:19Z">
            <w:rPr/>
          </w:rPrChange>
        </w:rPr>
        <w:pPrChange w:author="HAMNAH AL ATSARIYAH" w:id="0" w:date="2021-10-14T16:19:19Z">
          <w:pPr/>
        </w:pPrChange>
      </w:pPr>
      <w:r w:rsidDel="00000000" w:rsidR="00000000" w:rsidRPr="00000000">
        <w:rPr>
          <w:rtl w:val="0"/>
        </w:rPr>
        <w:t xml:space="preserve">Header+Footer: #f491b1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2483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289" l="5234" r="8456" t="2174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8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Tombol button mulai belajar: #f79699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lesson icon: #f491b1 tranparansi 20%</w:t>
      </w:r>
    </w:p>
    <w:p w:rsidR="00000000" w:rsidDel="00000000" w:rsidP="00000000" w:rsidRDefault="00000000" w:rsidRPr="00000000" w14:paraId="00000006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Transparansi Gambar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tl w:val="0"/>
        </w:rPr>
        <w:t xml:space="preserve">Top Wrapper: 35 %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