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Three Deliverables</w:t>
      </w:r>
    </w:p>
    <w:p>
      <w:r>
        <w:rPr>
          <w:i/>
          <w:color w:val="5A6B7E"/>
        </w:rPr>
      </w:r>
      <w:r>
        <w:rPr>
          <w:b w:val="0"/>
          <w:i/>
          <w:color w:val="5A6B7E"/>
        </w:rPr>
        <w:t>These three files are everything you need for the entire workshop.</w:t>
      </w:r>
    </w:p>
    <w:p>
      <w:pPr>
        <w:pStyle w:val="ListBullet"/>
      </w:pPr>
      <w:r>
        <w:rPr>
          <w:b/>
          <w:i w:val="0"/>
        </w:rPr>
        <w:t>1. Slide Deck:</w:t>
      </w:r>
      <w:hyperlink r:id="rId9">
        <w:r>
          <w:rPr>
            <w:color w:val="0563C1"/>
            <w:u w:val="single"/>
          </w:rPr>
          <w:t xml:space="preserve">Digital Learning Unlocked - Slide Deck.pptx</w:t>
        </w:r>
      </w:hyperlink>
      <w:r>
        <w:rPr>
          <w:b w:val="0"/>
          <w:i w:val="0"/>
        </w:rPr>
        <w:t>, 14 slides. Signposts, not the source of truth: each slide moves the argument forward or marks which section of the website you are in. All the content, tool tables, prompts, and demos live on the Workshop Guide (projected) and on attendees' phones. Present from this.</w:t>
      </w:r>
    </w:p>
    <w:p>
      <w:pPr>
        <w:pStyle w:val="ListBullet"/>
      </w:pPr>
      <w:r>
        <w:rPr>
          <w:b/>
          <w:i w:val="0"/>
        </w:rPr>
        <w:t>2. Workshop Guide:</w:t>
      </w:r>
      <w:hyperlink r:id="rId10">
        <w:r>
          <w:rPr>
            <w:color w:val="0563C1"/>
            <w:u w:val="single"/>
          </w:rPr>
          <w:t xml:space="preserve">Digital Learning Unlocked - Workshop Guide.html</w:t>
        </w:r>
      </w:hyperlink>
      <w:r>
        <w:rPr>
          <w:b w:val="0"/>
          <w:i w:val="0"/>
        </w:rPr>
        <w:t>, Audience-facing page. Attendees open this on their phones. Contains tool tables, demo links, prompt templates, worksheet, and all resources. Share via QR code.</w:t>
      </w:r>
    </w:p>
    <w:p>
      <w:pPr>
        <w:pStyle w:val="ListBullet"/>
      </w:pPr>
      <w:r>
        <w:rPr>
          <w:b/>
          <w:i w:val="0"/>
        </w:rPr>
        <w:t>3. Presenter Notes:</w:t>
      </w:r>
      <w:hyperlink r:id="rId11">
        <w:r>
          <w:rPr>
            <w:color w:val="0563C1"/>
            <w:u w:val="single"/>
          </w:rPr>
          <w:t xml:space="preserve">Digital Learning Unlocked - Presenter Notes.html</w:t>
        </w:r>
      </w:hyperlink>
      <w:r>
        <w:rPr>
          <w:b w:val="0"/>
          <w:i w:val="0"/>
        </w:rPr>
        <w:t>, This document. Walks you through every slide with timing, what the audience does, and what you say.</w:t>
      </w:r>
    </w:p>
    <w:p>
      <w:r>
        <w:rPr>
          <w:b/>
          <w:i w:val="0"/>
        </w:rPr>
        <w:t>Demo files</w:t>
      </w:r>
      <w:r>
        <w:rPr>
          <w:b w:val="0"/>
          <w:i w:val="0"/>
        </w:rPr>
        <w:t>(attendees access via links in the Workshop Guide, not directly):</w:t>
      </w:r>
    </w:p>
    <w:p>
      <w:pPr>
        <w:pStyle w:val="ListBullet"/>
      </w:pPr>
      <w:hyperlink r:id="rId12">
        <w:r>
          <w:rPr>
            <w:color w:val="0563C1"/>
            <w:u w:val="single"/>
          </w:rPr>
          <w:t xml:space="preserve">workshop-branching-demo.html</w:t>
        </w:r>
      </w:hyperlink>
      <w:r>
        <w:rPr>
          <w:b w:val="0"/>
          <w:i w:val="0"/>
        </w:rPr>
        <w:t>, The static branching case (19yo peritonsillar abscess, the Demo 1 artifact, now with the instructor results download)</w:t>
      </w:r>
    </w:p>
    <w:p>
      <w:pPr>
        <w:pStyle w:val="ListBullet"/>
      </w:pPr>
      <w:hyperlink r:id="rId13">
        <w:r>
          <w:rPr>
            <w:color w:val="0563C1"/>
            <w:u w:val="single"/>
          </w:rPr>
          <w:t xml:space="preserve">workshop-case-demo.html</w:t>
        </w:r>
      </w:hyperlink>
      <w:r>
        <w:rPr>
          <w:b w:val="0"/>
          <w:i w:val="0"/>
        </w:rPr>
        <w:t>, Interactive clinical reasoning case (pericarditis)</w:t>
      </w:r>
    </w:p>
    <w:p>
      <w:pPr>
        <w:pStyle w:val="Heading1"/>
      </w:pPr>
      <w:r>
        <w:t>Full Agenda at a Glance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9"/>
              </w:rPr>
              <w:t>Time</w:t>
            </w:r>
          </w:p>
        </w:tc>
        <w:tc>
          <w:tcPr>
            <w:tcW w:type="dxa" w:w="2160"/>
          </w:tcPr>
          <w:p>
            <w:pPr>
              <w:spacing w:after="40"/>
            </w:pPr>
            <w:r>
              <w:rPr>
                <w:b/>
                <w:sz w:val="19"/>
              </w:rPr>
              <w:t>Min</w:t>
            </w:r>
          </w:p>
        </w:tc>
        <w:tc>
          <w:tcPr>
            <w:tcW w:type="dxa" w:w="2160"/>
          </w:tcPr>
          <w:p>
            <w:pPr>
              <w:spacing w:after="40"/>
            </w:pPr>
            <w:r>
              <w:rPr>
                <w:b/>
                <w:sz w:val="19"/>
              </w:rPr>
              <w:t>Segment</w:t>
            </w:r>
          </w:p>
        </w:tc>
        <w:tc>
          <w:tcPr>
            <w:tcW w:type="dxa" w:w="2160"/>
          </w:tcPr>
          <w:p>
            <w:pPr>
              <w:spacing w:after="40"/>
            </w:pPr>
            <w:r>
              <w:rPr>
                <w:b/>
                <w:sz w:val="19"/>
              </w:rPr>
              <w:t>Slides</w:t>
            </w:r>
          </w:p>
        </w:tc>
      </w:tr>
      <w:tr>
        <w:tc>
          <w:tcPr>
            <w:tcW w:type="dxa" w:w="2160"/>
          </w:tcPr>
          <w:p>
            <w:pPr>
              <w:spacing w:after="40"/>
            </w:pPr>
            <w:r>
              <w:rPr>
                <w:b w:val="0"/>
              </w:rPr>
              <w:t>0:00–0:04</w:t>
            </w:r>
          </w:p>
        </w:tc>
        <w:tc>
          <w:tcPr>
            <w:tcW w:type="dxa" w:w="2160"/>
          </w:tcPr>
          <w:p>
            <w:pPr>
              <w:spacing w:after="40"/>
            </w:pPr>
            <w:r>
              <w:rPr>
                <w:b w:val="0"/>
              </w:rPr>
              <w:t>4</w:t>
            </w:r>
          </w:p>
        </w:tc>
        <w:tc>
          <w:tcPr>
            <w:tcW w:type="dxa" w:w="2160"/>
          </w:tcPr>
          <w:p>
            <w:pPr>
              <w:spacing w:after="40"/>
            </w:pPr>
            <w:r>
              <w:rPr>
                <w:b w:val="0"/>
              </w:rPr>
              <w:t>Welcome &amp; Framing</w:t>
            </w:r>
          </w:p>
        </w:tc>
        <w:tc>
          <w:tcPr>
            <w:tcW w:type="dxa" w:w="2160"/>
          </w:tcPr>
          <w:p>
            <w:pPr>
              <w:spacing w:after="40"/>
            </w:pPr>
            <w:r>
              <w:rPr>
                <w:b w:val="0"/>
              </w:rPr>
              <w:t>1–3</w:t>
            </w:r>
          </w:p>
        </w:tc>
      </w:tr>
      <w:tr>
        <w:tc>
          <w:tcPr>
            <w:tcW w:type="dxa" w:w="2160"/>
          </w:tcPr>
          <w:p>
            <w:pPr>
              <w:spacing w:after="40"/>
            </w:pPr>
            <w:r>
              <w:rPr>
                <w:b w:val="0"/>
              </w:rPr>
              <w:t>0:04–0:06</w:t>
            </w:r>
          </w:p>
        </w:tc>
        <w:tc>
          <w:tcPr>
            <w:tcW w:type="dxa" w:w="2160"/>
          </w:tcPr>
          <w:p>
            <w:pPr>
              <w:spacing w:after="40"/>
            </w:pPr>
            <w:r>
              <w:rPr>
                <w:b w:val="0"/>
              </w:rPr>
              <w:t>2</w:t>
            </w:r>
          </w:p>
        </w:tc>
        <w:tc>
          <w:tcPr>
            <w:tcW w:type="dxa" w:w="2160"/>
          </w:tcPr>
          <w:p>
            <w:pPr>
              <w:spacing w:after="40"/>
            </w:pPr>
            <w:r>
              <w:rPr>
                <w:b w:val="0"/>
              </w:rPr>
              <w:t>Where the material comes from: MedEdPORTAL + the six case files</w:t>
            </w:r>
          </w:p>
        </w:tc>
        <w:tc>
          <w:tcPr>
            <w:tcW w:type="dxa" w:w="2160"/>
          </w:tcPr>
          <w:p>
            <w:pPr>
              <w:spacing w:after="40"/>
            </w:pPr>
            <w:r>
              <w:rPr>
                <w:b w:val="0"/>
              </w:rPr>
              <w:t>4</w:t>
            </w:r>
          </w:p>
        </w:tc>
      </w:tr>
      <w:tr>
        <w:tc>
          <w:tcPr>
            <w:tcW w:type="dxa" w:w="2160"/>
          </w:tcPr>
          <w:p>
            <w:pPr>
              <w:spacing w:after="40"/>
            </w:pPr>
            <w:r>
              <w:rPr>
                <w:b w:val="0"/>
              </w:rPr>
              <w:t>0:06–0:11</w:t>
            </w:r>
          </w:p>
        </w:tc>
        <w:tc>
          <w:tcPr>
            <w:tcW w:type="dxa" w:w="2160"/>
          </w:tcPr>
          <w:p>
            <w:pPr>
              <w:spacing w:after="40"/>
            </w:pPr>
            <w:r>
              <w:rPr>
                <w:b w:val="0"/>
              </w:rPr>
              <w:t>5</w:t>
            </w:r>
          </w:p>
        </w:tc>
        <w:tc>
          <w:tcPr>
            <w:tcW w:type="dxa" w:w="2160"/>
          </w:tcPr>
          <w:p>
            <w:pPr>
              <w:spacing w:after="40"/>
            </w:pPr>
            <w:r>
              <w:rPr>
                <w:b w:val="0"/>
              </w:rPr>
              <w:t>Demo 1: AI builds the static case (show once, then they play)</w:t>
            </w:r>
          </w:p>
        </w:tc>
        <w:tc>
          <w:tcPr>
            <w:tcW w:type="dxa" w:w="2160"/>
          </w:tcPr>
          <w:p>
            <w:pPr>
              <w:spacing w:after="40"/>
            </w:pPr>
            <w:r>
              <w:rPr>
                <w:b w:val="0"/>
              </w:rPr>
              <w:t>5</w:t>
            </w:r>
          </w:p>
        </w:tc>
      </w:tr>
      <w:tr>
        <w:tc>
          <w:tcPr>
            <w:tcW w:type="dxa" w:w="2160"/>
          </w:tcPr>
          <w:p>
            <w:pPr>
              <w:spacing w:after="40"/>
            </w:pPr>
            <w:r>
              <w:rPr>
                <w:b w:val="0"/>
              </w:rPr>
              <w:t>0:11–0:18</w:t>
            </w:r>
          </w:p>
        </w:tc>
        <w:tc>
          <w:tcPr>
            <w:tcW w:type="dxa" w:w="2160"/>
          </w:tcPr>
          <w:p>
            <w:pPr>
              <w:spacing w:after="40"/>
            </w:pPr>
            <w:r>
              <w:rPr>
                <w:b w:val="0"/>
              </w:rPr>
              <w:t>7</w:t>
            </w:r>
          </w:p>
        </w:tc>
        <w:tc>
          <w:tcPr>
            <w:tcW w:type="dxa" w:w="2160"/>
          </w:tcPr>
          <w:p>
            <w:pPr>
              <w:spacing w:after="40"/>
            </w:pPr>
            <w:r>
              <w:rPr>
                <w:b w:val="0"/>
              </w:rPr>
              <w:t>Demo 2: the same case, live and grounded (they build and run) + table talk</w:t>
            </w:r>
          </w:p>
        </w:tc>
        <w:tc>
          <w:tcPr>
            <w:tcW w:type="dxa" w:w="2160"/>
          </w:tcPr>
          <w:p>
            <w:pPr>
              <w:spacing w:after="40"/>
            </w:pPr>
            <w:r>
              <w:rPr>
                <w:b w:val="0"/>
              </w:rPr>
              <w:t>6–7</w:t>
            </w:r>
          </w:p>
        </w:tc>
      </w:tr>
      <w:tr>
        <w:tc>
          <w:tcPr>
            <w:tcW w:type="dxa" w:w="2160"/>
          </w:tcPr>
          <w:p>
            <w:pPr>
              <w:spacing w:after="40"/>
            </w:pPr>
            <w:r>
              <w:rPr>
                <w:b w:val="0"/>
              </w:rPr>
              <w:t>0:18–0:25</w:t>
            </w:r>
          </w:p>
        </w:tc>
        <w:tc>
          <w:tcPr>
            <w:tcW w:type="dxa" w:w="2160"/>
          </w:tcPr>
          <w:p>
            <w:pPr>
              <w:spacing w:after="40"/>
            </w:pPr>
            <w:r>
              <w:rPr>
                <w:b w:val="0"/>
              </w:rPr>
              <w:t>7</w:t>
            </w:r>
          </w:p>
        </w:tc>
        <w:tc>
          <w:tcPr>
            <w:tcW w:type="dxa" w:w="2160"/>
          </w:tcPr>
          <w:p>
            <w:pPr>
              <w:spacing w:after="40"/>
            </w:pPr>
            <w:r>
              <w:rPr>
                <w:b w:val="0"/>
              </w:rPr>
              <w:t>Demo 3: NotebookLM, grounding as the product (why we paired prompts with sources, tour + audio, 5 min poking)</w:t>
            </w:r>
          </w:p>
        </w:tc>
        <w:tc>
          <w:tcPr>
            <w:tcW w:type="dxa" w:w="2160"/>
          </w:tcPr>
          <w:p>
            <w:pPr>
              <w:spacing w:after="40"/>
            </w:pPr>
            <w:r>
              <w:rPr>
                <w:b w:val="0"/>
              </w:rPr>
              <w:t>8</w:t>
            </w:r>
          </w:p>
        </w:tc>
      </w:tr>
      <w:tr>
        <w:tc>
          <w:tcPr>
            <w:tcW w:type="dxa" w:w="2160"/>
          </w:tcPr>
          <w:p>
            <w:pPr>
              <w:spacing w:after="40"/>
            </w:pPr>
            <w:r>
              <w:rPr>
                <w:b w:val="0"/>
              </w:rPr>
              <w:t>0:25–0:28</w:t>
            </w:r>
          </w:p>
        </w:tc>
        <w:tc>
          <w:tcPr>
            <w:tcW w:type="dxa" w:w="2160"/>
          </w:tcPr>
          <w:p>
            <w:pPr>
              <w:spacing w:after="40"/>
            </w:pPr>
            <w:r>
              <w:rPr>
                <w:b w:val="0"/>
              </w:rPr>
              <w:t>3</w:t>
            </w:r>
          </w:p>
        </w:tc>
        <w:tc>
          <w:tcPr>
            <w:tcW w:type="dxa" w:w="2160"/>
          </w:tcPr>
          <w:p>
            <w:pPr>
              <w:spacing w:after="40"/>
            </w:pPr>
            <w:r>
              <w:rPr>
                <w:b w:val="0"/>
              </w:rPr>
              <w:t>Fidelity Spectrum + Think · Pair · Share: Match the Tool</w:t>
            </w:r>
          </w:p>
        </w:tc>
        <w:tc>
          <w:tcPr>
            <w:tcW w:type="dxa" w:w="2160"/>
          </w:tcPr>
          <w:p>
            <w:pPr>
              <w:spacing w:after="40"/>
            </w:pPr>
            <w:r>
              <w:rPr>
                <w:b w:val="0"/>
              </w:rPr>
              <w:t>9–10</w:t>
            </w:r>
          </w:p>
        </w:tc>
      </w:tr>
      <w:tr>
        <w:tc>
          <w:tcPr>
            <w:tcW w:type="dxa" w:w="2160"/>
          </w:tcPr>
          <w:p>
            <w:pPr>
              <w:spacing w:after="40"/>
            </w:pPr>
            <w:r>
              <w:rPr>
                <w:b w:val="0"/>
              </w:rPr>
              <w:t>0:28–0:52</w:t>
            </w:r>
          </w:p>
        </w:tc>
        <w:tc>
          <w:tcPr>
            <w:tcW w:type="dxa" w:w="2160"/>
          </w:tcPr>
          <w:p>
            <w:pPr>
              <w:spacing w:after="40"/>
            </w:pPr>
            <w:r>
              <w:rPr>
                <w:b w:val="0"/>
              </w:rPr>
              <w:t>24</w:t>
            </w:r>
          </w:p>
        </w:tc>
        <w:tc>
          <w:tcPr>
            <w:tcW w:type="dxa" w:w="2160"/>
          </w:tcPr>
          <w:p>
            <w:pPr>
              <w:spacing w:after="40"/>
            </w:pPr>
            <w:r>
              <w:rPr>
                <w:b w:val="0"/>
              </w:rPr>
              <w:t>The Build Block: make one real thing</w:t>
            </w:r>
          </w:p>
        </w:tc>
        <w:tc>
          <w:tcPr>
            <w:tcW w:type="dxa" w:w="2160"/>
          </w:tcPr>
          <w:p>
            <w:pPr>
              <w:spacing w:after="40"/>
            </w:pPr>
            <w:r>
              <w:rPr>
                <w:b w:val="0"/>
              </w:rPr>
              <w:t>11</w:t>
            </w:r>
          </w:p>
        </w:tc>
      </w:tr>
      <w:tr>
        <w:tc>
          <w:tcPr>
            <w:tcW w:type="dxa" w:w="2160"/>
          </w:tcPr>
          <w:p>
            <w:pPr>
              <w:spacing w:after="40"/>
            </w:pPr>
            <w:r>
              <w:rPr>
                <w:b w:val="0"/>
              </w:rPr>
              <w:t>0:52–0:56</w:t>
            </w:r>
          </w:p>
        </w:tc>
        <w:tc>
          <w:tcPr>
            <w:tcW w:type="dxa" w:w="2160"/>
          </w:tcPr>
          <w:p>
            <w:pPr>
              <w:spacing w:after="40"/>
            </w:pPr>
            <w:r>
              <w:rPr>
                <w:b w:val="0"/>
              </w:rPr>
              <w:t>4</w:t>
            </w:r>
          </w:p>
        </w:tc>
        <w:tc>
          <w:tcPr>
            <w:tcW w:type="dxa" w:w="2160"/>
          </w:tcPr>
          <w:p>
            <w:pPr>
              <w:spacing w:after="40"/>
            </w:pPr>
            <w:r>
              <w:rPr>
                <w:b w:val="0"/>
              </w:rPr>
              <w:t>Share-Out: a few cool things people made</w:t>
            </w:r>
          </w:p>
        </w:tc>
        <w:tc>
          <w:tcPr>
            <w:tcW w:type="dxa" w:w="2160"/>
          </w:tcPr>
          <w:p>
            <w:pPr>
              <w:spacing w:after="40"/>
            </w:pPr>
            <w:r>
              <w:rPr>
                <w:b w:val="0"/>
              </w:rPr>
              <w:t>12</w:t>
            </w:r>
          </w:p>
        </w:tc>
      </w:tr>
      <w:tr>
        <w:tc>
          <w:tcPr>
            <w:tcW w:type="dxa" w:w="2160"/>
          </w:tcPr>
          <w:p>
            <w:pPr>
              <w:spacing w:after="40"/>
            </w:pPr>
            <w:r>
              <w:rPr>
                <w:b w:val="0"/>
              </w:rPr>
              <w:t>0:56–0:58</w:t>
            </w:r>
          </w:p>
        </w:tc>
        <w:tc>
          <w:tcPr>
            <w:tcW w:type="dxa" w:w="2160"/>
          </w:tcPr>
          <w:p>
            <w:pPr>
              <w:spacing w:after="40"/>
            </w:pPr>
            <w:r>
              <w:rPr>
                <w:b w:val="0"/>
              </w:rPr>
              <w:t>2</w:t>
            </w:r>
          </w:p>
        </w:tc>
        <w:tc>
          <w:tcPr>
            <w:tcW w:type="dxa" w:w="2160"/>
          </w:tcPr>
          <w:p>
            <w:pPr>
              <w:spacing w:after="40"/>
            </w:pPr>
            <w:r>
              <w:rPr>
                <w:b w:val="0"/>
              </w:rPr>
              <w:t>Wrap-Up + Thank You</w:t>
            </w:r>
          </w:p>
        </w:tc>
        <w:tc>
          <w:tcPr>
            <w:tcW w:type="dxa" w:w="2160"/>
          </w:tcPr>
          <w:p>
            <w:pPr>
              <w:spacing w:after="40"/>
            </w:pPr>
            <w:r>
              <w:rPr>
                <w:b w:val="0"/>
              </w:rPr>
              <w:t>13–14</w:t>
            </w:r>
          </w:p>
        </w:tc>
      </w:tr>
      <w:tr>
        <w:tc>
          <w:tcPr>
            <w:tcW w:type="dxa" w:w="2160"/>
          </w:tcPr>
          <w:p>
            <w:pPr>
              <w:spacing w:after="40"/>
            </w:pPr>
            <w:r>
              <w:rPr>
                <w:b w:val="0"/>
              </w:rPr>
              <w:t>0:58–1:00</w:t>
            </w:r>
          </w:p>
        </w:tc>
        <w:tc>
          <w:tcPr>
            <w:tcW w:type="dxa" w:w="2160"/>
          </w:tcPr>
          <w:p>
            <w:pPr>
              <w:spacing w:after="40"/>
            </w:pPr>
            <w:r>
              <w:rPr>
                <w:b w:val="0"/>
              </w:rPr>
              <w:t>2</w:t>
            </w:r>
          </w:p>
        </w:tc>
        <w:tc>
          <w:tcPr>
            <w:tcW w:type="dxa" w:w="2160"/>
          </w:tcPr>
          <w:p>
            <w:pPr>
              <w:spacing w:after="40"/>
            </w:pPr>
            <w:r>
              <w:rPr>
                <w:b w:val="0"/>
              </w:rPr>
              <w:t>Buffer (protect the build block; use for Q&amp;A if on time)</w:t>
            </w:r>
          </w:p>
        </w:tc>
        <w:tc>
          <w:tcPr>
            <w:tcW w:type="dxa" w:w="2160"/>
          </w:tcPr>
          <w:p>
            <w:pPr>
              <w:spacing w:after="40"/>
            </w:pPr>
            <w:r>
              <w:rPr>
                <w:b w:val="0"/>
              </w:rPr>
            </w:r>
          </w:p>
        </w:tc>
      </w:tr>
    </w:tbl>
    <w:p>
      <w:pPr>
        <w:spacing w:after="80"/>
      </w:pPr>
    </w:p>
    <w:p>
      <w:pPr>
        <w:spacing w:before="160" w:after="40"/>
      </w:pPr>
      <w:r>
        <w:rPr>
          <w:b/>
          <w:color w:val="2D5F7C"/>
          <w:sz w:val="18"/>
        </w:rPr>
        <w:t>FLOW NOTE</w:t>
      </w:r>
    </w:p>
    <w:p>
      <w:r>
        <w:rPr>
          <w:b w:val="0"/>
          <w:i w:val="0"/>
        </w:rPr>
        <w:t>The session is build-first: three short demos the audience plays along with (static case, dynamic case, notebook), a table conversation between them, then one long build block at the end where everyone makes a real thing and shares it out. The fidelity slides keep their classic Think · Pair · Share.</w:t>
      </w:r>
    </w:p>
    <w:p>
      <w:pPr>
        <w:spacing w:before="160" w:after="40"/>
      </w:pPr>
      <w:r>
        <w:rPr>
          <w:b/>
          <w:color w:val="2D5F7C"/>
          <w:sz w:val="18"/>
        </w:rPr>
        <w:t>PACING TIP</w:t>
      </w:r>
    </w:p>
    <w:p>
      <w:r>
        <w:rPr>
          <w:b w:val="0"/>
          <w:i w:val="0"/>
        </w:rPr>
        <w:t>This is a fast-paced 60-minute session. The 1-minute slides are targets: if you're running behind, trim them to 30–45 seconds rather than cutting demo play time. Protect the build block above all; it can flex from 20 to 25 minutes (end the share-out early or let it ride into the buffer). If everything runs long, the buffer absorbs it.</w:t>
      </w:r>
    </w:p>
    <w:p>
      <w:pPr>
        <w:pStyle w:val="Heading1"/>
      </w:pPr>
      <w:r>
        <w:t>Slide-by-Slide Notes</w:t>
      </w:r>
    </w:p>
    <w:p>
      <w:pPr>
        <w:pStyle w:val="Heading2"/>
      </w:pPr>
      <w:r>
        <w:t>Slide 1: Title</w:t>
      </w:r>
      <w:r>
        <w:rPr>
          <w:color w:val="2D5F7C"/>
          <w:sz w:val="21"/>
        </w:rPr>
        <w:t xml:space="preserve">  ·  0:00–0:01 (1 min)</w:t>
      </w:r>
    </w:p>
    <w:p>
      <w:pPr>
        <w:spacing w:before="160" w:after="40"/>
      </w:pPr>
      <w:r>
        <w:rPr>
          <w:b/>
          <w:color w:val="C66A28"/>
          <w:sz w:val="18"/>
        </w:rPr>
        <w:t>SPEAKER DOES</w:t>
      </w:r>
    </w:p>
    <w:p>
      <w:r>
        <w:rPr>
          <w:b w:val="0"/>
          <w:i w:val="0"/>
        </w:rPr>
        <w:t>Display the title slide as people settle. Wait for the room to quiet. Show the QR code on screen (or display the URL for the Workshop Guide page). Ask people to open it on their phones now. The tool tables at the top of Section 2 are the settling-in browse: pricing, links, and use cases for everything we touch today.</w:t>
      </w:r>
    </w:p>
    <w:p>
      <w:pPr>
        <w:spacing w:before="160" w:after="40"/>
      </w:pPr>
      <w:r>
        <w:rPr>
          <w:b/>
          <w:color w:val="2D5F7C"/>
          <w:sz w:val="18"/>
        </w:rPr>
        <w:t>AUDIENCE DOES</w:t>
      </w:r>
    </w:p>
    <w:p>
      <w:r>
        <w:rPr>
          <w:b w:val="0"/>
          <w:i w:val="0"/>
        </w:rPr>
        <w:t>Opens the Workshop Guide page on their phone or laptop. Scans QR code or types URL, then browses the tool tables at the top of Section 2 while the room settles.</w:t>
      </w:r>
    </w:p>
    <w:p>
      <w:pPr>
        <w:pStyle w:val="Heading2"/>
      </w:pPr>
      <w:r>
        <w:t>Slide 2: Welcome &amp; Framing</w:t>
      </w:r>
      <w:r>
        <w:rPr>
          <w:color w:val="2D5F7C"/>
          <w:sz w:val="21"/>
        </w:rPr>
        <w:t xml:space="preserve">  ·  0:01–0:02 (1 min)</w:t>
      </w:r>
    </w:p>
    <w:p>
      <w:pPr>
        <w:spacing w:before="160" w:after="40"/>
      </w:pPr>
      <w:r>
        <w:rPr>
          <w:b/>
          <w:color w:val="C66A28"/>
          <w:sz w:val="18"/>
        </w:rPr>
        <w:t>SPEAKER SAYS</w:t>
      </w:r>
    </w:p>
    <w:p>
      <w:r>
        <w:rPr>
          <w:b w:val="0"/>
          <w:i w:val="0"/>
        </w:rPr>
        <w:t>"I'm a PA-C and a program director, not a technology expert. Everything I'm going to show you today, I learned because I needed it, not because I'm a tech person. In the next 60 minutes, I'll show you tools that can save you hours of curriculum development time, cost little to nothing, and are available right now. And then you're going to use one of them to build something you can take back to your program this week."</w:t>
      </w:r>
    </w:p>
    <w:p>
      <w:r>
        <w:rPr>
          <w:b/>
          <w:i w:val="0"/>
        </w:rPr>
        <w:t>Quick poll:</w:t>
      </w:r>
      <w:r>
        <w:rPr>
          <w:b w:val="0"/>
          <w:i w:val="0"/>
        </w:rPr>
        <w:t>"Raise your hand if you've used an AI tool for curriculum development in the last 30 days." Gauge the room.</w:t>
      </w:r>
    </w:p>
    <w:p>
      <w:pPr>
        <w:pStyle w:val="Heading2"/>
      </w:pPr>
      <w:r>
        <w:t>Slide 3: COI &amp; Session Format</w:t>
      </w:r>
      <w:r>
        <w:rPr>
          <w:color w:val="2D5F7C"/>
          <w:sz w:val="21"/>
        </w:rPr>
        <w:t xml:space="preserve">  ·  0:02–0:04 (2 min)</w:t>
      </w:r>
    </w:p>
    <w:p>
      <w:pPr>
        <w:spacing w:before="160" w:after="40"/>
      </w:pPr>
      <w:r>
        <w:rPr>
          <w:b/>
          <w:color w:val="C66A28"/>
          <w:sz w:val="18"/>
        </w:rPr>
        <w:t>SPEAKER SAYS</w:t>
      </w:r>
    </w:p>
    <w:p>
      <w:r>
        <w:rPr>
          <w:b w:val="0"/>
          <w:i w:val="0"/>
        </w:rPr>
        <w:t>"I want to be transparent: my work in AI and simulation led to the co-development of a clinical reasoning assessment platform (Sapient Clinician). This session is vendor-neutral. We have 60 minutes: three short demos you play along with, then a long build block at the end where you make one real thing. We'll use the page you opened for the entire session, keep it on your phone. Short table conversations between demos, and everything stays available after the conference, including every prompt."</w:t>
      </w:r>
    </w:p>
    <w:p>
      <w:pPr>
        <w:spacing w:before="160" w:after="40"/>
      </w:pPr>
      <w:r>
        <w:rPr>
          <w:b/>
          <w:color w:val="2D5F7C"/>
          <w:sz w:val="18"/>
        </w:rPr>
        <w:t>AUDIENCE DOES</w:t>
      </w:r>
    </w:p>
    <w:p>
      <w:r>
        <w:rPr>
          <w:b w:val="0"/>
          <w:i w:val="0"/>
        </w:rPr>
        <w:t>Scrolls to Section 1 on the Workshop Guide. Reads the COI disclosure and session format.</w:t>
      </w:r>
    </w:p>
    <w:p>
      <w:pPr>
        <w:pStyle w:val="Heading2"/>
      </w:pPr>
      <w:r>
        <w:t>Slide 4: Great Cases Already Exist, Free</w:t>
      </w:r>
      <w:r>
        <w:rPr>
          <w:color w:val="2D5F7C"/>
          <w:sz w:val="21"/>
        </w:rPr>
        <w:t xml:space="preserve">  ·  0:04–0:06 (2 min)</w:t>
      </w:r>
    </w:p>
    <w:p>
      <w:pPr>
        <w:spacing w:before="160" w:after="40"/>
      </w:pPr>
      <w:r>
        <w:rPr>
          <w:b/>
          <w:color w:val="C66A28"/>
          <w:sz w:val="18"/>
        </w:rPr>
        <w:t>SPEAKER SAYS</w:t>
      </w:r>
    </w:p>
    <w:p>
      <w:r>
        <w:rPr>
          <w:b w:val="0"/>
          <w:i w:val="0"/>
        </w:rPr>
        <w:t>"Before we build anything: where does the material come from? You just scrolled past it in your tool tables: MedEdPORTAL, from the AAMC, peer-reviewed, published, free teaching cases. You never start from a blank page. For the next few activities I chose this particular case from MedEdPORTAL: a peritonsillar abscess case, six published files, the narrative, the labs, the EKG, the CT, the chest X-ray, and the faculty rubric. Everything we build today is grounded in those same six files."</w:t>
      </w:r>
    </w:p>
    <w:p>
      <w:pPr>
        <w:spacing w:before="160" w:after="40"/>
      </w:pPr>
      <w:r>
        <w:rPr>
          <w:b/>
          <w:color w:val="2D5F7C"/>
          <w:sz w:val="18"/>
        </w:rPr>
        <w:t>AUDIENCE DOES</w:t>
      </w:r>
    </w:p>
    <w:p>
      <w:r>
        <w:rPr>
          <w:b w:val="0"/>
          <w:i w:val="0"/>
        </w:rPr>
        <w:t>Downloads (or bookmarks) the six case files from the Running Example in Section 2 of the guide. They will upload these files in both demos.</w:t>
      </w:r>
    </w:p>
    <w:p>
      <w:pPr>
        <w:pStyle w:val="Heading2"/>
      </w:pPr>
      <w:r>
        <w:t>Slide 5: Demo 1: AI Builds the Static Case</w:t>
      </w:r>
      <w:r>
        <w:rPr>
          <w:color w:val="2D5F7C"/>
          <w:sz w:val="21"/>
        </w:rPr>
        <w:t xml:space="preserve">  ·  0:06–0:11 (5 min)</w:t>
      </w:r>
    </w:p>
    <w:p>
      <w:pPr>
        <w:spacing w:before="160" w:after="40"/>
      </w:pPr>
      <w:r>
        <w:rPr>
          <w:b/>
          <w:color w:val="C66A28"/>
          <w:sz w:val="18"/>
        </w:rPr>
        <w:t>SPEAKER SAYS</w:t>
      </w:r>
    </w:p>
    <w:p>
      <w:r>
        <w:rPr>
          <w:b w:val="0"/>
          <w:i w:val="0"/>
        </w:rPr>
        <w:t>"Watch once, then play. [On screen: new chat, upload the six case files, paste Prompt 1 from Section 2.] Instead of building this in H5P, AI writes the case as one HTML file: a complete branching scenario. Look how much the prompt specifies: the structure, the reasoning box at every decision, the debrief screen, even the button that downloads the student's results as a text file for the instructor. The more you give the chatbot, the less you leave to chance."</w:t>
      </w:r>
    </w:p>
    <w:p>
      <w:r>
        <w:rPr>
          <w:b w:val="0"/>
          <w:i w:val="0"/>
        </w:rPr>
        <w:t>"Now play the finished version, linked in Section 2. You're the student: click through, type your reasoning at each decision, and at the end press Download results for your instructor. That file is what you'd receive back: not just what they chose, but how they reasoned. Static means every learner sees the same case with the same published numbers."</w:t>
      </w:r>
    </w:p>
    <w:p>
      <w:pPr>
        <w:spacing w:before="160" w:after="40"/>
      </w:pPr>
      <w:r>
        <w:rPr>
          <w:b/>
          <w:color w:val="2D5F7C"/>
          <w:sz w:val="18"/>
        </w:rPr>
        <w:t>AUDIENCE DOES</w:t>
      </w:r>
    </w:p>
    <w:p>
      <w:r>
        <w:rPr>
          <w:b w:val="0"/>
          <w:i w:val="0"/>
        </w:rPr>
        <w:t>Plays the pre-built static case as a student for a few minutes; downloads their results file on the debrief screen and sees what the instructor receives.</w:t>
      </w:r>
    </w:p>
    <w:p>
      <w:pPr>
        <w:pStyle w:val="Heading2"/>
      </w:pPr>
      <w:r>
        <w:t>Slide 6: Demo 2: The Same Case, Live and Grounded</w:t>
      </w:r>
      <w:r>
        <w:rPr>
          <w:color w:val="2D5F7C"/>
          <w:sz w:val="21"/>
        </w:rPr>
        <w:t xml:space="preserve">  ·  0:11–0:16 (5 min)</w:t>
      </w:r>
    </w:p>
    <w:p>
      <w:pPr>
        <w:spacing w:before="160" w:after="40"/>
      </w:pPr>
      <w:r>
        <w:rPr>
          <w:b/>
          <w:color w:val="C66A28"/>
          <w:sz w:val="18"/>
        </w:rPr>
        <w:t>SPEAKER SAYS</w:t>
      </w:r>
    </w:p>
    <w:p>
      <w:r>
        <w:rPr>
          <w:b w:val="0"/>
          <w:i w:val="0"/>
        </w:rPr>
        <w:t>"Same 19-year-old, level it up: dynamic and grounded. Everyone: new chat, paste Prompt 2 from Section 3. [Wait for the room.] The published case file rides inside the prompt: nothing to upload, and the encounter travels with the link you will share later. Notice the design: the file is ordered so a student who opens the shared conversation sees the opening presentation first, and nothing that names the diagnosis until the debrief. The prompt does not give away its own answer. Now you're the student: introduce yourself, take the history, examine, order what you need. Ask for labs, you get the file's values, not inventions."</w:t>
      </w:r>
    </w:p>
    <w:p>
      <w:r>
        <w:rPr>
          <w:b w:val="0"/>
          <w:i w:val="0"/>
        </w:rPr>
        <w:t>"When you're done, type encounter over. The debrief is built into the same prompt: five domains, rated Novice through Proficient, each with evidence from what you actually did. And notice: this is how you'd share it with students. Run it once yourself, hit Share, send the link. My shared conversation is open in Section 3, look at it from the student's side."</w:t>
      </w:r>
    </w:p>
    <w:p>
      <w:pPr>
        <w:spacing w:before="160" w:after="40"/>
      </w:pPr>
      <w:r>
        <w:rPr>
          <w:b/>
          <w:color w:val="2D5F7C"/>
          <w:sz w:val="18"/>
        </w:rPr>
        <w:t>AUDIENCE DOES</w:t>
      </w:r>
    </w:p>
    <w:p>
      <w:r>
        <w:rPr>
          <w:b w:val="0"/>
          <w:i w:val="0"/>
        </w:rPr>
        <w:t>Pastes Prompt 2 (nothing to upload), runs the encounter as the student. Most reach at least a few turns; faster tables reach the debrief.</w:t>
      </w:r>
    </w:p>
    <w:p>
      <w:pPr>
        <w:spacing w:before="160" w:after="40"/>
      </w:pPr>
      <w:r>
        <w:rPr>
          <w:b/>
          <w:color w:val="2D5F7C"/>
          <w:sz w:val="18"/>
        </w:rPr>
        <w:t>WATCH FOR</w:t>
      </w:r>
    </w:p>
    <w:p>
      <w:r>
        <w:rPr>
          <w:b w:val="0"/>
          <w:i w:val="0"/>
        </w:rPr>
        <w:t>No upload step means phone-only attendees can run this one too. The friction now is typing speed: suggest short messages, and the shared conversation link stays the fallback for anyone stuck.</w:t>
      </w:r>
    </w:p>
    <w:p>
      <w:pPr>
        <w:pStyle w:val="Heading2"/>
      </w:pPr>
      <w:r>
        <w:t>Slide 7: Table Talk: Static or Dynamic?</w:t>
      </w:r>
      <w:r>
        <w:rPr>
          <w:color w:val="2D5F7C"/>
          <w:sz w:val="21"/>
        </w:rPr>
        <w:t xml:space="preserve">  ·  0:16–0:18 (2 min)</w:t>
      </w:r>
    </w:p>
    <w:p>
      <w:pPr>
        <w:spacing w:before="160" w:after="40"/>
      </w:pPr>
      <w:r>
        <w:rPr>
          <w:b/>
          <w:color w:val="C66A28"/>
          <w:sz w:val="18"/>
        </w:rPr>
        <w:t>SPEAKER SAYS</w:t>
      </w:r>
    </w:p>
    <w:p>
      <w:r>
        <w:rPr>
          <w:b w:val="0"/>
          <w:i w:val="0"/>
        </w:rPr>
        <w:t>"Two minutes with your table. You just met the same case twice: static, every learner clicks the same path; dynamic, every learner runs it differently. When would you reach for the static version, and when does the dynamic one win? Think standardization, grading, replay, feedback."</w:t>
      </w:r>
    </w:p>
    <w:p>
      <w:r>
        <w:rPr>
          <w:b w:val="0"/>
          <w:i w:val="0"/>
        </w:rPr>
        <w:t>Take one or two answers, then name it: "Static standardizes and makes grading clean. Dynamic practices the encounter itself and feedback lands on the reasoning. Same case, same files, different teaching moments."</w:t>
      </w:r>
    </w:p>
    <w:p>
      <w:pPr>
        <w:spacing w:before="160" w:after="40"/>
      </w:pPr>
      <w:r>
        <w:rPr>
          <w:b/>
          <w:color w:val="2D5F7C"/>
          <w:sz w:val="18"/>
        </w:rPr>
        <w:t>AUDIENCE DOES</w:t>
      </w:r>
    </w:p>
    <w:p>
      <w:r>
        <w:rPr>
          <w:b w:val="0"/>
          <w:i w:val="0"/>
        </w:rPr>
        <w:t>Two-minute table conversation on static versus dynamic uses; one or two answers shared aloud.</w:t>
      </w:r>
    </w:p>
    <w:p>
      <w:pPr>
        <w:pStyle w:val="Heading2"/>
      </w:pPr>
      <w:r>
        <w:t>Slide 8: Demo 3: The Neat Things NotebookLM Does</w:t>
      </w:r>
      <w:r>
        <w:rPr>
          <w:color w:val="2D5F7C"/>
          <w:sz w:val="21"/>
        </w:rPr>
        <w:t xml:space="preserve">  ·  0:18–0:25 (7 min)</w:t>
      </w:r>
    </w:p>
    <w:p>
      <w:pPr>
        <w:spacing w:before="160" w:after="40"/>
      </w:pPr>
      <w:r>
        <w:rPr>
          <w:b/>
          <w:color w:val="C66A28"/>
          <w:sz w:val="18"/>
        </w:rPr>
        <w:t>SPEAKER SAYS</w:t>
      </w:r>
    </w:p>
    <w:p>
      <w:r>
        <w:rPr>
          <w:b w:val="0"/>
          <w:i w:val="0"/>
        </w:rPr>
        <w:t>"Quick look back before we shift gears. Everything you built today had two ingredients: the prompt, and the published files behind it. We made a big deal of that pairing on purpose. The prompt tells the machine what to do; the source keeps every number real and checkable. A prompt alone gets you a fluent case with invented vitals; add the published source and you can hand it to students and stand behind it. That is grounding, and it is the habit worth taking home."</w:t>
      </w:r>
    </w:p>
    <w:p>
      <w:r>
        <w:rPr>
          <w:b w:val="0"/>
          <w:i w:val="0"/>
        </w:rPr>
        <w:t>"Now the tool that makes grounding the entire product: NotebookLM. [Open the AML notebook.] Six published sources about a brand-new leukemia drug: the FDA label, the approval letter, the pivotal trial, the ELN guideline, the NCI PDQ, and the registry record. Ask it anything and every answer cites the source and the section it came from. And the built-in creators, flashcards, a study guide, an audio overview, all draw from the same grounded sources. Like this. [Press play on the audio overview, 15 seconds.] Two AI hosts, generated from the same six sources, no editing, hosted right in your guide."</w:t>
      </w:r>
    </w:p>
    <w:p>
      <w:r>
        <w:rPr>
          <w:b w:val="0"/>
          <w:i w:val="0"/>
        </w:rPr>
        <w:t>"Five minutes: poke and prod. Open the notebook, ask it anything about the drug, chase the citations, try one creator. We make things with it in the build block at the end."</w:t>
      </w:r>
    </w:p>
    <w:p>
      <w:pPr>
        <w:spacing w:before="160" w:after="40"/>
      </w:pPr>
      <w:r>
        <w:rPr>
          <w:b/>
          <w:color w:val="2D5F7C"/>
          <w:sz w:val="18"/>
        </w:rPr>
        <w:t>AUDIENCE DOES (5 MIN)</w:t>
      </w:r>
    </w:p>
    <w:p>
      <w:r>
        <w:rPr>
          <w:b w:val="0"/>
          <w:i w:val="0"/>
        </w:rPr>
        <w:t>Opens the AML notebook link on phone or laptop, asks questions, follows citations, tries one built-in creator (flashcards, a study guide, or an audio overview).</w:t>
      </w:r>
    </w:p>
    <w:p>
      <w:pPr>
        <w:pStyle w:val="Heading2"/>
      </w:pPr>
      <w:r>
        <w:t>Slide 9: The Fidelity Spectrum</w:t>
      </w:r>
      <w:r>
        <w:rPr>
          <w:color w:val="2D5F7C"/>
          <w:sz w:val="21"/>
        </w:rPr>
        <w:t xml:space="preserve">  ·  0:25–0:26 (1 min)</w:t>
      </w:r>
    </w:p>
    <w:p>
      <w:pPr>
        <w:spacing w:before="160" w:after="40"/>
      </w:pPr>
      <w:r>
        <w:rPr>
          <w:b/>
          <w:color w:val="C66A28"/>
          <w:sz w:val="18"/>
        </w:rPr>
        <w:t>SPEAKER SAYS</w:t>
      </w:r>
    </w:p>
    <w:p>
      <w:r>
        <w:rPr>
          <w:b w:val="0"/>
          <w:i w:val="0"/>
        </w:rPr>
        <w:t>Walk left to right: "Text and audio, free or low. Image-based, free or $25. Screen-based, free trials. AR on your phone, free or $25. Immersive VR, $100 to $600. The question is never 'what's the best technology?' It's 'what matches my learning goal and my budget?'"</w:t>
      </w:r>
    </w:p>
    <w:p>
      <w:r>
        <w:rPr>
          <w:b/>
          <w:i w:val="0"/>
        </w:rPr>
        <w:t>Say it explicitly, once, out loud:</w:t>
      </w:r>
      <w:r>
        <w:rPr>
          <w:b w:val="0"/>
          <w:i w:val="0"/>
        </w:rPr>
        <w:t>"If you flip ahead to Section 6, that one is your take-home. VR hardware, pricing, the decision framework, and the starter stacks from $0 to about $1,100 are all written out there. We will not walk them live today, but it is written to be used Monday morning."</w:t>
      </w:r>
    </w:p>
    <w:p>
      <w:r>
        <w:rPr>
          <w:b w:val="0"/>
          <w:i w:val="0"/>
        </w:rPr>
        <w:t>Then add personally: "In our experience the reasoning lives at the text-and-audio end, images included: ECGs, X-rays, CTs, labs. The uncanny valley of avatar-based tools is real, near-human avatars distract from the very reasoning you're assessing. If I had to pick one tool from today's list for reasoning practice, it's the text-and-audio one from the conflict-of-interest slide: Sapient Clinician. Judge it on its merits."</w:t>
      </w:r>
    </w:p>
    <w:p>
      <w:pPr>
        <w:spacing w:before="160" w:after="40"/>
      </w:pPr>
      <w:r>
        <w:rPr>
          <w:b/>
          <w:color w:val="2D5F7C"/>
          <w:sz w:val="18"/>
        </w:rPr>
        <w:t>AUDIENCE DOES</w:t>
      </w:r>
    </w:p>
    <w:p>
      <w:r>
        <w:rPr>
          <w:b w:val="0"/>
          <w:i w:val="0"/>
        </w:rPr>
        <w:t>Sees the finished pericarditis case, a runnable demo in the guide, Section 5.</w:t>
      </w:r>
    </w:p>
    <w:p>
      <w:pPr>
        <w:pStyle w:val="Heading2"/>
      </w:pPr>
      <w:r>
        <w:t>Slide 10: Think · Pair · Share: Match the Tool</w:t>
      </w:r>
      <w:r>
        <w:rPr>
          <w:color w:val="2D5F7C"/>
          <w:sz w:val="21"/>
        </w:rPr>
        <w:t xml:space="preserve">  ·  0:26–0:28 (2 min)</w:t>
      </w:r>
    </w:p>
    <w:p>
      <w:pPr>
        <w:spacing w:before="160" w:after="40"/>
      </w:pPr>
      <w:r>
        <w:rPr>
          <w:b/>
          <w:color w:val="C66A28"/>
          <w:sz w:val="18"/>
        </w:rPr>
        <w:t>SPEAKER SAYS</w:t>
      </w:r>
    </w:p>
    <w:p>
      <w:r>
        <w:rPr>
          <w:b w:val="0"/>
          <w:i w:val="0"/>
        </w:rPr>
        <w:t>"With your table group, think of a clinical skill your fellows need. Which point on the fidelity spectrum? Would text and audio do the job? Remember: text-and-audio cases include images: ECGs, X-rays, CTs, lab panels. Some text-and-audio tools already do this well. Would AR add something those images don't? Or does this genuinely require VR? Share your reasoning, and what the free option would be."</w:t>
      </w:r>
    </w:p>
    <w:p>
      <w:pPr>
        <w:spacing w:before="160" w:after="40"/>
      </w:pPr>
      <w:r>
        <w:rPr>
          <w:b/>
          <w:color w:val="2D5F7C"/>
          <w:sz w:val="18"/>
        </w:rPr>
        <w:t>AUDIENCE DOES</w:t>
      </w:r>
    </w:p>
    <w:p>
      <w:r>
        <w:rPr>
          <w:b w:val="0"/>
          <w:i w:val="0"/>
        </w:rPr>
        <w:t>Discusses in table groups for 2 minutes. They have been building all session; this is the one classic Think · Pair · Share.</w:t>
      </w:r>
    </w:p>
    <w:p>
      <w:pPr>
        <w:spacing w:before="160" w:after="40"/>
      </w:pPr>
      <w:r>
        <w:rPr>
          <w:b/>
          <w:color w:val="2D5F7C"/>
          <w:sz w:val="18"/>
        </w:rPr>
        <w:t>TIME CHECK</w:t>
      </w:r>
    </w:p>
    <w:p>
      <w:r>
        <w:rPr>
          <w:b w:val="0"/>
          <w:i w:val="0"/>
        </w:rPr>
        <w:t>You should be at ~0:28. Transition to the build block now.</w:t>
      </w:r>
    </w:p>
    <w:p>
      <w:pPr>
        <w:pStyle w:val="Heading2"/>
      </w:pPr>
      <w:r>
        <w:t>Slide 11: The Build Block: Make One Real Thing</w:t>
      </w:r>
      <w:r>
        <w:rPr>
          <w:color w:val="2D5F7C"/>
          <w:sz w:val="21"/>
        </w:rPr>
        <w:t xml:space="preserve">  ·  0:28–0:52 (24 min)</w:t>
      </w:r>
    </w:p>
    <w:p>
      <w:pPr>
        <w:spacing w:before="160" w:after="40"/>
      </w:pPr>
      <w:r>
        <w:rPr>
          <w:b/>
          <w:color w:val="C66A28"/>
          <w:sz w:val="18"/>
        </w:rPr>
        <w:t>SPEAKER SAYS</w:t>
      </w:r>
    </w:p>
    <w:p>
      <w:r>
        <w:rPr>
          <w:b w:val="0"/>
          <w:i w:val="0"/>
        </w:rPr>
        <w:t>"You've watched every tool do its job. Now: make one real thing. Pick your build. Your own static case, Prompt 1 with any published case. Your own dynamic case, Prompt 2 with the same files. Something from a notebook: the AML sources, or any notebook you make, flashcards, an audio overview. Or one of the take-home prompts: journal club, a teaching session, a procedure pre-brief, reflective writing, every one with the feedback built in."</w:t>
      </w:r>
    </w:p>
    <w:p>
      <w:r>
        <w:rPr>
          <w:b w:val="0"/>
          <w:i w:val="0"/>
        </w:rPr>
        <w:t>"Stuck on the prompt? The Prompt Builder worksheet in Section 7 assembles it for you as you fill in the blanks. You have until 0:52, minus a few minutes to share. Build with your table or solo, I'll circulate. Go."</w:t>
      </w:r>
    </w:p>
    <w:p>
      <w:pPr>
        <w:spacing w:before="160" w:after="40"/>
      </w:pPr>
      <w:r>
        <w:rPr>
          <w:b/>
          <w:color w:val="2D5F7C"/>
          <w:sz w:val="18"/>
        </w:rPr>
        <w:t>AUDIENCE DOES (23 MIN)</w:t>
      </w:r>
    </w:p>
    <w:p>
      <w:r>
        <w:rPr>
          <w:b w:val="0"/>
          <w:i w:val="0"/>
        </w:rPr>
        <w:t>Picks a build and makes it: a case, a notebook artifact, or a take-home prompt product. Uses the Prompt Builder worksheet if starting from scratch. Works solo or with their table. (24 min, whatever remains minus the share-out.)</w:t>
      </w:r>
    </w:p>
    <w:p>
      <w:pPr>
        <w:spacing w:before="160" w:after="40"/>
      </w:pPr>
      <w:r>
        <w:rPr>
          <w:b/>
          <w:color w:val="C66A28"/>
          <w:sz w:val="18"/>
        </w:rPr>
        <w:t>SPEAKER DOES (DURING THE 23 MIN)</w:t>
      </w:r>
    </w:p>
    <w:p>
      <w:r>
        <w:rPr>
          <w:b w:val="0"/>
          <w:i w:val="0"/>
        </w:rPr>
        <w:t>Circulate among tables. Coach stuck tables with starting points ("use the MedEdPORTAL files, or the AML notebook's sources"). Push on detail: "What's missing from your prompt? Give the chatbot more: rules, order, feedback." Watch for account walls and pair people up.</w:t>
      </w:r>
      <w:r>
        <w:rPr>
          <w:b/>
          <w:i w:val="0"/>
        </w:rPr>
        <w:t>Project a visible countdown.</w:t>
      </w:r>
    </w:p>
    <w:p>
      <w:pPr>
        <w:pStyle w:val="Heading2"/>
      </w:pPr>
      <w:r>
        <w:t>Slide 12: Share-Out</w:t>
      </w:r>
      <w:r>
        <w:rPr>
          <w:color w:val="2D5F7C"/>
          <w:sz w:val="21"/>
        </w:rPr>
        <w:t xml:space="preserve">  ·  0:52–0:56 (4 min)</w:t>
      </w:r>
    </w:p>
    <w:p>
      <w:pPr>
        <w:spacing w:before="160" w:after="40"/>
      </w:pPr>
      <w:r>
        <w:rPr>
          <w:b/>
          <w:color w:val="C66A28"/>
          <w:sz w:val="18"/>
        </w:rPr>
        <w:t>SPEAKER SAYS</w:t>
      </w:r>
    </w:p>
    <w:p>
      <w:r>
        <w:rPr>
          <w:b w:val="0"/>
          <w:i w:val="0"/>
        </w:rPr>
        <w:t>"Let's see a few cool things people made. Three or four of you, 60 seconds each: what is it, how would you use it with your learners, and what would you still need to make it real Monday?"</w:t>
      </w:r>
    </w:p>
    <w:p>
      <w:r>
        <w:rPr>
          <w:b w:val="0"/>
          <w:i w:val="0"/>
        </w:rPr>
        <w:t>Pick diverse builds: one case, one notebook artifact, one take-home prompt product.</w:t>
      </w:r>
    </w:p>
    <w:p>
      <w:pPr>
        <w:spacing w:before="160" w:after="40"/>
      </w:pPr>
      <w:r>
        <w:rPr>
          <w:b/>
          <w:color w:val="2D5F7C"/>
          <w:sz w:val="18"/>
        </w:rPr>
        <w:t>AUDIENCE DOES</w:t>
      </w:r>
    </w:p>
    <w:p>
      <w:r>
        <w:rPr>
          <w:b w:val="0"/>
          <w:i w:val="0"/>
        </w:rPr>
        <w:t>Three or four people share what they built. Others listen and ask questions.</w:t>
      </w:r>
    </w:p>
    <w:p>
      <w:pPr>
        <w:pStyle w:val="Heading2"/>
      </w:pPr>
      <w:r>
        <w:t>Slide 13: Wrap-Up</w:t>
      </w:r>
      <w:r>
        <w:rPr>
          <w:color w:val="2D5F7C"/>
          <w:sz w:val="21"/>
        </w:rPr>
        <w:t xml:space="preserve">  ·  0:56–0:57 (1 min)</w:t>
      </w:r>
    </w:p>
    <w:p>
      <w:pPr>
        <w:spacing w:before="160" w:after="40"/>
      </w:pPr>
      <w:r>
        <w:rPr>
          <w:b/>
          <w:color w:val="C66A28"/>
          <w:sz w:val="18"/>
        </w:rPr>
        <w:t>SPEAKER SAYS</w:t>
      </w:r>
    </w:p>
    <w:p>
      <w:r>
        <w:rPr>
          <w:b w:val="0"/>
          <w:i w:val="0"/>
        </w:rPr>
        <w:t>"Everything you saw today is in the Workshop Guide, bookmark it: the tools, the demos, every prompt we built with, and the ones you didn't get to. Share it with your colleagues. Start with one tool, one need, one small experiment. You don't need a grant, an IT ticket, or a technology expert. You need to know what your learners need, and you already know that."</w:t>
      </w:r>
    </w:p>
    <w:p>
      <w:pPr>
        <w:pStyle w:val="Heading2"/>
      </w:pPr>
      <w:r>
        <w:t>Slide 14: Thank You</w:t>
      </w:r>
      <w:r>
        <w:rPr>
          <w:color w:val="2D5F7C"/>
          <w:sz w:val="21"/>
        </w:rPr>
        <w:t xml:space="preserve">  ·  0:57–0:58 (1 min)</w:t>
      </w:r>
    </w:p>
    <w:p>
      <w:pPr>
        <w:spacing w:before="160" w:after="40"/>
      </w:pPr>
      <w:r>
        <w:rPr>
          <w:b/>
          <w:color w:val="C66A28"/>
          <w:sz w:val="18"/>
        </w:rPr>
        <w:t>SPEAKER DOES</w:t>
      </w:r>
    </w:p>
    <w:p>
      <w:r>
        <w:rPr>
          <w:b w:val="0"/>
          <w:i w:val="0"/>
        </w:rPr>
        <w:t>Display contact info. Stay for questions. Thank the audience.</w:t>
      </w:r>
    </w:p>
    <w:p>
      <w:pPr>
        <w:pStyle w:val="Heading1"/>
      </w:pPr>
      <w:r>
        <w:t>Pre-Session Prep Checklist</w:t>
      </w:r>
    </w:p>
    <w:p>
      <w:pPr>
        <w:pStyle w:val="Heading2"/>
      </w:pPr>
      <w:r>
        <w:t>Open these browser tabs before the session starts</w:t>
      </w:r>
    </w:p>
    <w:p>
      <w:pPr>
        <w:pStyle w:val="ListBullet"/>
      </w:pPr>
      <w:r>
        <w:rPr>
          <w:b/>
          <w:i w:val="0"/>
        </w:rPr>
        <w:t>Workshop Guide</w:t>
      </w:r>
      <w:r>
        <w:rPr>
          <w:b w:val="0"/>
          <w:i w:val="0"/>
        </w:rPr>
        <w:t>, projected; the tool tables and all prompts live here (attendees mirror it on phones via the QR)</w:t>
      </w:r>
    </w:p>
    <w:p>
      <w:pPr>
        <w:pStyle w:val="ListBullet"/>
      </w:pPr>
      <w:r>
        <w:rPr>
          <w:b/>
          <w:i w:val="0"/>
        </w:rPr>
        <w:t>Branching Scenario Demo</w:t>
      </w:r>
      <w:r>
        <w:rPr>
          <w:b w:val="0"/>
          <w:i w:val="0"/>
        </w:rPr>
        <w:t>, workshop-branching-demo.html (runs locally, wifi-independent)</w:t>
      </w:r>
    </w:p>
    <w:p>
      <w:pPr>
        <w:pStyle w:val="ListBullet"/>
      </w:pPr>
      <w:r>
        <w:rPr>
          <w:b/>
          <w:i w:val="0"/>
        </w:rPr>
        <w:t>Claude or ChatGPT</w:t>
      </w:r>
      <w:r>
        <w:rPr>
          <w:b w:val="0"/>
          <w:i w:val="0"/>
        </w:rPr>
        <w:t>, logged in, Artifacts/Canvas ready: this is the Demo 1 build environment, attendees mirror it. Have the guide's reference branching build open as your fallback</w:t>
      </w:r>
    </w:p>
    <w:p>
      <w:pPr>
        <w:pStyle w:val="ListBullet"/>
      </w:pPr>
      <w:r>
        <w:rPr>
          <w:b/>
          <w:i w:val="0"/>
        </w:rPr>
        <w:t>ChatGPT or Claude</w:t>
      </w:r>
      <w:r>
        <w:rPr>
          <w:b w:val="0"/>
          <w:i w:val="0"/>
        </w:rPr>
        <w:t>, blank chat ready: paste Prompt 2 (Guide → Section 3, on your clipboard) to run Demo 2 live; the case file rides inside the prompt, nothing to upload</w:t>
      </w:r>
    </w:p>
    <w:p>
      <w:pPr>
        <w:pStyle w:val="ListBullet"/>
      </w:pPr>
      <w:r>
        <w:rPr>
          <w:b/>
          <w:i w:val="0"/>
        </w:rPr>
        <w:t>Your shared ChatGPT conversation</w:t>
      </w:r>
      <w:r>
        <w:rPr>
          <w:b w:val="0"/>
          <w:i w:val="0"/>
        </w:rPr>
        <w:t>, open in a tab:</w:t>
      </w:r>
      <w:hyperlink r:id="rId14">
        <w:r>
          <w:rPr>
            <w:color w:val="0563C1"/>
            <w:u w:val="single"/>
          </w:rPr>
          <w:t xml:space="preserve">the Demo 2 share link</w:t>
        </w:r>
      </w:hyperlink>
      <w:r>
        <w:rPr>
          <w:b w:val="0"/>
          <w:i w:val="0"/>
        </w:rPr>
        <w:t>(also linked in Section 3 of the guide). This is the student’s-side view you’ll show on screen if a live build stalls</w:t>
      </w:r>
    </w:p>
    <w:p>
      <w:pPr>
        <w:pStyle w:val="ListBullet"/>
      </w:pPr>
      <w:r>
        <w:rPr>
          <w:b/>
          <w:i w:val="0"/>
        </w:rPr>
        <w:t>NotebookLM</w:t>
      </w:r>
      <w:r>
        <w:rPr>
          <w:b w:val="0"/>
          <w:i w:val="0"/>
        </w:rPr>
        <w:t>, the AML notebook open: "Ziftomenib: A New-Treatment Teaching Session" (</w:t>
      </w:r>
      <w:hyperlink r:id="rId15">
        <w:r>
          <w:rPr>
            <w:color w:val="0563C1"/>
            <w:u w:val="single"/>
          </w:rPr>
          <w:t xml:space="preserve">https://notebook.google.com/notebook/fa7fb716-e25b-45d1-98d8-84b6b1ce38bf</w:t>
        </w:r>
      </w:hyperlink>
      <w:r>
        <w:rPr>
          <w:b w:val="0"/>
          <w:i w:val="0"/>
        </w:rPr>
        <w:t>, link sharing on). Backup answers: notebooklm-sources/ziftomenib/</w:t>
      </w:r>
    </w:p>
    <w:p>
      <w:pPr>
        <w:pStyle w:val="ListBullet"/>
      </w:pPr>
      <w:r>
        <w:rPr>
          <w:b/>
          <w:i w:val="0"/>
        </w:rPr>
        <w:t>A 23-minute countdown</w:t>
      </w:r>
      <w:r>
        <w:rPr>
          <w:b w:val="0"/>
          <w:i w:val="0"/>
        </w:rPr>
        <w:t>, google.com/search?q=23 minute timer, open in the browser for the build block</w:t>
      </w:r>
    </w:p>
    <w:p>
      <w:pPr>
        <w:spacing w:before="160" w:after="40"/>
      </w:pPr>
      <w:r>
        <w:rPr>
          <w:b/>
          <w:color w:val="2D5F7C"/>
          <w:sz w:val="18"/>
        </w:rPr>
        <w:t>ONE WEEK BEFORE</w:t>
      </w:r>
    </w:p>
    <w:p>
      <w:pPr>
        <w:pStyle w:val="ListBullet"/>
      </w:pPr>
      <w:r>
        <w:rPr>
          <w:b w:val="0"/>
          <w:i w:val="0"/>
        </w:rPr>
        <w:t>✅ DONE, "Pericarditis Teaching Case" notebook is built: 3 sources uploaded, demo prompts pre-run, Audio Overview generated (build record below)</w:t>
      </w:r>
    </w:p>
    <w:p>
      <w:pPr>
        <w:pStyle w:val="ListBullet"/>
      </w:pPr>
      <w:r>
        <w:rPr>
          <w:b w:val="0"/>
          <w:i w:val="0"/>
        </w:rPr>
        <w:t>✅ DONE, "Running Example: The PTA Case (MedEdPORTAL)" notebook is built, six files, link sharing on (backup answers: notebooklm-sources/pta-case/): now your take-home grounded copy of the case files, no longer in the live session flow</w:t>
      </w:r>
    </w:p>
    <w:p>
      <w:pPr>
        <w:pStyle w:val="ListBullet"/>
      </w:pPr>
      <w:r>
        <w:rPr>
          <w:b w:val="0"/>
          <w:i w:val="0"/>
        </w:rPr>
        <w:t>✅ DONE, the AML notebook, now the Demo 3 centerpiece: "Ziftomenib: A New-Treatment Teaching Session," six sources, pre-run answers in notebooklm-sources/ziftomenib/ (build record there)</w:t>
      </w:r>
    </w:p>
    <w:p>
      <w:pPr>
        <w:pStyle w:val="ListBullet"/>
      </w:pPr>
      <w:r>
        <w:rPr>
          <w:b w:val="0"/>
          <w:i w:val="0"/>
        </w:rPr>
        <w:t>✅ DONE, a shared ChatGPT conversation is live and wired into Section 3 of the guide (</w:t>
      </w:r>
      <w:hyperlink r:id="rId14">
        <w:r>
          <w:rPr>
            <w:color w:val="0563C1"/>
            <w:u w:val="single"/>
          </w:rPr>
          <w:t xml:space="preserve">https://chatgpt.com/share/6a9f7c05-3b8c-83e8-ad8a-bbe33838cd95</w:t>
        </w:r>
      </w:hyperlink>
      <w:r>
        <w:rPr>
          <w:b w:val="0"/>
          <w:i w:val="0"/>
        </w:rPr>
        <w:t>): the full Prompt 2 encounter through the debrief, viewable in any browser without an account. ⚠️ TODO before the session: re-run it with the new spoiler-safe Prompt 2 (case file inside the prompt, diagnosis buried under the INSTRUCTOR SECTION divider) and send me the new share link: the current conversation shows the diagnosis in the first screen</w:t>
      </w:r>
    </w:p>
    <w:p>
      <w:pPr>
        <w:pStyle w:val="ListBullet"/>
      </w:pPr>
      <w:r>
        <w:rPr>
          <w:b w:val="0"/>
          <w:i w:val="0"/>
        </w:rPr>
        <w:t>Test all demo links on your phone: workshop-branching-demo.html, workshop-case-demo.html (the static case now ends with a Download results for your instructor button, test it once)</w:t>
      </w:r>
    </w:p>
    <w:p>
      <w:pPr>
        <w:pStyle w:val="ListBullet"/>
      </w:pPr>
      <w:r>
        <w:rPr>
          <w:b w:val="0"/>
          <w:i w:val="0"/>
        </w:rPr>
        <w:t>✅ DONE, QR code generated and embedded on slides 3 and 15 (workshop-guide-qr.png)</w:t>
      </w:r>
    </w:p>
    <w:p>
      <w:pPr>
        <w:pStyle w:val="ListBullet"/>
      </w:pPr>
      <w:r>
        <w:rPr>
          <w:b w:val="0"/>
          <w:i w:val="0"/>
        </w:rPr>
        <w:t>✅ DONE, the AML notebook's Audio Overview is downloaded and hosted in the guide (How_KOMZIFTI_Reprograms_Mutated_Leukemia_Cells.m4a, embedded with a plain audio player in Section 4 and in the Resources list, no NotebookLM sign-in needed)</w:t>
      </w:r>
    </w:p>
    <w:p>
      <w:pPr>
        <w:pStyle w:val="ListBullet"/>
      </w:pPr>
      <w:r>
        <w:rPr>
          <w:b w:val="0"/>
          <w:i w:val="0"/>
        </w:rPr>
        <w:t>✅ Pre-run demo answers saved at notebooklm-sources/demo-pre-run-answers.html · Audio Overview lives in the notebook ("When ST Elevation Isn't a Heart Attack"), grab the local backup: notebook → Studio → ⋮ on the audio → Download → save as notebooklm-sources/demo-audio-overview.mp3</w:t>
      </w:r>
    </w:p>
    <w:p>
      <w:pPr>
        <w:pStyle w:val="ListBullet"/>
      </w:pPr>
      <w:r>
        <w:rPr>
          <w:b w:val="0"/>
          <w:i w:val="0"/>
        </w:rPr>
        <w:t>Confirm: projector, HDMI/USB-C, WiFi for attendees</w:t>
      </w:r>
    </w:p>
    <w:p>
      <w:pPr>
        <w:pStyle w:val="ListBullet"/>
      </w:pPr>
      <w:r>
        <w:rPr>
          <w:b w:val="0"/>
          <w:i w:val="0"/>
        </w:rPr>
        <w:t>Ask organizer: round tables? WiFi? Expected attendance?</w:t>
      </w:r>
    </w:p>
    <w:p>
      <w:pPr>
        <w:spacing w:before="160" w:after="40"/>
      </w:pPr>
      <w:r>
        <w:rPr>
          <w:b/>
          <w:color w:val="2D5F7C"/>
          <w:sz w:val="18"/>
        </w:rPr>
        <w:t>DAY OF, 20 MINUTES BEFORE</w:t>
      </w:r>
    </w:p>
    <w:p>
      <w:pPr>
        <w:pStyle w:val="ListBullet"/>
      </w:pPr>
      <w:r>
        <w:rPr>
          <w:b w:val="0"/>
          <w:i w:val="0"/>
        </w:rPr>
        <w:t>Test WiFi and display</w:t>
      </w:r>
    </w:p>
    <w:p>
      <w:pPr>
        <w:pStyle w:val="ListBullet"/>
      </w:pPr>
      <w:r>
        <w:rPr>
          <w:b w:val="0"/>
          <w:i w:val="0"/>
        </w:rPr>
        <w:t>Pre-load browser tabs: Workshop Guide, NotebookLM, ChatGPT</w:t>
      </w:r>
    </w:p>
    <w:p>
      <w:pPr>
        <w:pStyle w:val="ListBullet"/>
      </w:pPr>
      <w:r>
        <w:rPr>
          <w:b w:val="0"/>
          <w:i w:val="0"/>
        </w:rPr>
        <w:t>Have backup screenshots of all demo outputs loaded in slides</w:t>
      </w:r>
    </w:p>
    <w:p>
      <w:pPr>
        <w:pStyle w:val="ListBullet"/>
      </w:pPr>
      <w:r>
        <w:rPr>
          <w:b w:val="0"/>
          <w:i w:val="0"/>
        </w:rPr>
        <w:t>Display the QR code / URL on the title slide</w:t>
      </w:r>
    </w:p>
    <w:p>
      <w:pPr>
        <w:pStyle w:val="ListBullet"/>
      </w:pPr>
      <w:r>
        <w:rPr>
          <w:b w:val="0"/>
          <w:i w:val="0"/>
        </w:rPr>
        <w:t>Set a timer on your phone for each section; for the build block, open google.com/search?q=23 minute timer in the browser</w:t>
      </w:r>
    </w:p>
    <w:p>
      <w:pPr>
        <w:pStyle w:val="Heading2"/>
      </w:pPr>
      <w:r>
        <w:t>NotebookLM Notebook, Build Record (and rebuild steps if ever needed)</w:t>
      </w:r>
    </w:p>
    <w:p>
      <w:pPr>
        <w:spacing w:before="160" w:after="40"/>
      </w:pPr>
      <w:r>
        <w:rPr>
          <w:b/>
          <w:color w:val="2D5F7C"/>
          <w:sz w:val="18"/>
        </w:rPr>
        <w:t>STATUS: BUILT (SEPTEMBER 2026)</w:t>
      </w:r>
    </w:p>
    <w:p>
      <w:r>
        <w:rPr>
          <w:b/>
          <w:i w:val="0"/>
        </w:rPr>
        <w:t>Your notebook inventory, all live in your Google account at notebooklm.google.com (recently renamed Gemini Notebook, same tool):</w:t>
      </w:r>
    </w:p>
    <w:p>
      <w:pPr>
        <w:pStyle w:val="ListBullet"/>
      </w:pPr>
      <w:r>
        <w:rPr>
          <w:b/>
          <w:i w:val="0"/>
        </w:rPr>
        <w:t>"Running Example: The PTA Case (MedEdPORTAL)"</w:t>
      </w:r>
      <w:r>
        <w:rPr>
          <w:b w:val="0"/>
          <w:i w:val="0"/>
        </w:rPr>
        <w:t>(</w:t>
      </w:r>
      <w:hyperlink r:id="rId16">
        <w:r>
          <w:rPr>
            <w:color w:val="0563C1"/>
            <w:u w:val="single"/>
          </w:rPr>
          <w:t xml:space="preserve">https://notebook.google.com/notebook/93b8b9b8-eb70-4a91-919c-9117d5d4fdd1</w:t>
        </w:r>
      </w:hyperlink>
      <w:r>
        <w:rPr>
          <w:b w:val="0"/>
          <w:i w:val="0"/>
        </w:rPr>
        <w:t>) · your grounded copy of the case files, no longer in the live session flow. All six published case files: narrative, labs, EKG, CT, chest X-ray, faculty rubric, with pre-run answers in notebooklm-sources/pta-case/. Link sharing is ON.</w:t>
      </w:r>
    </w:p>
    <w:p>
      <w:pPr>
        <w:pStyle w:val="ListBullet"/>
      </w:pPr>
      <w:r>
        <w:rPr>
          <w:b/>
          <w:i w:val="0"/>
        </w:rPr>
        <w:t>"Ziftomenib: A New-Treatment Teaching Session"</w:t>
      </w:r>
      <w:r>
        <w:rPr>
          <w:b w:val="0"/>
          <w:i w:val="0"/>
        </w:rPr>
        <w:t>(</w:t>
      </w:r>
      <w:hyperlink r:id="rId15">
        <w:r>
          <w:rPr>
            <w:color w:val="0563C1"/>
            <w:u w:val="single"/>
          </w:rPr>
          <w:t xml:space="preserve">https://notebook.google.com/notebook/fa7fb716-e25b-45d1-98d8-84b6b1ce38bf</w:t>
        </w:r>
      </w:hyperlink>
      <w:r>
        <w:rPr>
          <w:b w:val="0"/>
          <w:i w:val="0"/>
        </w:rPr>
        <w:t>) · the session's Demo 3 notebook, the grounding showpiece. Six sources (FDA label, approval letter, KOMET-001 trial, ELN 2022, NCI PDQ, ClinicalTrials.gov), pre-run answers in notebooklm-sources/ziftomenib/. Link sharing is ON.</w:t>
      </w:r>
    </w:p>
    <w:p>
      <w:pPr>
        <w:pStyle w:val="ListBullet"/>
      </w:pPr>
      <w:r>
        <w:rPr>
          <w:b/>
          <w:i w:val="0"/>
        </w:rPr>
        <w:t>"Pericarditis Teaching Case"</w:t>
      </w:r>
      <w:r>
        <w:rPr>
          <w:b w:val="0"/>
          <w:i w:val="0"/>
        </w:rPr>
        <w:t>· the original demo notebook, now the backup if you ever want the cardiology flavor. Audio Overview "When ST Elevation Isn't a Heart Attack" is already generated in it; download from the Studio panel to notebooklm-sources/ for an offline backup.</w:t>
      </w:r>
    </w:p>
    <w:p>
      <w:r>
        <w:rPr>
          <w:b w:val="0"/>
          <w:i w:val="0"/>
        </w:rPr>
        <w:t>Before the session: press play on the hosted AML Audio Overview in the guide for 15 seconds to confirm it works, and leave the AML notebook tab open for the live demo. If the Google session has expired by then, one 30-second login on the morning of the talk revives all three notebooks.</w:t>
      </w:r>
    </w:p>
    <w:p>
      <w:r>
        <w:rPr>
          <w:b w:val="0"/>
          <w:i/>
        </w:rPr>
        <w:t>Rebuild steps (only if the notebook is ever lost):</w:t>
      </w:r>
    </w:p>
    <w:p>
      <w:pPr>
        <w:pStyle w:val="ListNumber"/>
      </w:pPr>
      <w:r>
        <w:rPr>
          <w:b w:val="0"/>
          <w:i w:val="0"/>
        </w:rPr>
        <w:t>Go to notebooklm.google.com (free, Google account)</w:t>
      </w:r>
    </w:p>
    <w:p>
      <w:pPr>
        <w:pStyle w:val="ListNumber"/>
      </w:pPr>
      <w:r>
        <w:rPr>
          <w:b w:val="0"/>
          <w:i w:val="0"/>
        </w:rPr>
        <w:t>Create a new notebook called "Pericarditis Teaching Case"</w:t>
      </w:r>
    </w:p>
    <w:p>
      <w:pPr>
        <w:pStyle w:val="ListNumber"/>
      </w:pPr>
      <w:r>
        <w:rPr>
          <w:b w:val="0"/>
          <w:i w:val="0"/>
        </w:rPr>
        <w:t>Upload 2-3 source documents (I can provide a pericarditis guideline summary and case notes)</w:t>
      </w:r>
    </w:p>
    <w:p>
      <w:pPr>
        <w:pStyle w:val="ListNumber"/>
      </w:pPr>
      <w:r>
        <w:rPr>
          <w:b w:val="0"/>
          <w:i w:val="0"/>
        </w:rPr>
        <w:t>Wait for processing (~30 sec)</w:t>
      </w:r>
    </w:p>
    <w:p>
      <w:pPr>
        <w:pStyle w:val="ListNumber"/>
      </w:pPr>
      <w:r>
        <w:rPr>
          <w:b w:val="0"/>
          <w:i w:val="0"/>
        </w:rPr>
        <w:t>Test: "Create a clinical reasoning case of acute pericarditis based on the uploaded sources"</w:t>
      </w:r>
    </w:p>
    <w:p>
      <w:pPr>
        <w:pStyle w:val="ListNumber"/>
      </w:pPr>
      <w:r>
        <w:rPr>
          <w:b w:val="0"/>
          <w:i w:val="0"/>
        </w:rPr>
        <w:t>Click "Audio Overview", let it generate. Have it ready to play 15 seconds.</w:t>
      </w:r>
    </w:p>
    <w:p>
      <w:pPr>
        <w:pStyle w:val="ListNumber"/>
      </w:pPr>
      <w:r>
        <w:rPr>
          <w:b w:val="0"/>
          <w:i w:val="0"/>
        </w:rPr>
        <w:t>Leave the notebook open on your laptop for the live demo.</w:t>
      </w:r>
    </w:p>
    <w:p>
      <w:pPr>
        <w:pStyle w:val="Heading1"/>
      </w:pPr>
      <w:r>
        <w:t>Key Messages to Reinforce</w:t>
      </w:r>
    </w:p>
    <w:p>
      <w:pPr>
        <w:spacing w:before="160" w:after="40"/>
      </w:pPr>
      <w:r>
        <w:rPr>
          <w:b/>
          <w:color w:val="2D5F7C"/>
          <w:sz w:val="18"/>
        </w:rPr>
        <w:t>THE FIVE THINGS ATTENDEES SHOULD REMEMBER</w:t>
      </w:r>
    </w:p>
    <w:p>
      <w:pPr>
        <w:pStyle w:val="ListNumber"/>
      </w:pPr>
      <w:r>
        <w:rPr>
          <w:b/>
          <w:i w:val="0"/>
        </w:rPr>
        <w:t>You don't need to be a technology expert.</w:t>
      </w:r>
      <w:r>
        <w:rPr>
          <w:b w:val="0"/>
          <w:i w:val="0"/>
        </w:rPr>
        <w:t>You need to be a clinician who knows what your learners need.</w:t>
      </w:r>
    </w:p>
    <w:p>
      <w:pPr>
        <w:pStyle w:val="ListNumber"/>
      </w:pPr>
      <w:r>
        <w:rPr>
          <w:b/>
          <w:i w:val="0"/>
        </w:rPr>
        <w:t>Ground AI in your source material.</w:t>
      </w:r>
      <w:r>
        <w:rPr>
          <w:b w:val="0"/>
          <w:i w:val="0"/>
        </w:rPr>
        <w:t>Upload your guidelines. Say "base your response only on the attached documents." NotebookLM does this for free.</w:t>
      </w:r>
    </w:p>
    <w:p>
      <w:pPr>
        <w:pStyle w:val="ListNumber"/>
      </w:pPr>
      <w:r>
        <w:rPr>
          <w:b/>
          <w:i w:val="0"/>
        </w:rPr>
        <w:t>The more you give the chatbot, the better.</w:t>
      </w:r>
      <w:r>
        <w:rPr>
          <w:b w:val="0"/>
          <w:i w:val="0"/>
        </w:rPr>
        <w:t>Roles, rules, output order, citations, feedback: one detailed prompt does the whole job, as every prompt in the guide shows.</w:t>
      </w:r>
    </w:p>
    <w:p>
      <w:pPr>
        <w:pStyle w:val="ListNumber"/>
      </w:pPr>
      <w:r>
        <w:rPr>
          <w:b/>
          <w:i w:val="0"/>
        </w:rPr>
        <w:t>Simulation is a spectrum.</w:t>
      </w:r>
      <w:r>
        <w:rPr>
          <w:b w:val="0"/>
          <w:i w:val="0"/>
        </w:rPr>
        <w:t>Text-and-audio is not "less than" VR, it's different. Match the fidelity to the learning goal.</w:t>
      </w:r>
    </w:p>
    <w:p>
      <w:pPr>
        <w:pStyle w:val="ListNumber"/>
      </w:pPr>
      <w:r>
        <w:rPr>
          <w:b/>
          <w:i w:val="0"/>
        </w:rPr>
        <w:t>Start with one tool, one need, one small experiment.</w:t>
      </w:r>
      <w:r>
        <w:rPr>
          <w:b w:val="0"/>
          <w:i w:val="0"/>
        </w:rPr>
        <w:t>You don't need a grant or an IT ticket. You need to know what your learners need, and you already know that.</w:t>
      </w:r>
    </w:p>
    <w:p>
      <w:pPr>
        <w:jc w:val="center"/>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25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2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D5F7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igital Learning Unlocked - Slide Deck.pptx" TargetMode="External"/><Relationship Id="rId10" Type="http://schemas.openxmlformats.org/officeDocument/2006/relationships/hyperlink" Target="Digital Learning Unlocked - Workshop Guide.html" TargetMode="External"/><Relationship Id="rId11" Type="http://schemas.openxmlformats.org/officeDocument/2006/relationships/hyperlink" Target="Digital Learning Unlocked - Presenter Notes.html" TargetMode="External"/><Relationship Id="rId12" Type="http://schemas.openxmlformats.org/officeDocument/2006/relationships/hyperlink" Target="workshop-branching-demo.html" TargetMode="External"/><Relationship Id="rId13" Type="http://schemas.openxmlformats.org/officeDocument/2006/relationships/hyperlink" Target="workshop-case-demo.html" TargetMode="External"/><Relationship Id="rId14" Type="http://schemas.openxmlformats.org/officeDocument/2006/relationships/hyperlink" Target="https://chatgpt.com/share/6a9f7c05-3b8c-83e8-ad8a-bbe33838cd95" TargetMode="External"/><Relationship Id="rId15" Type="http://schemas.openxmlformats.org/officeDocument/2006/relationships/hyperlink" Target="https://notebook.google.com/notebook/fa7fb716-e25b-45d1-98d8-84b6b1ce38bf" TargetMode="External"/><Relationship Id="rId16" Type="http://schemas.openxmlformats.org/officeDocument/2006/relationships/hyperlink" Target="https://notebook.google.com/notebook/93b8b9b8-eb70-4a91-919c-9117d5d4fd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