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C0E" w:rsidRPr="00772BD0" w:rsidRDefault="00772BD0" w:rsidP="00772BD0">
      <w:pPr>
        <w:pStyle w:val="Heading1"/>
        <w:spacing w:before="0" w:after="0" w:line="48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72BD0">
        <w:rPr>
          <w:rFonts w:ascii="Times New Roman" w:hAnsi="Times New Roman" w:cs="Times New Roman"/>
          <w:b/>
          <w:color w:val="auto"/>
          <w:sz w:val="28"/>
          <w:szCs w:val="28"/>
        </w:rPr>
        <w:t xml:space="preserve">Prediction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of</w:t>
      </w:r>
      <w:r w:rsidRPr="00772BD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CYP450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Metabolizer </w:t>
      </w:r>
      <w:r w:rsidRPr="00772BD0">
        <w:rPr>
          <w:rFonts w:ascii="Times New Roman" w:hAnsi="Times New Roman" w:cs="Times New Roman"/>
          <w:b/>
          <w:color w:val="auto"/>
          <w:sz w:val="28"/>
          <w:szCs w:val="28"/>
        </w:rPr>
        <w:t>Phenotype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s from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SNP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rray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Data</w:t>
      </w:r>
      <w:r w:rsidRPr="00772BD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Using </w:t>
      </w:r>
      <w:r w:rsidR="002B0C0E" w:rsidRPr="00772BD0">
        <w:rPr>
          <w:rFonts w:ascii="Times New Roman" w:hAnsi="Times New Roman" w:cs="Times New Roman"/>
          <w:b/>
          <w:color w:val="auto"/>
          <w:sz w:val="28"/>
          <w:szCs w:val="28"/>
        </w:rPr>
        <w:t>GenoStaR</w:t>
      </w:r>
      <w:r w:rsidR="004B47EB">
        <w:rPr>
          <w:rFonts w:ascii="Times New Roman" w:hAnsi="Times New Roman" w:cs="Times New Roman"/>
          <w:b/>
          <w:color w:val="auto"/>
          <w:sz w:val="28"/>
          <w:szCs w:val="28"/>
        </w:rPr>
        <w:t xml:space="preserve">: A </w:t>
      </w:r>
      <w:r w:rsidR="004B47EB" w:rsidRPr="00772BD0">
        <w:rPr>
          <w:rFonts w:ascii="Times New Roman" w:hAnsi="Times New Roman" w:cs="Times New Roman"/>
          <w:b/>
          <w:color w:val="auto"/>
          <w:sz w:val="28"/>
          <w:szCs w:val="28"/>
        </w:rPr>
        <w:t xml:space="preserve">Pharmacogenetic </w:t>
      </w:r>
      <w:r w:rsidR="004B47EB">
        <w:rPr>
          <w:rFonts w:ascii="Times New Roman" w:hAnsi="Times New Roman" w:cs="Times New Roman"/>
          <w:b/>
          <w:color w:val="auto"/>
          <w:sz w:val="28"/>
          <w:szCs w:val="28"/>
        </w:rPr>
        <w:t xml:space="preserve">study </w:t>
      </w:r>
      <w:r w:rsidR="002B0C0E" w:rsidRPr="00772BD0">
        <w:rPr>
          <w:rFonts w:ascii="Times New Roman" w:hAnsi="Times New Roman" w:cs="Times New Roman"/>
          <w:b/>
          <w:color w:val="auto"/>
          <w:sz w:val="28"/>
          <w:szCs w:val="28"/>
        </w:rPr>
        <w:t xml:space="preserve">in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the MadManic cohort</w:t>
      </w:r>
    </w:p>
    <w:p w:rsidR="00772BD0" w:rsidRPr="00772BD0" w:rsidRDefault="00674BB6" w:rsidP="00772BD0">
      <w:pPr>
        <w:jc w:val="both"/>
        <w:rPr>
          <w:rFonts w:ascii="Times New Roman" w:hAnsi="Times New Roman" w:cs="Times New Roman"/>
          <w:vertAlign w:val="superscript"/>
          <w:lang w:val="es-ES"/>
        </w:rPr>
      </w:pPr>
      <w:r w:rsidRPr="00772BD0">
        <w:rPr>
          <w:rFonts w:ascii="Times New Roman" w:hAnsi="Times New Roman" w:cs="Times New Roman"/>
          <w:lang w:val="es-ES"/>
        </w:rPr>
        <w:t>Diana Barraso Cortés</w:t>
      </w:r>
      <w:r w:rsidRPr="00772BD0">
        <w:rPr>
          <w:rFonts w:ascii="Times New Roman" w:hAnsi="Times New Roman" w:cs="Times New Roman"/>
          <w:vertAlign w:val="superscript"/>
          <w:lang w:val="es-ES"/>
        </w:rPr>
        <w:t>1</w:t>
      </w:r>
      <w:r w:rsidRPr="00772BD0">
        <w:rPr>
          <w:rFonts w:ascii="Times New Roman" w:hAnsi="Times New Roman" w:cs="Times New Roman"/>
          <w:lang w:val="es-ES"/>
        </w:rPr>
        <w:t>, Inés García-Ortiz</w:t>
      </w:r>
      <w:r w:rsidRPr="00772BD0">
        <w:rPr>
          <w:rFonts w:ascii="Times New Roman" w:hAnsi="Times New Roman" w:cs="Times New Roman"/>
          <w:vertAlign w:val="superscript"/>
          <w:lang w:val="es-ES"/>
        </w:rPr>
        <w:t>1</w:t>
      </w:r>
      <w:r w:rsidRPr="00772BD0">
        <w:rPr>
          <w:rFonts w:ascii="Times New Roman" w:hAnsi="Times New Roman" w:cs="Times New Roman"/>
          <w:lang w:val="es-ES"/>
        </w:rPr>
        <w:t>, Inés Carpio-López</w:t>
      </w:r>
      <w:r w:rsidRPr="00772BD0">
        <w:rPr>
          <w:rFonts w:ascii="Times New Roman" w:hAnsi="Times New Roman" w:cs="Times New Roman"/>
          <w:vertAlign w:val="superscript"/>
          <w:lang w:val="es-ES"/>
        </w:rPr>
        <w:t>1</w:t>
      </w:r>
      <w:r w:rsidRPr="00772BD0">
        <w:rPr>
          <w:rFonts w:ascii="Times New Roman" w:hAnsi="Times New Roman" w:cs="Times New Roman"/>
          <w:lang w:val="es-ES"/>
        </w:rPr>
        <w:t xml:space="preserve">, </w:t>
      </w:r>
      <w:r w:rsidR="00772BD0" w:rsidRPr="00772BD0">
        <w:rPr>
          <w:rFonts w:ascii="Times New Roman" w:hAnsi="Times New Roman" w:cs="Times New Roman"/>
          <w:bCs/>
          <w:lang w:val="es-ES"/>
        </w:rPr>
        <w:t>Diego Romero-Miguel</w:t>
      </w:r>
      <w:r w:rsidR="00772BD0" w:rsidRPr="00772BD0">
        <w:rPr>
          <w:rFonts w:ascii="Times New Roman" w:hAnsi="Times New Roman" w:cs="Times New Roman"/>
          <w:bCs/>
          <w:vertAlign w:val="superscript"/>
          <w:lang w:val="es-ES"/>
        </w:rPr>
        <w:t>1</w:t>
      </w:r>
      <w:r w:rsidR="00772BD0" w:rsidRPr="00772BD0">
        <w:rPr>
          <w:rFonts w:ascii="Times New Roman" w:hAnsi="Times New Roman" w:cs="Times New Roman"/>
          <w:bCs/>
          <w:lang w:val="es-ES"/>
        </w:rPr>
        <w:t xml:space="preserve">, </w:t>
      </w:r>
      <w:r w:rsidR="00772BD0" w:rsidRPr="00772BD0">
        <w:rPr>
          <w:rFonts w:ascii="Times New Roman" w:hAnsi="Times New Roman" w:cs="Times New Roman"/>
          <w:lang w:val="es-ES"/>
        </w:rPr>
        <w:t>Lucía Albarracín-García</w:t>
      </w:r>
      <w:r w:rsidR="00772BD0" w:rsidRPr="00772BD0">
        <w:rPr>
          <w:rFonts w:ascii="Times New Roman" w:hAnsi="Times New Roman" w:cs="Times New Roman"/>
          <w:vertAlign w:val="superscript"/>
          <w:lang w:val="es-ES"/>
        </w:rPr>
        <w:t>2,3,4,5,6</w:t>
      </w:r>
      <w:r w:rsidR="00772BD0" w:rsidRPr="00772BD0">
        <w:rPr>
          <w:rFonts w:ascii="Times New Roman" w:hAnsi="Times New Roman" w:cs="Times New Roman"/>
          <w:lang w:val="es-ES"/>
        </w:rPr>
        <w:t>, Ana María de Granda Beltrán</w:t>
      </w:r>
      <w:r w:rsidR="00772BD0" w:rsidRPr="00772BD0">
        <w:rPr>
          <w:rFonts w:ascii="Times New Roman" w:hAnsi="Times New Roman" w:cs="Times New Roman"/>
          <w:vertAlign w:val="superscript"/>
          <w:lang w:val="es-ES"/>
        </w:rPr>
        <w:t>3</w:t>
      </w:r>
      <w:r w:rsidR="00772BD0" w:rsidRPr="00772BD0">
        <w:rPr>
          <w:rFonts w:ascii="Times New Roman" w:hAnsi="Times New Roman" w:cs="Times New Roman"/>
          <w:lang w:val="es-ES"/>
        </w:rPr>
        <w:t>, Sergio Sánchez-Alonso</w:t>
      </w:r>
      <w:r w:rsidR="00772BD0" w:rsidRPr="00772BD0">
        <w:rPr>
          <w:rFonts w:ascii="Times New Roman" w:hAnsi="Times New Roman" w:cs="Times New Roman"/>
          <w:vertAlign w:val="superscript"/>
          <w:lang w:val="es-ES"/>
        </w:rPr>
        <w:t>3</w:t>
      </w:r>
      <w:r w:rsidR="00772BD0" w:rsidRPr="00772BD0">
        <w:rPr>
          <w:rFonts w:ascii="Times New Roman" w:hAnsi="Times New Roman" w:cs="Times New Roman"/>
          <w:lang w:val="es-ES"/>
        </w:rPr>
        <w:t>, Sergio Benavente López</w:t>
      </w:r>
      <w:r w:rsidR="00772BD0" w:rsidRPr="00772BD0">
        <w:rPr>
          <w:rFonts w:ascii="Times New Roman" w:hAnsi="Times New Roman" w:cs="Times New Roman"/>
          <w:vertAlign w:val="superscript"/>
          <w:lang w:val="es-ES"/>
        </w:rPr>
        <w:t>4</w:t>
      </w:r>
      <w:r w:rsidR="00772BD0" w:rsidRPr="00772BD0">
        <w:rPr>
          <w:rFonts w:ascii="Times New Roman" w:hAnsi="Times New Roman" w:cs="Times New Roman"/>
          <w:lang w:val="es-ES"/>
        </w:rPr>
        <w:t>, Raquel Álvarez García</w:t>
      </w:r>
      <w:r w:rsidR="00772BD0" w:rsidRPr="00772BD0">
        <w:rPr>
          <w:rFonts w:ascii="Times New Roman" w:hAnsi="Times New Roman" w:cs="Times New Roman"/>
          <w:vertAlign w:val="superscript"/>
          <w:lang w:val="es-ES"/>
        </w:rPr>
        <w:t>5</w:t>
      </w:r>
      <w:r w:rsidR="00772BD0" w:rsidRPr="00772BD0">
        <w:rPr>
          <w:rFonts w:ascii="Times New Roman" w:hAnsi="Times New Roman" w:cs="Times New Roman"/>
          <w:lang w:val="es-ES"/>
        </w:rPr>
        <w:t>, Ezequiel Di Stasio</w:t>
      </w:r>
      <w:r w:rsidR="00772BD0" w:rsidRPr="00772BD0">
        <w:rPr>
          <w:rFonts w:ascii="Times New Roman" w:hAnsi="Times New Roman" w:cs="Times New Roman"/>
          <w:vertAlign w:val="superscript"/>
          <w:lang w:val="es-ES"/>
        </w:rPr>
        <w:t>6</w:t>
      </w:r>
      <w:r w:rsidR="00772BD0" w:rsidRPr="00772BD0">
        <w:rPr>
          <w:rFonts w:ascii="Times New Roman" w:hAnsi="Times New Roman" w:cs="Times New Roman"/>
          <w:lang w:val="es-ES"/>
        </w:rPr>
        <w:t>, Raúl Somavilla Cabrero</w:t>
      </w:r>
      <w:r w:rsidR="00772BD0" w:rsidRPr="00772BD0">
        <w:rPr>
          <w:rFonts w:ascii="Times New Roman" w:hAnsi="Times New Roman" w:cs="Times New Roman"/>
          <w:vertAlign w:val="superscript"/>
          <w:lang w:val="es-ES"/>
        </w:rPr>
        <w:t>1</w:t>
      </w:r>
      <w:r w:rsidR="00772BD0" w:rsidRPr="00772BD0">
        <w:rPr>
          <w:rFonts w:ascii="Times New Roman" w:hAnsi="Times New Roman" w:cs="Times New Roman"/>
          <w:lang w:val="es-ES"/>
        </w:rPr>
        <w:t>, Enrique Baca-García</w:t>
      </w:r>
      <w:r w:rsidR="00772BD0" w:rsidRPr="00772BD0">
        <w:rPr>
          <w:rFonts w:ascii="Times New Roman" w:hAnsi="Times New Roman" w:cs="Times New Roman"/>
          <w:vertAlign w:val="superscript"/>
          <w:lang w:val="es-ES"/>
        </w:rPr>
        <w:t>3,4,5,6</w:t>
      </w:r>
      <w:r w:rsidR="004B47EB">
        <w:rPr>
          <w:rFonts w:ascii="Times New Roman" w:hAnsi="Times New Roman" w:cs="Times New Roman"/>
          <w:vertAlign w:val="superscript"/>
          <w:lang w:val="es-ES"/>
        </w:rPr>
        <w:t>,7,8,9,10</w:t>
      </w:r>
      <w:r w:rsidR="00772BD0" w:rsidRPr="00772BD0">
        <w:rPr>
          <w:rFonts w:ascii="Times New Roman" w:hAnsi="Times New Roman" w:cs="Times New Roman"/>
          <w:lang w:val="es-ES"/>
        </w:rPr>
        <w:t>, Claudio Toma</w:t>
      </w:r>
      <w:r w:rsidR="00772BD0" w:rsidRPr="00772BD0">
        <w:rPr>
          <w:rFonts w:ascii="Times New Roman" w:hAnsi="Times New Roman" w:cs="Times New Roman"/>
          <w:vertAlign w:val="superscript"/>
          <w:lang w:val="es-ES"/>
        </w:rPr>
        <w:t>1,1</w:t>
      </w:r>
      <w:r w:rsidR="004B47EB">
        <w:rPr>
          <w:rFonts w:ascii="Times New Roman" w:hAnsi="Times New Roman" w:cs="Times New Roman"/>
          <w:vertAlign w:val="superscript"/>
          <w:lang w:val="es-ES"/>
        </w:rPr>
        <w:t>1</w:t>
      </w:r>
    </w:p>
    <w:p w:rsidR="00772BD0" w:rsidRPr="00772BD0" w:rsidRDefault="00772BD0" w:rsidP="00772BD0">
      <w:pPr>
        <w:jc w:val="both"/>
        <w:rPr>
          <w:rFonts w:ascii="Times New Roman" w:hAnsi="Times New Roman" w:cs="Times New Roman"/>
          <w:sz w:val="18"/>
          <w:szCs w:val="18"/>
          <w:vertAlign w:val="superscript"/>
          <w:lang w:val="es-ES"/>
        </w:rPr>
      </w:pPr>
    </w:p>
    <w:p w:rsidR="00772BD0" w:rsidRPr="00772BD0" w:rsidRDefault="00772BD0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 w:rsidRPr="00772BD0">
        <w:rPr>
          <w:rFonts w:ascii="Times New Roman" w:hAnsi="Times New Roman" w:cs="Times New Roman"/>
          <w:color w:val="000000"/>
          <w:sz w:val="18"/>
          <w:szCs w:val="18"/>
          <w:vertAlign w:val="superscript"/>
        </w:rPr>
        <w:t xml:space="preserve">1 </w:t>
      </w:r>
      <w:r w:rsidRPr="00772BD0">
        <w:rPr>
          <w:rFonts w:ascii="Times New Roman" w:hAnsi="Times New Roman" w:cs="Times New Roman"/>
          <w:color w:val="000000"/>
          <w:sz w:val="18"/>
          <w:szCs w:val="18"/>
        </w:rPr>
        <w:t>Centre for Molecular Biology Severo Ochoa (CBMSO), UAM/CSIC, Madrid, Spain</w:t>
      </w:r>
    </w:p>
    <w:p w:rsidR="00772BD0" w:rsidRPr="00772BD0" w:rsidRDefault="00772BD0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 w:rsidRPr="00772BD0">
        <w:rPr>
          <w:rFonts w:ascii="Times New Roman" w:hAnsi="Times New Roman" w:cs="Times New Roman"/>
          <w:color w:val="000000"/>
          <w:sz w:val="18"/>
          <w:szCs w:val="18"/>
          <w:vertAlign w:val="superscript"/>
        </w:rPr>
        <w:t>2</w:t>
      </w:r>
      <w:r w:rsidRPr="00772BD0">
        <w:rPr>
          <w:rFonts w:ascii="Times New Roman" w:hAnsi="Times New Roman" w:cs="Times New Roman"/>
          <w:color w:val="000000"/>
          <w:sz w:val="18"/>
          <w:szCs w:val="18"/>
        </w:rPr>
        <w:t xml:space="preserve"> School of Psychology, Universidad Alfonso X el Sabio (UAX), Madrid, Spain</w:t>
      </w:r>
    </w:p>
    <w:p w:rsidR="00772BD0" w:rsidRPr="00772BD0" w:rsidRDefault="00772BD0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 w:rsidRPr="00772BD0">
        <w:rPr>
          <w:rFonts w:ascii="Times New Roman" w:hAnsi="Times New Roman" w:cs="Times New Roman"/>
          <w:color w:val="000000"/>
          <w:sz w:val="18"/>
          <w:szCs w:val="18"/>
          <w:vertAlign w:val="superscript"/>
        </w:rPr>
        <w:t>3</w:t>
      </w:r>
      <w:r w:rsidRPr="00772BD0">
        <w:rPr>
          <w:rFonts w:ascii="Times New Roman" w:hAnsi="Times New Roman" w:cs="Times New Roman"/>
          <w:color w:val="000000"/>
          <w:sz w:val="18"/>
          <w:szCs w:val="18"/>
        </w:rPr>
        <w:t xml:space="preserve"> Department of Psychiatry, University Hospital Jimenez Díaz Foundation, Madrid, Spain.</w:t>
      </w:r>
    </w:p>
    <w:p w:rsidR="00772BD0" w:rsidRPr="00772BD0" w:rsidRDefault="00772BD0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vertAlign w:val="superscript"/>
        </w:rPr>
      </w:pPr>
      <w:r w:rsidRPr="00772BD0">
        <w:rPr>
          <w:rFonts w:ascii="Times New Roman" w:hAnsi="Times New Roman" w:cs="Times New Roman"/>
          <w:color w:val="000000"/>
          <w:sz w:val="18"/>
          <w:szCs w:val="18"/>
          <w:vertAlign w:val="superscript"/>
        </w:rPr>
        <w:t>4</w:t>
      </w:r>
      <w:r w:rsidRPr="00772BD0">
        <w:rPr>
          <w:rFonts w:ascii="Times New Roman" w:hAnsi="Times New Roman" w:cs="Times New Roman"/>
          <w:color w:val="000000"/>
          <w:sz w:val="18"/>
          <w:szCs w:val="18"/>
        </w:rPr>
        <w:t xml:space="preserve"> Department of Psychiatry, University Hospital Infanta Elena, Valdemoro, Madrid, Spain.</w:t>
      </w:r>
    </w:p>
    <w:p w:rsidR="00772BD0" w:rsidRPr="00772BD0" w:rsidRDefault="00772BD0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 w:rsidRPr="00772BD0">
        <w:rPr>
          <w:rFonts w:ascii="Times New Roman" w:hAnsi="Times New Roman" w:cs="Times New Roman"/>
          <w:color w:val="000000"/>
          <w:sz w:val="18"/>
          <w:szCs w:val="18"/>
          <w:vertAlign w:val="superscript"/>
        </w:rPr>
        <w:t>5</w:t>
      </w:r>
      <w:r w:rsidRPr="00772BD0">
        <w:rPr>
          <w:rFonts w:ascii="Times New Roman" w:hAnsi="Times New Roman" w:cs="Times New Roman"/>
          <w:color w:val="000000"/>
          <w:sz w:val="18"/>
          <w:szCs w:val="18"/>
        </w:rPr>
        <w:t xml:space="preserve"> Department of Psychiatry, University Hospital Rey Juan Carlos, Mostoles, Madrid, Spain.</w:t>
      </w:r>
    </w:p>
    <w:p w:rsidR="00772BD0" w:rsidRPr="00772BD0" w:rsidRDefault="00772BD0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 w:rsidRPr="00772BD0">
        <w:rPr>
          <w:rFonts w:ascii="Times New Roman" w:hAnsi="Times New Roman" w:cs="Times New Roman"/>
          <w:color w:val="000000"/>
          <w:sz w:val="18"/>
          <w:szCs w:val="18"/>
          <w:vertAlign w:val="superscript"/>
        </w:rPr>
        <w:t>6</w:t>
      </w:r>
      <w:r w:rsidRPr="00772BD0">
        <w:rPr>
          <w:rFonts w:ascii="Times New Roman" w:hAnsi="Times New Roman" w:cs="Times New Roman"/>
          <w:color w:val="000000"/>
          <w:sz w:val="18"/>
          <w:szCs w:val="18"/>
        </w:rPr>
        <w:t xml:space="preserve"> Department of Psychiatry, General Hospital of Villalba, Madrid, Spain.</w:t>
      </w:r>
    </w:p>
    <w:p w:rsidR="00772BD0" w:rsidRPr="00772BD0" w:rsidRDefault="00772BD0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s-ES"/>
        </w:rPr>
      </w:pPr>
    </w:p>
    <w:p w:rsidR="00772BD0" w:rsidRPr="00772BD0" w:rsidRDefault="004B47EB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  <w:vertAlign w:val="superscript"/>
        </w:rPr>
        <w:t>7</w:t>
      </w:r>
      <w:r w:rsidR="00772BD0" w:rsidRPr="00772BD0">
        <w:rPr>
          <w:rFonts w:ascii="Times New Roman" w:hAnsi="Times New Roman" w:cs="Times New Roman"/>
          <w:color w:val="000000"/>
          <w:sz w:val="18"/>
          <w:szCs w:val="18"/>
        </w:rPr>
        <w:t xml:space="preserve"> Department of Psychiatry, Autonomous University of Madrid, Madrid, Spain.</w:t>
      </w:r>
    </w:p>
    <w:p w:rsidR="00772BD0" w:rsidRPr="00772BD0" w:rsidRDefault="004B47EB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s-ES"/>
        </w:rPr>
      </w:pPr>
      <w:r w:rsidRPr="004B47EB">
        <w:rPr>
          <w:rFonts w:ascii="Times New Roman" w:hAnsi="Times New Roman" w:cs="Times New Roman"/>
          <w:color w:val="000000"/>
          <w:sz w:val="18"/>
          <w:szCs w:val="18"/>
          <w:vertAlign w:val="superscript"/>
          <w:lang w:val="es-ES"/>
        </w:rPr>
        <w:t>8</w:t>
      </w:r>
      <w:r w:rsidR="00772BD0" w:rsidRPr="00772BD0">
        <w:rPr>
          <w:rFonts w:ascii="Times New Roman" w:hAnsi="Times New Roman" w:cs="Times New Roman"/>
          <w:color w:val="000000"/>
          <w:sz w:val="18"/>
          <w:szCs w:val="18"/>
          <w:lang w:val="es-ES"/>
        </w:rPr>
        <w:t xml:space="preserve"> CIBERSAM (Centro de Investigación Biomédica en Red Salud Mental), Carlos III Institute of Health, Madrid, Spain</w:t>
      </w:r>
    </w:p>
    <w:p w:rsidR="00772BD0" w:rsidRPr="00772BD0" w:rsidRDefault="004B47EB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s-ES"/>
        </w:rPr>
      </w:pPr>
      <w:r>
        <w:rPr>
          <w:rFonts w:ascii="Times New Roman" w:hAnsi="Times New Roman" w:cs="Times New Roman"/>
          <w:color w:val="000000"/>
          <w:sz w:val="18"/>
          <w:szCs w:val="18"/>
          <w:vertAlign w:val="superscript"/>
          <w:lang w:val="es-ES"/>
        </w:rPr>
        <w:t>9</w:t>
      </w:r>
      <w:r w:rsidR="00772BD0" w:rsidRPr="00772BD0">
        <w:rPr>
          <w:rFonts w:ascii="Times New Roman" w:hAnsi="Times New Roman" w:cs="Times New Roman"/>
          <w:color w:val="000000"/>
          <w:sz w:val="18"/>
          <w:szCs w:val="18"/>
          <w:lang w:val="es-ES"/>
        </w:rPr>
        <w:t xml:space="preserve"> Universidad Católica del Maule, Talca, Chile</w:t>
      </w:r>
    </w:p>
    <w:p w:rsidR="00772BD0" w:rsidRPr="004B47EB" w:rsidRDefault="004B47EB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s-ES"/>
        </w:rPr>
      </w:pPr>
      <w:r>
        <w:rPr>
          <w:rFonts w:ascii="Times New Roman" w:hAnsi="Times New Roman" w:cs="Times New Roman"/>
          <w:color w:val="000000"/>
          <w:sz w:val="18"/>
          <w:szCs w:val="18"/>
          <w:vertAlign w:val="superscript"/>
          <w:lang w:val="es-ES"/>
        </w:rPr>
        <w:t>10</w:t>
      </w:r>
      <w:r w:rsidR="00772BD0" w:rsidRPr="004B47EB">
        <w:rPr>
          <w:rFonts w:ascii="Times New Roman" w:hAnsi="Times New Roman" w:cs="Times New Roman"/>
          <w:color w:val="000000"/>
          <w:sz w:val="18"/>
          <w:szCs w:val="18"/>
          <w:lang w:val="es-ES"/>
        </w:rPr>
        <w:t xml:space="preserve"> Instituto de Investigación Sanitaria Fundación Jiménez Díaz, Madrid, Spain</w:t>
      </w:r>
    </w:p>
    <w:p w:rsidR="00674BB6" w:rsidRPr="00772BD0" w:rsidRDefault="004B47EB" w:rsidP="00772B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  <w:vertAlign w:val="superscript"/>
        </w:rPr>
        <w:t>11</w:t>
      </w:r>
      <w:r w:rsidR="00772BD0" w:rsidRPr="00772BD0">
        <w:rPr>
          <w:rFonts w:ascii="Times New Roman" w:hAnsi="Times New Roman" w:cs="Times New Roman"/>
          <w:color w:val="000000"/>
          <w:sz w:val="18"/>
          <w:szCs w:val="18"/>
        </w:rPr>
        <w:t>School of Clinical Medicine, Discipline of Psychiatry and Mental Health, University of New South Wales, Sydney, NSW, Australia</w:t>
      </w:r>
    </w:p>
    <w:p w:rsidR="002B0C0E" w:rsidRDefault="002B0C0E" w:rsidP="002B0C0E">
      <w:pPr>
        <w:jc w:val="both"/>
        <w:rPr>
          <w:rFonts w:ascii="Times New Roman" w:hAnsi="Times New Roman" w:cs="Times New Roman"/>
          <w:lang w:val="en-US"/>
        </w:rPr>
      </w:pPr>
    </w:p>
    <w:p w:rsidR="002B0C0E" w:rsidRPr="00045C52" w:rsidRDefault="002B0C0E" w:rsidP="002B0C0E">
      <w:pPr>
        <w:jc w:val="both"/>
        <w:rPr>
          <w:rFonts w:ascii="Times New Roman" w:hAnsi="Times New Roman" w:cs="Times New Roman"/>
          <w:lang w:val="en-US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Background:</w:t>
      </w:r>
      <w:r w:rsidRPr="00045C52">
        <w:rPr>
          <w:rFonts w:ascii="Times New Roman" w:hAnsi="Times New Roman" w:cs="Times New Roman"/>
          <w:lang w:val="en-US"/>
        </w:rPr>
        <w:t xml:space="preserve"> Pharmacogenetics links genetic variation to differences in drug response. Variants in </w:t>
      </w:r>
      <w:r>
        <w:rPr>
          <w:rFonts w:ascii="Times New Roman" w:hAnsi="Times New Roman" w:cs="Times New Roman"/>
          <w:lang w:val="en-US"/>
        </w:rPr>
        <w:t>CY</w:t>
      </w:r>
      <w:r w:rsidRPr="00045C52">
        <w:rPr>
          <w:rFonts w:ascii="Times New Roman" w:hAnsi="Times New Roman" w:cs="Times New Roman"/>
          <w:lang w:val="en-US"/>
        </w:rPr>
        <w:t>P450 genes affect drug efficacy and adverse effects. Since CYP</w:t>
      </w:r>
      <w:r w:rsidRPr="00FD3352">
        <w:rPr>
          <w:rFonts w:ascii="Times New Roman" w:hAnsi="Times New Roman" w:cs="Times New Roman"/>
          <w:lang w:val="en-US"/>
        </w:rPr>
        <w:t>450</w:t>
      </w:r>
      <w:r w:rsidRPr="00045C52">
        <w:rPr>
          <w:rFonts w:ascii="Times New Roman" w:hAnsi="Times New Roman" w:cs="Times New Roman"/>
          <w:lang w:val="en-US"/>
        </w:rPr>
        <w:t xml:space="preserve"> enzymes metabolize 70</w:t>
      </w:r>
      <w:r w:rsidRPr="00FD3352">
        <w:rPr>
          <w:rFonts w:ascii="Times New Roman" w:hAnsi="Times New Roman" w:cs="Times New Roman"/>
          <w:lang w:val="en-US"/>
        </w:rPr>
        <w:t>-</w:t>
      </w:r>
      <w:r w:rsidRPr="00045C52">
        <w:rPr>
          <w:rFonts w:ascii="Times New Roman" w:hAnsi="Times New Roman" w:cs="Times New Roman"/>
          <w:lang w:val="en-US"/>
        </w:rPr>
        <w:t xml:space="preserve">80% of clinically used drugs, accurate genotype-to-phenotype translation is essential. </w:t>
      </w:r>
      <w:r>
        <w:rPr>
          <w:rFonts w:ascii="Times New Roman" w:hAnsi="Times New Roman" w:cs="Times New Roman"/>
          <w:lang w:val="en-US"/>
        </w:rPr>
        <w:t xml:space="preserve">In this context, </w:t>
      </w:r>
      <w:r w:rsidRPr="00045C52">
        <w:rPr>
          <w:rFonts w:ascii="Times New Roman" w:hAnsi="Times New Roman" w:cs="Times New Roman"/>
          <w:lang w:val="en-US"/>
        </w:rPr>
        <w:t xml:space="preserve">GenoStaR is an R package that converts genotypes into star alleles and predicts metabolic phenotypes using </w:t>
      </w:r>
      <w:r w:rsidR="004B47EB">
        <w:rPr>
          <w:rFonts w:ascii="Times New Roman" w:hAnsi="Times New Roman" w:cs="Times New Roman"/>
          <w:lang w:val="en-US"/>
        </w:rPr>
        <w:t xml:space="preserve">data of </w:t>
      </w:r>
      <w:r w:rsidRPr="00045C52">
        <w:rPr>
          <w:rFonts w:ascii="Times New Roman" w:hAnsi="Times New Roman" w:cs="Times New Roman"/>
          <w:lang w:val="en-US"/>
        </w:rPr>
        <w:t>SNPs, insertion/deletion, and structural variants.</w:t>
      </w:r>
    </w:p>
    <w:p w:rsidR="002B0C0E" w:rsidRPr="00FD3352" w:rsidRDefault="002B0C0E" w:rsidP="002B0C0E">
      <w:pPr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Objective:</w:t>
      </w:r>
      <w:r w:rsidRPr="00045C52">
        <w:rPr>
          <w:rFonts w:ascii="Times New Roman" w:hAnsi="Times New Roman" w:cs="Times New Roman"/>
          <w:lang w:val="en-US"/>
        </w:rPr>
        <w:t xml:space="preserve"> Validate GenoStaR </w:t>
      </w:r>
      <w:r w:rsidRPr="00FD33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in 660 </w:t>
      </w:r>
      <w:r w:rsidR="004B47EB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genotyped </w:t>
      </w:r>
      <w:r w:rsidRPr="00FD33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individuals </w:t>
      </w:r>
      <w:r w:rsidR="004B47EB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from the MadManic cohor </w:t>
      </w:r>
      <w:r w:rsidR="004B47EB">
        <w:rPr>
          <w:rFonts w:ascii="Times New Roman" w:hAnsi="Times New Roman" w:cs="Times New Roman"/>
          <w:lang w:val="en-US"/>
        </w:rPr>
        <w:t>to</w:t>
      </w:r>
      <w:r w:rsidRPr="00045C52">
        <w:rPr>
          <w:rFonts w:ascii="Times New Roman" w:hAnsi="Times New Roman" w:cs="Times New Roman"/>
          <w:lang w:val="en-US"/>
        </w:rPr>
        <w:t xml:space="preserve"> obtain diplotypes, activity scores, and metabolic phenotypes for </w:t>
      </w:r>
      <w:r w:rsidRPr="00FD33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the main </w:t>
      </w:r>
      <w:r w:rsidRPr="00FD3352">
        <w:rPr>
          <w:rFonts w:ascii="Times New Roman" w:hAnsi="Times New Roman" w:cs="Times New Roman"/>
          <w:lang w:val="en-US"/>
        </w:rPr>
        <w:t xml:space="preserve">CYP450 </w:t>
      </w:r>
      <w:r w:rsidRPr="00FD33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genes (</w:t>
      </w:r>
      <w:r w:rsidRPr="004B47EB">
        <w:rPr>
          <w:rFonts w:ascii="Times New Roman" w:eastAsia="Times New Roman" w:hAnsi="Times New Roman" w:cs="Times New Roman"/>
          <w:i/>
          <w:kern w:val="0"/>
          <w:lang w:val="en-US" w:eastAsia="es-ES_tradnl"/>
          <w14:ligatures w14:val="none"/>
        </w:rPr>
        <w:t>CYP1A2, CYP2B6, CYP2C9, CYP2C19, CYP2D6, CYP3A4 and CYP3A5</w:t>
      </w:r>
      <w:r w:rsidRPr="00FD33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).</w:t>
      </w:r>
    </w:p>
    <w:p w:rsidR="002B0C0E" w:rsidRPr="00FD3352" w:rsidRDefault="002B0C0E" w:rsidP="002B0C0E">
      <w:pPr>
        <w:jc w:val="both"/>
        <w:rPr>
          <w:rFonts w:ascii="Times New Roman" w:hAnsi="Times New Roman" w:cs="Times New Roman"/>
          <w:color w:val="000000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Methods:</w:t>
      </w:r>
      <w:r w:rsidRPr="00045C52">
        <w:rPr>
          <w:rFonts w:ascii="Times New Roman" w:hAnsi="Times New Roman" w:cs="Times New Roman"/>
          <w:lang w:val="en-US"/>
        </w:rPr>
        <w:t> </w:t>
      </w:r>
      <w:r w:rsidRPr="00FD3352">
        <w:rPr>
          <w:rFonts w:ascii="Times New Roman" w:hAnsi="Times New Roman" w:cs="Times New Roman"/>
          <w:color w:val="000000"/>
        </w:rPr>
        <w:t>1</w:t>
      </w:r>
      <w:r w:rsidR="004B47EB">
        <w:rPr>
          <w:rFonts w:ascii="Times New Roman" w:hAnsi="Times New Roman" w:cs="Times New Roman"/>
          <w:color w:val="000000"/>
        </w:rPr>
        <w:t>,</w:t>
      </w:r>
      <w:r w:rsidRPr="00FD3352">
        <w:rPr>
          <w:rFonts w:ascii="Times New Roman" w:hAnsi="Times New Roman" w:cs="Times New Roman"/>
          <w:color w:val="000000"/>
        </w:rPr>
        <w:t>260 variants</w:t>
      </w:r>
      <w:r w:rsidR="004B47EB">
        <w:rPr>
          <w:rFonts w:ascii="Times New Roman" w:hAnsi="Times New Roman" w:cs="Times New Roman"/>
          <w:color w:val="000000"/>
        </w:rPr>
        <w:t xml:space="preserve"> </w:t>
      </w:r>
      <w:bookmarkStart w:id="0" w:name="_GoBack"/>
      <w:bookmarkEnd w:id="0"/>
      <w:r w:rsidR="004B47EB">
        <w:rPr>
          <w:rFonts w:ascii="Times New Roman" w:hAnsi="Times New Roman" w:cs="Times New Roman"/>
          <w:color w:val="000000"/>
        </w:rPr>
        <w:t xml:space="preserve">from </w:t>
      </w:r>
      <w:r w:rsidR="004B47EB" w:rsidRPr="00FD3352">
        <w:rPr>
          <w:rFonts w:ascii="Times New Roman" w:hAnsi="Times New Roman" w:cs="Times New Roman"/>
          <w:color w:val="000000"/>
        </w:rPr>
        <w:t>CYP450</w:t>
      </w:r>
      <w:r w:rsidR="004B47EB">
        <w:rPr>
          <w:rFonts w:ascii="Times New Roman" w:hAnsi="Times New Roman" w:cs="Times New Roman"/>
          <w:color w:val="000000"/>
        </w:rPr>
        <w:t xml:space="preserve"> genes</w:t>
      </w:r>
      <w:r w:rsidRPr="00FD3352">
        <w:rPr>
          <w:rFonts w:ascii="Times New Roman" w:hAnsi="Times New Roman" w:cs="Times New Roman"/>
          <w:color w:val="000000"/>
        </w:rPr>
        <w:t xml:space="preserve"> were extracted with PLINK. GenoStaR was applied using all_geno_pheno() with phased = FALSE and updated PharmVar nomenclature for CYP1A2 (“new”).</w:t>
      </w:r>
    </w:p>
    <w:p w:rsidR="002B0C0E" w:rsidRPr="00045C52" w:rsidRDefault="002B0C0E" w:rsidP="002B0C0E">
      <w:pPr>
        <w:jc w:val="both"/>
        <w:rPr>
          <w:rFonts w:ascii="Times New Roman" w:hAnsi="Times New Roman" w:cs="Times New Roman"/>
          <w:lang w:val="en-US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Results:</w:t>
      </w:r>
      <w:r w:rsidRPr="00045C52">
        <w:rPr>
          <w:rFonts w:ascii="Times New Roman" w:hAnsi="Times New Roman" w:cs="Times New Roman"/>
          <w:lang w:val="en-US"/>
        </w:rPr>
        <w:t> </w:t>
      </w:r>
      <w:r w:rsidRPr="00FD3352">
        <w:rPr>
          <w:rFonts w:ascii="Times New Roman" w:hAnsi="Times New Roman" w:cs="Times New Roman"/>
          <w:lang w:val="en-US"/>
        </w:rPr>
        <w:t>Very l</w:t>
      </w:r>
      <w:r w:rsidRPr="00045C52">
        <w:rPr>
          <w:rFonts w:ascii="Times New Roman" w:hAnsi="Times New Roman" w:cs="Times New Roman"/>
          <w:lang w:val="en-US"/>
        </w:rPr>
        <w:t xml:space="preserve">ow error was observed for missing variants. Call rates exceeded 95% for most genes and showed high concordance with ClinPGx. </w:t>
      </w:r>
      <w:r w:rsidR="00EB047A" w:rsidRPr="004B47EB">
        <w:rPr>
          <w:rFonts w:ascii="Times New Roman" w:hAnsi="Times New Roman" w:cs="Times New Roman"/>
          <w:i/>
          <w:lang w:val="en-US"/>
        </w:rPr>
        <w:t>CYP2D6</w:t>
      </w:r>
      <w:r w:rsidR="00EB047A">
        <w:rPr>
          <w:rFonts w:ascii="Times New Roman" w:hAnsi="Times New Roman" w:cs="Times New Roman"/>
          <w:lang w:val="en-US"/>
        </w:rPr>
        <w:t xml:space="preserve"> showed lower call rate</w:t>
      </w:r>
      <w:r w:rsidRPr="00045C52">
        <w:rPr>
          <w:rFonts w:ascii="Times New Roman" w:hAnsi="Times New Roman" w:cs="Times New Roman"/>
          <w:lang w:val="en-US"/>
        </w:rPr>
        <w:t xml:space="preserve"> and discrepancies due to complex diplotype assignment.</w:t>
      </w:r>
    </w:p>
    <w:p w:rsidR="002B0C0E" w:rsidRPr="00045C52" w:rsidRDefault="002B0C0E" w:rsidP="002B0C0E">
      <w:pPr>
        <w:jc w:val="both"/>
        <w:rPr>
          <w:rFonts w:ascii="Times New Roman" w:hAnsi="Times New Roman" w:cs="Times New Roman"/>
          <w:lang w:val="en-US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Discussion:</w:t>
      </w:r>
      <w:r w:rsidRPr="00045C52">
        <w:rPr>
          <w:rFonts w:ascii="Times New Roman" w:hAnsi="Times New Roman" w:cs="Times New Roman"/>
          <w:lang w:val="en-US"/>
        </w:rPr>
        <w:t xml:space="preserve"> GenoStaR is a fast tool for pharmacogenetic prediction, although improvements are needed for </w:t>
      </w:r>
      <w:r w:rsidRPr="004B47EB">
        <w:rPr>
          <w:rFonts w:ascii="Times New Roman" w:hAnsi="Times New Roman" w:cs="Times New Roman"/>
          <w:i/>
          <w:lang w:val="en-US"/>
        </w:rPr>
        <w:t>CYP2D6</w:t>
      </w:r>
      <w:r w:rsidRPr="00045C52">
        <w:rPr>
          <w:rFonts w:ascii="Times New Roman" w:hAnsi="Times New Roman" w:cs="Times New Roman"/>
          <w:lang w:val="en-US"/>
        </w:rPr>
        <w:t>.</w:t>
      </w:r>
    </w:p>
    <w:p w:rsidR="002B0C0E" w:rsidRPr="00FD3352" w:rsidRDefault="002B0C0E" w:rsidP="002B0C0E">
      <w:pPr>
        <w:rPr>
          <w:rFonts w:ascii="Times New Roman" w:hAnsi="Times New Roman" w:cs="Times New Roman"/>
          <w:lang w:val="en-US"/>
        </w:rPr>
      </w:pPr>
    </w:p>
    <w:p w:rsidR="002B0C0E" w:rsidRPr="00045C52" w:rsidRDefault="002B0C0E" w:rsidP="002B0C0E">
      <w:pPr>
        <w:rPr>
          <w:lang w:val="en-US"/>
        </w:rPr>
      </w:pPr>
    </w:p>
    <w:p w:rsidR="003E278D" w:rsidRPr="002B0C0E" w:rsidRDefault="004B47EB" w:rsidP="002B0C0E">
      <w:pPr>
        <w:rPr>
          <w:lang w:val="en-US"/>
        </w:rPr>
      </w:pPr>
    </w:p>
    <w:sectPr w:rsidR="003E278D" w:rsidRPr="002B0C0E" w:rsidSect="00B347B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C0E" w:rsidRDefault="002B0C0E" w:rsidP="002B0C0E">
      <w:r>
        <w:separator/>
      </w:r>
    </w:p>
  </w:endnote>
  <w:endnote w:type="continuationSeparator" w:id="0">
    <w:p w:rsidR="002B0C0E" w:rsidRDefault="002B0C0E" w:rsidP="002B0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C0E" w:rsidRDefault="002B0C0E" w:rsidP="002B0C0E">
      <w:r>
        <w:separator/>
      </w:r>
    </w:p>
  </w:footnote>
  <w:footnote w:type="continuationSeparator" w:id="0">
    <w:p w:rsidR="002B0C0E" w:rsidRDefault="002B0C0E" w:rsidP="002B0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C0E"/>
    <w:rsid w:val="00154B50"/>
    <w:rsid w:val="002B0C0E"/>
    <w:rsid w:val="004B47EB"/>
    <w:rsid w:val="00674BB6"/>
    <w:rsid w:val="00772BD0"/>
    <w:rsid w:val="00813F36"/>
    <w:rsid w:val="00840BC0"/>
    <w:rsid w:val="0091237F"/>
    <w:rsid w:val="009F6620"/>
    <w:rsid w:val="00EB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9DD3F"/>
  <w15:chartTrackingRefBased/>
  <w15:docId w15:val="{C134605E-8CC9-4D2B-AE1A-EE472BD3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C0E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D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C0E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B0C0E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B0C0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C0E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B0C0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C0E"/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674B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D0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CBM</dc:creator>
  <cp:keywords/>
  <dc:description/>
  <cp:lastModifiedBy>Claudio Toma</cp:lastModifiedBy>
  <cp:revision>4</cp:revision>
  <dcterms:created xsi:type="dcterms:W3CDTF">2026-05-18T14:29:00Z</dcterms:created>
  <dcterms:modified xsi:type="dcterms:W3CDTF">2026-05-20T14:51:00Z</dcterms:modified>
</cp:coreProperties>
</file>