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r>
    </w:p>
    <w:p>
      <w:pPr>
        <w:pStyle w:val="Normal1"/>
        <w:spacing w:lineRule="auto" w:line="240"/>
        <w:ind w:left="4251" w:hanging="0"/>
        <w:jc w:val="both"/>
        <w:rPr>
          <w:rFonts w:ascii="Times New Roman" w:hAnsi="Times New Roman" w:eastAsia="Times New Roman" w:cs="Times New Roman"/>
          <w:b/>
          <w:b/>
        </w:rPr>
      </w:pPr>
      <w:r>
        <w:rPr>
          <w:rFonts w:eastAsia="Times New Roman" w:cs="Times New Roman" w:ascii="Times New Roman" w:hAnsi="Times New Roman"/>
          <w:b/>
        </w:rPr>
        <w:t>ACCIÓN DE INCONSTITUCIONALIDAD PROMOVIDA POR {{ demandante_name }} CONTRA {{ ley_infringida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b/>
          <w:b/>
        </w:rPr>
      </w:pPr>
      <w:r>
        <w:rPr>
          <w:rFonts w:eastAsia="Times New Roman" w:cs="Times New Roman" w:ascii="Times New Roman" w:hAnsi="Times New Roman"/>
          <w:b/>
        </w:rPr>
        <w:t>A.I.N°: ……..</w:t>
      </w:r>
    </w:p>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rPr>
      </w:pPr>
      <w:r>
        <w:rPr>
          <w:rFonts w:eastAsia="Times New Roman" w:cs="Times New Roman" w:ascii="Times New Roman" w:hAnsi="Times New Roman"/>
        </w:rPr>
        <w:t>Asunción,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b/>
        </w:rPr>
        <w:t>VISTA:</w:t>
      </w:r>
      <w:r>
        <w:rPr>
          <w:rFonts w:eastAsia="Times New Roman" w:cs="Times New Roman" w:ascii="Times New Roman" w:hAnsi="Times New Roman"/>
        </w:rPr>
        <w:t xml:space="preserve"> La acción de inconstitucionalidad presentada por el/la Sr/a. </w:t>
      </w:r>
      <w:r>
        <w:rPr>
          <w:rFonts w:eastAsia="Times New Roman" w:cs="Times New Roman" w:ascii="Times New Roman" w:hAnsi="Times New Roman"/>
          <w:b/>
        </w:rPr>
        <w:t>{{ demandante_name }}</w:t>
      </w:r>
      <w:r>
        <w:rPr>
          <w:rFonts w:eastAsia="Times New Roman" w:cs="Times New Roman" w:ascii="Times New Roman" w:hAnsi="Times New Roman"/>
        </w:rPr>
        <w:t xml:space="preserve">, por derecho propio y bajo patrocinio de abogado, contra {{ ley_infringida }}, y </w:t>
      </w:r>
    </w:p>
    <w:p>
      <w:pPr>
        <w:pStyle w:val="Normal1"/>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CONSIDERANDO:</w:t>
      </w:r>
    </w:p>
    <w:p>
      <w:pPr>
        <w:pStyle w:val="Normal1"/>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la parte actora alega que el artículo impugnado infringen las disposiciones contenidas en los artículos 46, 47 y 109 de la Constitución Nacional.-</w:t>
      </w:r>
    </w:p>
    <w:p>
      <w:pPr>
        <w:pStyle w:val="Normal1"/>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550 del C.P.C. dispone: "Procedencia de la acción y juez competente. Toda persona lesionada en sus legítimos derechos por leyes, decretos, reglamentos, ordenanzas municipales, resoluciones u otros actos administrativos que infrinjan en su aplicación, los principios o normas de la Constitución, tendrá facultad de promover ante la Corte Suprema de Justicia, la acción de inconstitucionalidad en el modo establecido por las disposiciones de este capítulo".-</w:t>
      </w:r>
    </w:p>
    <w:p>
      <w:pPr>
        <w:pStyle w:val="Normal1"/>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el artículo 12 de la Ley 609/95 establece: "No se dará trámite a la acción de inconstitucionalidad en cuestiones no justiciables, ni a la demanda que no precise la norma constitucional afectada, ni justifique la lesión concreta que le ocasiona la ley, acto normativo, sentencia definitiva o interlocutoria".-</w:t>
      </w:r>
    </w:p>
    <w:p>
      <w:pPr>
        <w:pStyle w:val="Normal1"/>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la Acordada N° 979 de fecha 04 de agosto de 2015 establece en su artículo 2 "Disponer que tanto el trámite como el rechazo in limine de las acciones de inconstitucionalidad serán suscriptos por los Ministros de la Sala Constitucional de la Corte Suprema de Justicia, emitiendo su opinión en cada caso en particular".-</w:t>
      </w:r>
    </w:p>
    <w:p>
      <w:pPr>
        <w:pStyle w:val="Normal1"/>
        <w:spacing w:lineRule="auto" w:line="240"/>
        <w:ind w:firstLine="720"/>
        <w:jc w:val="both"/>
        <w:rPr>
          <w:rFonts w:ascii="Times New Roman" w:hAnsi="Times New Roman" w:eastAsia="Times New Roman" w:cs="Times New Roman"/>
        </w:rPr>
      </w:pPr>
      <w:r>
        <w:rPr>
          <w:rFonts w:eastAsia="Times New Roman" w:cs="Times New Roman" w:ascii="Times New Roman" w:hAnsi="Times New Roman"/>
        </w:rPr>
        <w:t>Que, analizado el escrito de presentación se constata que la parte accionante ha indicado concretamente el agravio, como también ha citado las normas que considera vulneradas, exponiendo con claridad y precisión su planteamiento, razones por las que corresponde dar trámite a la acción de inconstitucionalidad y correr vista a la Fiscalía General del Estado de conformidad con el artículo 554 del C.P.C.-</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firstLine="720"/>
        <w:rPr>
          <w:rFonts w:ascii="Times New Roman" w:hAnsi="Times New Roman" w:eastAsia="Times New Roman" w:cs="Times New Roman"/>
          <w:b/>
          <w:b/>
        </w:rPr>
      </w:pPr>
      <w:r>
        <w:rPr>
          <w:rFonts w:eastAsia="Times New Roman" w:cs="Times New Roman" w:ascii="Times New Roman" w:hAnsi="Times New Roman"/>
          <w:b/>
        </w:rPr>
        <w:t>POR TANTO, la</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jc w:val="center"/>
        <w:rPr>
          <w:rFonts w:ascii="Times New Roman" w:hAnsi="Times New Roman" w:eastAsia="Times New Roman" w:cs="Times New Roman"/>
          <w:b/>
          <w:b/>
        </w:rPr>
      </w:pPr>
      <w:r>
        <w:rPr>
          <w:rFonts w:eastAsia="Times New Roman" w:cs="Times New Roman" w:ascii="Times New Roman" w:hAnsi="Times New Roman"/>
          <w:b/>
        </w:rPr>
        <w:t>CORTE SUPREMA DE JUSTICIA</w:t>
      </w:r>
    </w:p>
    <w:p>
      <w:pPr>
        <w:pStyle w:val="Normal1"/>
        <w:spacing w:lineRule="auto" w:line="240"/>
        <w:jc w:val="center"/>
        <w:rPr>
          <w:rFonts w:ascii="Times New Roman" w:hAnsi="Times New Roman" w:eastAsia="Times New Roman" w:cs="Times New Roman"/>
          <w:b/>
          <w:b/>
        </w:rPr>
      </w:pPr>
      <w:r>
        <w:rPr>
          <w:rFonts w:eastAsia="Times New Roman" w:cs="Times New Roman" w:ascii="Times New Roman" w:hAnsi="Times New Roman"/>
          <w:b/>
        </w:rPr>
        <w:t>SALA CONSTITUCIONAL</w:t>
      </w:r>
    </w:p>
    <w:p>
      <w:pPr>
        <w:pStyle w:val="Normal1"/>
        <w:spacing w:lineRule="auto" w:line="240"/>
        <w:jc w:val="center"/>
        <w:rPr>
          <w:rFonts w:ascii="Times New Roman" w:hAnsi="Times New Roman" w:eastAsia="Times New Roman" w:cs="Times New Roman"/>
          <w:b/>
          <w:b/>
        </w:rPr>
      </w:pPr>
      <w:r>
        <w:rPr>
          <w:rFonts w:eastAsia="Times New Roman" w:cs="Times New Roman" w:ascii="Times New Roman" w:hAnsi="Times New Roman"/>
          <w:b/>
        </w:rPr>
        <w:t>RESUELVE:</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ind w:firstLine="720"/>
        <w:rPr>
          <w:rFonts w:ascii="Times New Roman" w:hAnsi="Times New Roman" w:eastAsia="Times New Roman" w:cs="Times New Roman"/>
        </w:rPr>
      </w:pPr>
      <w:r>
        <w:rPr>
          <w:rFonts w:eastAsia="Times New Roman" w:cs="Times New Roman" w:ascii="Times New Roman" w:hAnsi="Times New Roman"/>
          <w:b/>
        </w:rPr>
        <w:t>TENER</w:t>
      </w:r>
      <w:r>
        <w:rPr>
          <w:rFonts w:eastAsia="Times New Roman" w:cs="Times New Roman" w:ascii="Times New Roman" w:hAnsi="Times New Roman"/>
        </w:rPr>
        <w:t xml:space="preserve"> por presentado al recurrente en el carácter invocado y tener por constituido el domicilio en el lugar señalado.-</w:t>
      </w:r>
    </w:p>
    <w:p>
      <w:pPr>
        <w:pStyle w:val="Normal1"/>
        <w:spacing w:lineRule="auto" w:line="240"/>
        <w:ind w:firstLine="720"/>
        <w:rPr>
          <w:rFonts w:ascii="Times New Roman" w:hAnsi="Times New Roman" w:eastAsia="Times New Roman" w:cs="Times New Roman"/>
          <w:b/>
          <w:b/>
        </w:rPr>
      </w:pPr>
      <w:r>
        <w:rPr>
          <w:rFonts w:eastAsia="Times New Roman" w:cs="Times New Roman" w:ascii="Times New Roman" w:hAnsi="Times New Roman"/>
          <w:b/>
        </w:rPr>
        <w:t>ORDENAR</w:t>
      </w:r>
      <w:r>
        <w:rPr>
          <w:rFonts w:eastAsia="Times New Roman" w:cs="Times New Roman" w:ascii="Times New Roman" w:hAnsi="Times New Roman"/>
        </w:rPr>
        <w:t xml:space="preserve"> la agregación de las instrumentales presentadas.-</w:t>
      </w:r>
    </w:p>
    <w:p>
      <w:pPr>
        <w:pStyle w:val="Normal1"/>
        <w:spacing w:lineRule="auto" w:line="240"/>
        <w:ind w:firstLine="720"/>
        <w:rPr>
          <w:rFonts w:ascii="Times New Roman" w:hAnsi="Times New Roman" w:eastAsia="Times New Roman" w:cs="Times New Roman"/>
        </w:rPr>
      </w:pPr>
      <w:r>
        <w:rPr>
          <w:rFonts w:eastAsia="Times New Roman" w:cs="Times New Roman" w:ascii="Times New Roman" w:hAnsi="Times New Roman"/>
          <w:b/>
        </w:rPr>
        <w:t>DAR TRÁMITE</w:t>
      </w:r>
      <w:r>
        <w:rPr>
          <w:rFonts w:eastAsia="Times New Roman" w:cs="Times New Roman" w:ascii="Times New Roman" w:hAnsi="Times New Roman"/>
        </w:rPr>
        <w:t xml:space="preserve"> a la acción presentada por  el/la Sr/a. </w:t>
      </w:r>
      <w:r>
        <w:rPr>
          <w:rFonts w:eastAsia="Times New Roman" w:cs="Times New Roman" w:ascii="Times New Roman" w:hAnsi="Times New Roman"/>
          <w:b/>
        </w:rPr>
        <w:t>{{ demandante_name }}</w:t>
      </w:r>
      <w:r>
        <w:rPr>
          <w:rFonts w:eastAsia="Times New Roman" w:cs="Times New Roman" w:ascii="Times New Roman" w:hAnsi="Times New Roman"/>
        </w:rPr>
        <w:t>, por derecho propio y bajo patrocinio de abogado, contra {{ ley_infringida }}.-</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CORRER</w:t>
      </w:r>
      <w:r>
        <w:rPr>
          <w:rFonts w:eastAsia="Times New Roman" w:cs="Times New Roman" w:ascii="Times New Roman" w:hAnsi="Times New Roman"/>
        </w:rPr>
        <w:t xml:space="preserve"> Vista a la Fiscalía General del Estado.-</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FIJAR</w:t>
      </w:r>
      <w:r>
        <w:rPr>
          <w:rFonts w:eastAsia="Times New Roman" w:cs="Times New Roman" w:ascii="Times New Roman" w:hAnsi="Times New Roman"/>
        </w:rPr>
        <w:t xml:space="preserve"> días de notificación en Secretaría los martes y jueves de cada semana, de conformidad a lo dispuesto en el Art. 131 del C.P.C.-</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b/>
        </w:rPr>
        <w:t>ANOTAR</w:t>
      </w:r>
      <w:r>
        <w:rPr>
          <w:rFonts w:eastAsia="Times New Roman" w:cs="Times New Roman" w:ascii="Times New Roman" w:hAnsi="Times New Roman"/>
        </w:rPr>
        <w:t xml:space="preserve"> y registrar.-</w:t>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0"/>
        <w:rPr>
          <w:rFonts w:ascii="Times New Roman" w:hAnsi="Times New Roman" w:eastAsia="Times New Roman" w:cs="Times New Roman"/>
        </w:rPr>
      </w:pPr>
      <w:r>
        <w:rPr>
          <w:rFonts w:eastAsia="Times New Roman" w:cs="Times New Roman" w:ascii="Times New Roman" w:hAnsi="Times New Roman"/>
        </w:rPr>
        <w:t>Ante mi:</w:t>
      </w:r>
    </w:p>
    <w:p>
      <w:pPr>
        <w:pStyle w:val="Normal1"/>
        <w:rPr>
          <w:sz w:val="24"/>
          <w:szCs w:val="24"/>
        </w:rPr>
      </w:pPr>
      <w:r>
        <w:rPr/>
      </w:r>
    </w:p>
    <w:sectPr>
      <w:headerReference w:type="default" r:id="rId2"/>
      <w:type w:val="nextPage"/>
      <w:pgSz w:w="12240" w:h="18720"/>
      <w:pgMar w:left="1417" w:right="1133" w:gutter="0" w:header="1133" w:top="1190" w:footer="0" w:bottom="113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1" distT="114300" distB="114300" distL="114300" distR="114300" simplePos="0" locked="0" layoutInCell="0" allowOverlap="1" relativeHeight="2">
          <wp:simplePos x="0" y="0"/>
          <wp:positionH relativeFrom="column">
            <wp:posOffset>0</wp:posOffset>
          </wp:positionH>
          <wp:positionV relativeFrom="paragraph">
            <wp:posOffset>-605790</wp:posOffset>
          </wp:positionV>
          <wp:extent cx="899795" cy="89979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anchor>
      </w:drawing>
    </w:r>
    <w:r>
      <w:rPr>
        <w:rFonts w:eastAsia="Times New Roman" w:cs="Times New Roman" w:ascii="Times New Roman" w:hAnsi="Times New Roman"/>
        <w:b/>
        <w:sz w:val="24"/>
        <w:szCs w:val="24"/>
      </w:rPr>
      <w:t>CORTE SUPREMA DE JUSTICIA</w:t>
    </w:r>
  </w:p>
</w:hdr>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401</Words>
  <Characters>2224</Characters>
  <CharactersWithSpaces>2605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2023-05-08T11:00:09Z</dcterms:modified>
  <cp:revision>1</cp:revision>
  <dc:subject/>
  <dc:title/>
</cp:coreProperties>
</file>