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Modelado analítico avanzado para decisiones gerenciales</w:t>
      </w:r>
    </w:p>
    <w:p>
      <w:pPr>
        <w:pStyle w:val="Subtitle"/>
      </w:pPr>
      <w:r>
        <w:t>Módulo 1 del curso Power BI avanzado</w:t>
      </w:r>
    </w:p>
    <w:p>
      <w:r>
        <w:t>Guía de clase y práctica aplicada</w:t>
        <w:br/>
        <w:t>Docente  Dra. Diana Rangel</w:t>
        <w:br/>
        <w:t>Duración  3 horas guiadas y 2 horas de trabajo independiente</w:t>
      </w:r>
    </w:p>
    <w:p>
      <w:pPr>
        <w:pStyle w:val="Heading2"/>
      </w:pPr>
      <w:r>
        <w:t>Propósito del módulo</w:t>
      </w:r>
    </w:p>
    <w:p>
      <w:r>
        <w:t>Construir y auditar un modelo que compare ventas reales con metas sin duplicar importes ni presentar resultados en un nivel de detalle que los datos no permiten. La calidad del indicador depende de la definición del negocio y de las relaciones del modelo antes de depender de la fórmula DAX.</w:t>
      </w:r>
    </w:p>
    <w:p>
      <w:pPr>
        <w:pStyle w:val="Heading2"/>
      </w:pPr>
      <w:r>
        <w:t>Resultados de aprendizaje</w:t>
      </w:r>
    </w:p>
    <w:p>
      <w:pPr>
        <w:pStyle w:val="ListBullet"/>
      </w:pPr>
      <w:r>
        <w:t>Declarar qué representa una fila en cada tabla y justificar su granularidad.</w:t>
      </w:r>
    </w:p>
    <w:p>
      <w:pPr>
        <w:pStyle w:val="ListBullet"/>
      </w:pPr>
      <w:r>
        <w:t>Diseñar dimensiones compartidas y dos tablas de hechos con distintos niveles de detalle.</w:t>
      </w:r>
    </w:p>
    <w:p>
      <w:pPr>
        <w:pStyle w:val="ListBullet"/>
      </w:pPr>
      <w:r>
        <w:t>Configurar relaciones y explicar cómo viajan los filtros.</w:t>
      </w:r>
    </w:p>
    <w:p>
      <w:pPr>
        <w:pStyle w:val="ListBullet"/>
      </w:pPr>
      <w:r>
        <w:t>Validar ingresos, margen y cumplimiento con cifras de control.</w:t>
      </w:r>
    </w:p>
    <w:p>
      <w:pPr>
        <w:pStyle w:val="ListBullet"/>
      </w:pPr>
      <w:r>
        <w:t>Identificar cuándo una comparación carece de una meta compatible.</w:t>
      </w:r>
    </w:p>
    <w:p>
      <w:pPr>
        <w:pStyle w:val="Heading2"/>
      </w:pPr>
      <w:r>
        <w:t>Caso de trabajo</w:t>
      </w:r>
    </w:p>
    <w:p>
      <w:r>
        <w:t>La empresa ficticia Horizonte Comercial opera las sucursales Norte y Sur. La dirección solicita evaluar el cumplimiento mensual y el margen. Ventas contiene líneas de pedido; Metas contiene un importe mensual por sucursal. Todos los datos son sintéticos, en pesos mexicanos, sin IVA y con costos totales por línea.</w:t>
      </w:r>
    </w:p>
    <w:p>
      <w:r>
        <w:t>Pregunta para abrir la sesión: si el tablero muestra 110 % de cumplimiento, ¿qué comprobaría antes de autorizar un bono? El participante deberá justificar el periodo, la definición de ingreso y el nivel de detalle de la meta.</w:t>
      </w:r>
    </w:p>
    <w:p>
      <w:pPr>
        <w:pStyle w:val="Heading2"/>
      </w:pPr>
      <w:r>
        <w:t>Alcance</w:t>
      </w:r>
    </w:p>
    <w:p>
      <w:r>
        <w:t>Este módulo establece el modelo para el resto del curso. Las medidas DAX se emplean como instrumentos de validación; su evaluación detallada se desarrolla en los módulos siguientes. No se requiere publicar el informe para realizar la práctica.</w:t>
      </w:r>
    </w:p>
    <w:p>
      <w:r>
        <w:br w:type="page"/>
      </w:r>
    </w:p>
    <w:p>
      <w:pPr>
        <w:pStyle w:val="Heading1"/>
      </w:pPr>
      <w:r>
        <w:t>Secuencia de la sesión y conceptos críticos</w:t>
      </w:r>
    </w:p>
    <w:tbl>
      <w:tblPr>
        <w:tblW w:type="auto" w:w="0"/>
        <w:tblLayout w:type="autofit"/>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Bloque</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Minutos</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Actividad</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Apertura y diagnóstico</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15</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Discutir el indicador de cumplimiento y sus supuestos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Diseño del modelo</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40</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Definir granularidad, claves y dimensiones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Caso de duplicación</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20</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Contrastar una combinación incorrecta con dos hechos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Descanso</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10</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Pausa</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Laboratorio guiado</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65</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Cargar tablas, relacionar y construir medidas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Validación y debate</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20</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Contrastar resultados y discutir restricciones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Cierre</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10</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Explicar tarea y criterios de evaluación</w:t>
            </w:r>
          </w:p>
        </w:tc>
      </w:tr>
    </w:tbl>
    <w:p>
      <w:pPr>
        <w:spacing w:after="40" w:line="40" w:lineRule="exact" w:before="0"/>
      </w:pPr>
    </w:p>
    <w:p>
      <w:pPr>
        <w:pStyle w:val="Heading2"/>
      </w:pPr>
      <w:r>
        <w:t>Granularidad</w:t>
      </w:r>
    </w:p>
    <w:p>
      <w:r>
        <w:t>Es la definición exacta de una fila. En Ventas, una fila es una línea de pedido. En Metas, una fila es la combinación mes y sucursal. Declarar solo “datos de ventas” es insuficiente: un pedido puede contener varias líneas y no debe contarse como varios pedidos.</w:t>
      </w:r>
    </w:p>
    <w:p>
      <w:pPr>
        <w:pStyle w:val="Heading2"/>
      </w:pPr>
      <w:r>
        <w:t>Hechos y dimensiones</w:t>
      </w:r>
    </w:p>
    <w:p>
      <w:r>
        <w:t>Los hechos registran eventos o valores observados, como ingresos y costos. Las dimensiones describen los ejes de análisis, como producto, sucursal y fecha. La clave de una dimensión debe identificar una fila de manera única; la clave correspondiente puede repetirse en la tabla de hechos.</w:t>
      </w:r>
    </w:p>
    <w:p>
      <w:pPr>
        <w:pStyle w:val="Heading2"/>
      </w:pPr>
      <w:r>
        <w:t>Aditividad y porcentajes</w:t>
      </w:r>
    </w:p>
    <w:p>
      <w:r>
        <w:t>Ingresos y costos de este caso se pueden sumar entre líneas. El margen porcentual se calcula como utilidad total dividida entre ingreso total; no como promedio simple de los márgenes de cada línea. El inventario a una fecha es un ejemplo de saldo que no debe sumarse indiscriminadamente entre fechas.</w:t>
      </w:r>
    </w:p>
    <w:p>
      <w:pPr>
        <w:pStyle w:val="Heading2"/>
      </w:pPr>
      <w:r>
        <w:t>Filtros y ambigüedad</w:t>
      </w:r>
    </w:p>
    <w:p>
      <w:r>
        <w:t>La configuración inicial será uno a varios, con filtro único desde la dimensión hacia el hecho. Las relaciones bidireccionales requieren una necesidad explícita y validación de rutas; no deben utilizarse para ocultar claves duplicadas o relaciones mal definidas.</w:t>
      </w:r>
    </w:p>
    <w:p>
      <w:r>
        <w:br w:type="page"/>
      </w:r>
    </w:p>
    <w:p>
      <w:pPr>
        <w:pStyle w:val="Heading1"/>
      </w:pPr>
      <w:r>
        <w:t>Datos reproducibles del laboratorio</w:t>
      </w:r>
    </w:p>
    <w:p>
      <w:r>
        <w:t>En Power BI Desktop utilice Introducir datos y cree las siguientes cinco tablas con los nombres y columnas indicados. No agregue separadores de miles ni símbolos monetarios al capturar. Asigne tipo Fecha a las fechas; números enteros a las claves; decimal fijo a los importes. Las fechas se muestran en formato ISO año mes día.</w:t>
      </w:r>
    </w:p>
    <w:p>
      <w:pPr>
        <w:pStyle w:val="Heading2"/>
      </w:pPr>
      <w:r>
        <w:t>DimSucursal</w:t>
      </w:r>
    </w:p>
    <w:tbl>
      <w:tblPr>
        <w:tblW w:type="auto" w:w="0"/>
        <w:tblLayout w:type="autofit"/>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SucursalID</w:t>
            </w:r>
          </w:p>
        </w:tc>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Sucursal</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Norte</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2</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Sur</w:t>
            </w:r>
          </w:p>
        </w:tc>
      </w:tr>
    </w:tbl>
    <w:p>
      <w:pPr>
        <w:spacing w:after="40" w:line="40" w:lineRule="exact" w:before="0"/>
      </w:pPr>
    </w:p>
    <w:p>
      <w:pPr>
        <w:pStyle w:val="Heading2"/>
      </w:pPr>
      <w:r>
        <w:t>DimProducto</w:t>
      </w:r>
    </w:p>
    <w:tbl>
      <w:tblPr>
        <w:tblW w:type="auto" w:w="0"/>
        <w:tblLayout w:type="autofit"/>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ProductoID</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Producto</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Categoria</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101</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Equipo A</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Equipos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102</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Servicio B</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Servicios</w:t>
            </w:r>
          </w:p>
        </w:tc>
      </w:tr>
    </w:tbl>
    <w:p>
      <w:pPr>
        <w:spacing w:after="40" w:line="40" w:lineRule="exact" w:before="0"/>
      </w:pPr>
    </w:p>
    <w:p>
      <w:pPr>
        <w:pStyle w:val="Heading2"/>
      </w:pPr>
      <w:r>
        <w:t>Ventas</w:t>
      </w:r>
    </w:p>
    <w:tbl>
      <w:tblPr>
        <w:tblW w:type="auto" w:w="0"/>
        <w:tblLayout w:type="autofit"/>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LineaID</w:t>
            </w:r>
          </w:p>
        </w:tc>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PedidoID</w:t>
            </w:r>
          </w:p>
        </w:tc>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Fecha</w:t>
            </w:r>
          </w:p>
        </w:tc>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SucursalID</w:t>
            </w:r>
          </w:p>
        </w:tc>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ProductoID</w:t>
            </w:r>
          </w:p>
        </w:tc>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Ingreso</w:t>
            </w:r>
          </w:p>
        </w:tc>
        <w:tc>
          <w:tcPr>
            <w:tcW w:type="dxa" w:w="1440"/>
            <w:tcBorders>
              <w:top w:val="single" w:sz="4" w:color="D9D9D9"/>
              <w:left w:val="single" w:sz="4" w:color="D9D9D9"/>
              <w:bottom w:val="single" w:sz="4" w:color="D9D9D9"/>
              <w:right w:val="single" w:sz="4" w:color="D9D9D9"/>
            </w:tcBorders>
            <w:shd w:fill="DDE5EF"/>
          </w:tcPr>
          <w:p>
            <w:pPr>
              <w:spacing w:after="80" w:before="80"/>
            </w:pPr>
            <w:r>
              <w:rPr>
                <w:b/>
                <w:sz w:val="18"/>
              </w:rPr>
              <w:t>Costo</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P01</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2026-01-05</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101</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10000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7000</w:t>
            </w:r>
          </w:p>
        </w:tc>
      </w:tr>
      <w:tr>
        <w:trPr>
          <w:cantSplit/>
        </w:trPr>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2</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P01</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2026-01-05</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1</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102</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5000</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2000</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3</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P02</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2026-01-10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2</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101</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8000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6000</w:t>
            </w:r>
          </w:p>
        </w:tc>
      </w:tr>
      <w:tr>
        <w:trPr>
          <w:cantSplit/>
        </w:trPr>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4</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P03</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2026-02-03</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1</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101</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12000</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8400</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5</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P04</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2026-02-08</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2</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102</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6000</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2400</w:t>
            </w:r>
          </w:p>
        </w:tc>
      </w:tr>
      <w:tr>
        <w:trPr>
          <w:cantSplit/>
        </w:trPr>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6</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P05</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2026-02-15</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2</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101</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4000</w:t>
            </w:r>
          </w:p>
        </w:tc>
        <w:tc>
          <w:tcPr>
            <w:tcW w:type="dxa" w:w="1440"/>
            <w:tcBorders>
              <w:top w:val="single" w:sz="4" w:color="D9D9D9"/>
              <w:left w:val="single" w:sz="4" w:color="D9D9D9"/>
              <w:bottom w:val="single" w:sz="4" w:color="D9D9D9"/>
              <w:right w:val="single" w:sz="4" w:color="D9D9D9"/>
            </w:tcBorders>
            <w:shd w:fill="F5F7FA"/>
          </w:tcPr>
          <w:p>
            <w:pPr>
              <w:spacing w:after="80" w:before="80"/>
            </w:pPr>
            <w:r>
              <w:rPr>
                <w:b w:val="0"/>
                <w:sz w:val="18"/>
              </w:rPr>
              <w:t>3000</w:t>
            </w:r>
          </w:p>
        </w:tc>
      </w:tr>
    </w:tbl>
    <w:p>
      <w:pPr>
        <w:spacing w:after="40" w:line="40" w:lineRule="exact" w:before="0"/>
      </w:pPr>
    </w:p>
    <w:p>
      <w:pPr>
        <w:pStyle w:val="Heading2"/>
      </w:pPr>
      <w:r>
        <w:t>Metas</w:t>
      </w:r>
    </w:p>
    <w:tbl>
      <w:tblPr>
        <w:tblW w:type="auto" w:w="0"/>
        <w:tblLayout w:type="autofit"/>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MesInicio</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SucursalID</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Meta</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2026-01-01</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14000</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2026-01-01</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2</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10000</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2026-02-01</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15000</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2026-02-01</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2</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9000</w:t>
            </w:r>
          </w:p>
        </w:tc>
      </w:tr>
    </w:tbl>
    <w:p>
      <w:pPr>
        <w:spacing w:after="40" w:line="40" w:lineRule="exact" w:before="0"/>
      </w:pPr>
    </w:p>
    <w:p>
      <w:pPr>
        <w:pStyle w:val="Heading2"/>
      </w:pPr>
      <w:r>
        <w:t>DimMes</w:t>
      </w:r>
    </w:p>
    <w:tbl>
      <w:tblPr>
        <w:tblW w:type="auto" w:w="0"/>
        <w:tblLayout w:type="autofit"/>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MesInicio</w:t>
            </w:r>
          </w:p>
        </w:tc>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AnioMes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2026-01-01</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2026-01</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2026-02-01</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2026-02</w:t>
            </w:r>
          </w:p>
        </w:tc>
      </w:tr>
    </w:tbl>
    <w:p>
      <w:pPr>
        <w:spacing w:after="40" w:line="40" w:lineRule="exact" w:before="0"/>
      </w:pPr>
    </w:p>
    <w:p>
      <w:r>
        <w:br w:type="page"/>
      </w:r>
    </w:p>
    <w:p>
      <w:pPr>
        <w:pStyle w:val="Heading1"/>
      </w:pPr>
      <w:r>
        <w:t>Construcción y auditoría del modelo</w:t>
      </w:r>
    </w:p>
    <w:p>
      <w:pPr>
        <w:pStyle w:val="Heading2"/>
      </w:pPr>
      <w:r>
        <w:t>Preparar la clave mensual de ventas</w:t>
      </w:r>
    </w:p>
    <w:p>
      <w:r>
        <w:t>En Ventas cree la columna calculada MesInicio y asígnele tipo Fecha. Mantenga Fecha como fecha diaria de operación.</w:t>
      </w:r>
    </w:p>
    <w:p>
      <w:pPr>
        <w:spacing w:after="160"/>
      </w:pPr>
      <w:r>
        <w:rPr>
          <w:rFonts w:ascii="DejaVu Sans Mono" w:hAnsi="DejaVu Sans Mono"/>
          <w:sz w:val="16"/>
        </w:rPr>
        <w:t>MesInicio = DATE(YEAR(Ventas[Fecha]), MONTH(Ventas[Fecha]), 1)</w:t>
      </w:r>
    </w:p>
    <w:p>
      <w:pPr>
        <w:pStyle w:val="Heading2"/>
      </w:pPr>
      <w:r>
        <w:t>Paso 1 Crear la dimensión diaria</w:t>
      </w:r>
    </w:p>
    <w:p>
      <w:r>
        <w:t>Cree la tabla calculada DimFecha con un calendario de días continuos. Marque esta tabla como tabla de fechas y seleccione su columna Date. Compruebe que Fecha en Ventas no contenga una componente de hora.</w:t>
      </w:r>
    </w:p>
    <w:p>
      <w:pPr>
        <w:spacing w:after="160"/>
      </w:pPr>
      <w:r>
        <w:rPr>
          <w:rFonts w:ascii="DejaVu Sans Mono" w:hAnsi="DejaVu Sans Mono"/>
          <w:sz w:val="16"/>
        </w:rPr>
        <w:t>DimFecha = CALENDAR(DATE(2026, 1, 1), DATE(2026, 12, 31))</w:t>
      </w:r>
    </w:p>
    <w:p>
      <w:r>
        <w:t>Las fórmulas usan comas como separadores. Si su configuración regional requiere punto y coma, sustituya los separadores de argumentos.</w:t>
      </w:r>
    </w:p>
    <w:p>
      <w:pPr>
        <w:pStyle w:val="Heading2"/>
      </w:pPr>
      <w:r>
        <w:t>Paso 2 Configurar las relaciones</w:t>
      </w:r>
    </w:p>
    <w:p>
      <w:r>
        <w:t>Revise o elimine las relaciones detectadas automáticamente que contradigan esta lista. Todas las relaciones del laboratorio son activas, de uno a varios y con filtro único desde la primera tabla hacia la segunda.</w:t>
      </w:r>
    </w:p>
    <w:tbl>
      <w:tblPr>
        <w:tblW w:type="auto" w:w="0"/>
        <w:tblLayout w:type="autofit"/>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Lado uno</w:t>
            </w:r>
          </w:p>
        </w:tc>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Lado varios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DimSucursal[SucursalID]</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Ventas[SucursalID]</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DimSucursal[SucursalID]</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Metas[SucursalID]</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DimProducto[ProductoID]</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Ventas[ProductoID]</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DimMes[MesInicio]</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Ventas[MesInicio]</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DimMes[MesInicio]</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Metas[MesInicio]</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DimFecha[Date]</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Ventas[Fecha]</w:t>
            </w:r>
          </w:p>
        </w:tc>
      </w:tr>
    </w:tbl>
    <w:p>
      <w:pPr>
        <w:spacing w:after="40" w:line="40" w:lineRule="exact" w:before="0"/>
      </w:pPr>
    </w:p>
    <w:p>
      <w:pPr>
        <w:pStyle w:val="Heading2"/>
      </w:pPr>
      <w:r>
        <w:t>Paso 3 Respetar el nivel de la meta</w:t>
      </w:r>
    </w:p>
    <w:p>
      <w:r>
        <w:t>No relacione Ventas directamente con Metas. DimMes permite filtrar ambas por meses completos. DimFecha filtra únicamente las ventas; una meta mensual no se convierte por ello en una meta diaria. No relacione DimMes con DimFecha en este diseño, para evitar dos rutas activas desde el mes hacia Ventas.</w:t>
      </w:r>
    </w:p>
    <w:p>
      <w:r>
        <w:t>Para comparar cumplimiento utilice AnioMes de DimMes y Sucursal de DimSucursal. Reserve DimFecha para analizar ventas diarias. La práctica no distribuye metas por día ni por producto, porque no existe una regla de asignación aprobada.</w:t>
      </w:r>
    </w:p>
    <w:p>
      <w:pPr>
        <w:pStyle w:val="Heading2"/>
      </w:pPr>
      <w:r>
        <w:t>Paso 4 Controlar integridad y presentación</w:t>
      </w:r>
    </w:p>
    <w:p>
      <w:r>
        <w:t>Compruebe unicidad en cada dimensión y en la combinación MesInicio más SucursalID de Metas. Verifique que toda clave de Ventas y Metas exista en su dimensión. Oculte claves técnicas en la vista de informe y utilice los atributos de las dimensiones en ejes y filtros.</w:t>
      </w:r>
    </w:p>
    <w:p>
      <w:r>
        <w:br w:type="page"/>
      </w:r>
    </w:p>
    <w:p>
      <w:pPr>
        <w:pStyle w:val="Heading1"/>
      </w:pPr>
      <w:r>
        <w:t>Medidas y comprobaciones numéricas</w:t>
      </w:r>
    </w:p>
    <w:p>
      <w:r>
        <w:t>Cree cada expresión como una medida independiente. Aplique formato de moneda a ingresos, costos, utilidad y metas; porcentaje con dos decimales a margen y cumplimiento.</w:t>
      </w:r>
    </w:p>
    <w:p>
      <w:pPr>
        <w:spacing w:after="160"/>
      </w:pPr>
      <w:r>
        <w:rPr>
          <w:rFonts w:ascii="DejaVu Sans Mono" w:hAnsi="DejaVu Sans Mono"/>
          <w:sz w:val="16"/>
        </w:rPr>
        <w:t>Ingresos = SUM(Ventas[Ingreso])</w:t>
        <w:br/>
        <w:br/>
        <w:t>Costos = SUM(Ventas[Costo])</w:t>
        <w:br/>
        <w:br/>
        <w:t>Utilidad = [Ingresos] - [Costos]</w:t>
        <w:br/>
        <w:br/>
        <w:t>Margen = DIVIDE([Utilidad], [Ingresos])</w:t>
        <w:br/>
        <w:br/>
        <w:t>Meta mensual = SUM(Metas[Meta])</w:t>
        <w:br/>
        <w:br/>
        <w:t>Pedidos = DISTINCTCOUNT(Ventas[PedidoID])</w:t>
      </w:r>
    </w:p>
    <w:p>
      <w:pPr>
        <w:pStyle w:val="Heading2"/>
      </w:pPr>
      <w:r>
        <w:t>Evitar comparaciones fuera de alcance</w:t>
      </w:r>
    </w:p>
    <w:p>
      <w:r>
        <w:t>En este caso no existe meta por producto ni por día. La siguiente medida devuelve vacío si se utiliza cualquiera de esas dimensiones para filtrar. Es una protección específica para este modelo; si se incorporan nuevas dimensiones o filtros sobre los hechos, deberá revisarse.</w:t>
      </w:r>
    </w:p>
    <w:p>
      <w:pPr>
        <w:spacing w:after="160"/>
      </w:pPr>
      <w:r>
        <w:rPr>
          <w:rFonts w:ascii="DejaVu Sans Mono" w:hAnsi="DejaVu Sans Mono"/>
          <w:sz w:val="16"/>
        </w:rPr>
        <w:t>Cumplimiento =</w:t>
        <w:br/>
        <w:t>VAR NivelNoCompatible =</w:t>
        <w:br/>
        <w:t xml:space="preserve">    ISCROSSFILTERED(DimProducto)</w:t>
        <w:br/>
        <w:t xml:space="preserve">        || ISCROSSFILTERED(DimFecha)</w:t>
        <w:br/>
        <w:t>RETURN</w:t>
        <w:br/>
        <w:t xml:space="preserve">    IF(</w:t>
        <w:br/>
        <w:t xml:space="preserve">        NivelNoCompatible,</w:t>
        <w:br/>
        <w:t xml:space="preserve">        BLANK(),</w:t>
        <w:br/>
        <w:t xml:space="preserve">        DIVIDE([Ingresos], [Meta mensual])</w:t>
        <w:br/>
        <w:t xml:space="preserve">    )</w:t>
      </w:r>
    </w:p>
    <w:p>
      <w:pPr>
        <w:pStyle w:val="Heading2"/>
      </w:pPr>
      <w:r>
        <w:t>Cifras de control con DimMes y DimSucursal</w:t>
      </w:r>
    </w:p>
    <w:tbl>
      <w:tblPr>
        <w:tblW w:type="auto" w:w="0"/>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tcBorders>
              <w:top w:val="single" w:sz="4" w:color="D9D9D9"/>
              <w:left w:val="single" w:sz="4" w:color="D9D9D9"/>
              <w:bottom w:val="single" w:sz="4" w:color="D9D9D9"/>
              <w:right w:val="single" w:sz="4" w:color="D9D9D9"/>
            </w:tcBorders>
            <w:shd w:fill="DDE5EF"/>
          </w:tcPr>
          <w:p>
            <w:pPr>
              <w:spacing w:after="80" w:before="80"/>
            </w:pPr>
            <w:r>
              <w:rPr>
                <w:b/>
                <w:sz w:val="18"/>
              </w:rPr>
              <w:t>Periodo</w:t>
            </w:r>
          </w:p>
        </w:tc>
        <w:tc>
          <w:tcPr>
            <w:tcW w:type="dxa" w:w="2016"/>
            <w:tcBorders>
              <w:top w:val="single" w:sz="4" w:color="D9D9D9"/>
              <w:left w:val="single" w:sz="4" w:color="D9D9D9"/>
              <w:bottom w:val="single" w:sz="4" w:color="D9D9D9"/>
              <w:right w:val="single" w:sz="4" w:color="D9D9D9"/>
            </w:tcBorders>
            <w:shd w:fill="DDE5EF"/>
          </w:tcPr>
          <w:p>
            <w:pPr>
              <w:spacing w:after="80" w:before="80"/>
            </w:pPr>
            <w:r>
              <w:rPr>
                <w:b/>
                <w:sz w:val="18"/>
              </w:rPr>
              <w:t>Sucursal</w:t>
            </w:r>
          </w:p>
        </w:tc>
        <w:tc>
          <w:tcPr>
            <w:tcW w:type="dxa" w:w="2016"/>
            <w:tcBorders>
              <w:top w:val="single" w:sz="4" w:color="D9D9D9"/>
              <w:left w:val="single" w:sz="4" w:color="D9D9D9"/>
              <w:bottom w:val="single" w:sz="4" w:color="D9D9D9"/>
              <w:right w:val="single" w:sz="4" w:color="D9D9D9"/>
            </w:tcBorders>
            <w:shd w:fill="DDE5EF"/>
          </w:tcPr>
          <w:p>
            <w:pPr>
              <w:spacing w:after="80" w:before="80"/>
            </w:pPr>
            <w:r>
              <w:rPr>
                <w:b/>
                <w:sz w:val="18"/>
              </w:rPr>
              <w:t>Ingresos</w:t>
            </w:r>
          </w:p>
        </w:tc>
        <w:tc>
          <w:tcPr>
            <w:tcW w:type="dxa" w:w="2016"/>
            <w:tcBorders>
              <w:top w:val="single" w:sz="4" w:color="D9D9D9"/>
              <w:left w:val="single" w:sz="4" w:color="D9D9D9"/>
              <w:bottom w:val="single" w:sz="4" w:color="D9D9D9"/>
              <w:right w:val="single" w:sz="4" w:color="D9D9D9"/>
            </w:tcBorders>
            <w:shd w:fill="DDE5EF"/>
          </w:tcPr>
          <w:p>
            <w:pPr>
              <w:spacing w:after="80" w:before="80"/>
            </w:pPr>
            <w:r>
              <w:rPr>
                <w:b/>
                <w:sz w:val="18"/>
              </w:rPr>
              <w:t>Meta</w:t>
            </w:r>
          </w:p>
        </w:tc>
        <w:tc>
          <w:tcPr>
            <w:tcW w:type="dxa" w:w="2016"/>
            <w:tcBorders>
              <w:top w:val="single" w:sz="4" w:color="D9D9D9"/>
              <w:left w:val="single" w:sz="4" w:color="D9D9D9"/>
              <w:bottom w:val="single" w:sz="4" w:color="D9D9D9"/>
              <w:right w:val="single" w:sz="4" w:color="D9D9D9"/>
            </w:tcBorders>
            <w:shd w:fill="DDE5EF"/>
          </w:tcPr>
          <w:p>
            <w:pPr>
              <w:spacing w:after="80" w:before="80"/>
            </w:pPr>
            <w:r>
              <w:rPr>
                <w:b/>
                <w:sz w:val="18"/>
              </w:rPr>
              <w:t>Cumplimiento</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2026-01</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Norte</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15000</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14000</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107.14 %</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2026-01</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Sur</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8000</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10000</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80.00 %</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2026-02</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Norte</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12000</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15000</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80.00 %</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2026-02</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Sur</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10000</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9000</w:t>
            </w:r>
          </w:p>
        </w:tc>
        <w:tc>
          <w:tcPr>
            <w:tcW w:type="dxa" w:w="2016"/>
            <w:tcBorders>
              <w:top w:val="single" w:sz="4" w:color="D9D9D9"/>
              <w:left w:val="single" w:sz="4" w:color="D9D9D9"/>
              <w:bottom w:val="single" w:sz="4" w:color="D9D9D9"/>
              <w:right w:val="single" w:sz="4" w:color="D9D9D9"/>
            </w:tcBorders>
            <w:shd w:fill="F5F7FA"/>
          </w:tcPr>
          <w:p>
            <w:pPr>
              <w:spacing w:after="80" w:before="80"/>
            </w:pPr>
            <w:r>
              <w:rPr>
                <w:b w:val="0"/>
                <w:sz w:val="18"/>
              </w:rPr>
              <w:t>111.11 %</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Total</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Ambas</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45000</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48000</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93.75 %</w:t>
            </w:r>
          </w:p>
        </w:tc>
      </w:tr>
    </w:tbl>
    <w:p>
      <w:pPr>
        <w:spacing w:after="40" w:line="40" w:lineRule="exact" w:before="0"/>
      </w:pPr>
    </w:p>
    <w:p>
      <w:r>
        <w:t>Controles adicionales sin filtros: costos 28800; utilidad 16200; margen 36.00 %; 6 líneas y 5 pedidos. Enero: ingresos 23000 y cumplimiento 95.83 %. Febrero: ingresos 22000 y cumplimiento 91.67 %.</w:t>
      </w:r>
    </w:p>
    <w:p>
      <w:r>
        <w:t>No promedie los cuatro porcentajes para obtener el cumplimiento total. El total correcto es 45000 / 48000. Este conjunto es mínimo y sirve para auditar el modelo; no permite inferir tendencias, estacionalidad ni atípicos estadísticos.</w:t>
      </w:r>
    </w:p>
    <w:p>
      <w:r>
        <w:br w:type="page"/>
      </w:r>
    </w:p>
    <w:p>
      <w:pPr>
        <w:pStyle w:val="Heading1"/>
      </w:pPr>
      <w:r>
        <w:t>Práctica de diagnóstico y decisiones de diseño</w:t>
      </w:r>
    </w:p>
    <w:p>
      <w:pPr>
        <w:pStyle w:val="Heading2"/>
      </w:pPr>
      <w:r>
        <w:t>Una meta duplicada cambia la decisión</w:t>
      </w:r>
    </w:p>
    <w:p>
      <w:r>
        <w:t>Si combina Metas con Ventas mediante mes y sucursal y después suma Meta, cada línea de venta recibe la meta completa. Norte en enero tiene dos líneas: la meta de 14000 se convierte artificialmente en 28000. Sur en febrero también tiene dos líneas: 9000 se convierte en 18000. El total incorrecto sería 71000 y el cumplimiento 63.38 %, frente al 93.75 % correcto.</w:t>
      </w:r>
    </w:p>
    <w:p>
      <w:r>
        <w:t>Demostración opcional: en Power Query, cree una consulta de referencia de Ventas y combine con Metas usando ambas claves. Expanda Meta y compare la suma. Mantenga la consulta como prueba sin cargar al modelo y conserve las dos tablas de hechos originales.</w:t>
      </w:r>
    </w:p>
    <w:p>
      <w:pPr>
        <w:pStyle w:val="Heading2"/>
      </w:pPr>
      <w:r>
        <w:t>Diseños que requieren juicio avanzado</w:t>
      </w:r>
    </w:p>
    <w:tbl>
      <w:tblPr>
        <w:tblW w:type="auto" w:w="0"/>
        <w:tblLayout w:type="autofit"/>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Situación</w:t>
            </w:r>
          </w:p>
        </w:tc>
        <w:tc>
          <w:tcPr>
            <w:tcW w:type="dxa" w:w="5040"/>
            <w:tcBorders>
              <w:top w:val="single" w:sz="4" w:color="D9D9D9"/>
              <w:left w:val="single" w:sz="4" w:color="D9D9D9"/>
              <w:bottom w:val="single" w:sz="4" w:color="D9D9D9"/>
              <w:right w:val="single" w:sz="4" w:color="D9D9D9"/>
            </w:tcBorders>
            <w:shd w:fill="DDE5EF"/>
          </w:tcPr>
          <w:p>
            <w:pPr>
              <w:spacing w:after="80" w:before="80"/>
            </w:pPr>
            <w:r>
              <w:rPr>
                <w:b/>
                <w:sz w:val="18"/>
              </w:rPr>
              <w:t>Decisión y criterio</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Fecha de pedido y fecha de entrega</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Una fecha activa y otra inactiva pueden servir para medidas específicas. Si se requieren filtros simultáneos por ambos roles, considere dimensiones de fecha separadas.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Varios responsables por sucursal</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Utilice una tabla puente si la relación real es de muchos a muchos; defina cómo evitar duplicar atribuciones.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Cambio de región de una sucursal</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Defina si se informa con la región actual o histórica. El análisis histórico puede requerir versiones de dimensión con vigencia y claves sustitutas.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Meta mensual frente a ventas diarias</w:t>
            </w:r>
          </w:p>
        </w:tc>
        <w:tc>
          <w:tcPr>
            <w:tcW w:type="dxa" w:w="5040"/>
            <w:tcBorders>
              <w:top w:val="single" w:sz="4" w:color="D9D9D9"/>
              <w:left w:val="single" w:sz="4" w:color="D9D9D9"/>
              <w:bottom w:val="single" w:sz="4" w:color="D9D9D9"/>
              <w:right w:val="single" w:sz="4" w:color="D9D9D9"/>
            </w:tcBorders>
            <w:shd w:fill="F5F7FA"/>
          </w:tcPr>
          <w:p>
            <w:pPr>
              <w:spacing w:after="80" w:before="80"/>
            </w:pPr>
            <w:r>
              <w:rPr>
                <w:b w:val="0"/>
                <w:sz w:val="18"/>
              </w:rPr>
              <w:t>Compare meses completos o establezca una regla explícita de distribución diaria. No suponga una distribución uniforme.</w:t>
            </w:r>
          </w:p>
        </w:tc>
      </w:tr>
    </w:tbl>
    <w:p>
      <w:pPr>
        <w:spacing w:after="40" w:line="40" w:lineRule="exact" w:before="0"/>
      </w:pPr>
    </w:p>
    <w:p>
      <w:pPr>
        <w:pStyle w:val="Heading2"/>
      </w:pPr>
      <w:r>
        <w:t>Preguntas para el comité</w:t>
      </w:r>
    </w:p>
    <w:p>
      <w:pPr>
        <w:pStyle w:val="ListBullet"/>
      </w:pPr>
      <w:r>
        <w:t>¿Qué evidencia permite confiar en el total de ventas y en la meta?</w:t>
      </w:r>
    </w:p>
    <w:p>
      <w:pPr>
        <w:pStyle w:val="ListBullet"/>
      </w:pPr>
      <w:r>
        <w:t>¿El cumplimiento de Sur en febrero significa que es la mejor sucursal? ¿Qué faltaría conocer sobre margen, capacidad y metas?</w:t>
      </w:r>
    </w:p>
    <w:p>
      <w:pPr>
        <w:pStyle w:val="ListBullet"/>
      </w:pPr>
      <w:r>
        <w:t>¿Es válido comparar una semana de ventas con una meta mensual completa?</w:t>
      </w:r>
    </w:p>
    <w:p>
      <w:pPr>
        <w:pStyle w:val="ListBullet"/>
      </w:pPr>
      <w:r>
        <w:t>¿Qué información adicional permitiría analizar metas por producto?</w:t>
      </w:r>
    </w:p>
    <w:p>
      <w:pPr>
        <w:pStyle w:val="Heading2"/>
      </w:pPr>
      <w:r>
        <w:t>Conclusión esperada</w:t>
      </w:r>
    </w:p>
    <w:p>
      <w:r>
        <w:t>El resultado global está 3000 por debajo de la meta. Norte cumple en enero y Sur en febrero. Estos resultados describen el caso; no demuestran causas ni justifican por sí solos decisiones sobre bonos o desempeño individual.</w:t>
      </w:r>
    </w:p>
    <w:p>
      <w:r>
        <w:br w:type="page"/>
      </w:r>
    </w:p>
    <w:p>
      <w:pPr>
        <w:pStyle w:val="Heading1"/>
      </w:pPr>
      <w:r>
        <w:t>Tarea y evaluación para Classroom</w:t>
      </w:r>
    </w:p>
    <w:p>
      <w:pPr>
        <w:pStyle w:val="Heading2"/>
      </w:pPr>
      <w:r>
        <w:t>Texto de la tarea</w:t>
      </w:r>
    </w:p>
    <w:p>
      <w:r>
        <w:t>Título: Auditoría de un modelo de ventas y metas. Construya el modelo del caso Horizonte Comercial, valide sus resultados y explique cómo la granularidad condiciona los KPI. Utilice exclusivamente los datos sintéticos del módulo. Tiempo estimado de trabajo independiente: 2 horas.</w:t>
      </w:r>
    </w:p>
    <w:p>
      <w:r>
        <w:t>Entregue un archivo Apellido_Modulo1.pbix y un informe de hasta dos páginas. El informe debe incluir la definición de una fila en cada hecho, una captura de relaciones, cifras de control, explicación del error de duplicación y una recomendación para la dirección con sus limitaciones.</w:t>
      </w:r>
    </w:p>
    <w:p>
      <w:r>
        <w:t>En el informe de Power BI incluya una matriz mes por sucursal con ingresos, meta y cumplimiento; tarjetas de ingresos, utilidad y margen; y un gráfico de barras de ingresos por sucursal. Agregue una nota que indique que el cumplimiento se evalúa a nivel mensual y sucursal.</w:t>
      </w:r>
    </w:p>
    <w:p>
      <w:pPr>
        <w:pStyle w:val="Heading2"/>
      </w:pPr>
      <w:r>
        <w:t>Rúbrica de la tarea</w:t>
      </w:r>
    </w:p>
    <w:tbl>
      <w:tblPr>
        <w:tblW w:type="auto" w:w="0"/>
        <w:tblLayout w:type="autofit"/>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Criterio</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Puntos</w:t>
            </w:r>
          </w:p>
        </w:tc>
        <w:tc>
          <w:tcPr>
            <w:tcW w:type="dxa" w:w="3360"/>
            <w:tcBorders>
              <w:top w:val="single" w:sz="4" w:color="D9D9D9"/>
              <w:left w:val="single" w:sz="4" w:color="D9D9D9"/>
              <w:bottom w:val="single" w:sz="4" w:color="D9D9D9"/>
              <w:right w:val="single" w:sz="4" w:color="D9D9D9"/>
            </w:tcBorders>
            <w:shd w:fill="DDE5EF"/>
          </w:tcPr>
          <w:p>
            <w:pPr>
              <w:spacing w:after="80" w:before="80"/>
            </w:pPr>
            <w:r>
              <w:rPr>
                <w:b/>
                <w:sz w:val="18"/>
              </w:rPr>
              <w:t>Evidencia para puntaje completo</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Granularidad y definiciones</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20</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Declara correctamente las dos granularidades y la definición de los importes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Relaciones e integridad</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25</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Construye las seis relaciones y verifica claves y unicidad</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Medidas y cifras de control</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25</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Reproduce todos los controles y protege el cumplimiento por día o producto</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Diagnóstico del error</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15</w:t>
            </w:r>
          </w:p>
        </w:tc>
        <w:tc>
          <w:tcPr>
            <w:tcW w:type="dxa" w:w="3360"/>
            <w:tcBorders>
              <w:top w:val="single" w:sz="4" w:color="D9D9D9"/>
              <w:left w:val="single" w:sz="4" w:color="D9D9D9"/>
              <w:bottom w:val="single" w:sz="4" w:color="D9D9D9"/>
              <w:right w:val="single" w:sz="4" w:color="D9D9D9"/>
            </w:tcBorders>
            <w:shd w:fill="F5F7FA"/>
          </w:tcPr>
          <w:p>
            <w:pPr>
              <w:spacing w:after="80" w:before="80"/>
            </w:pPr>
            <w:r>
              <w:rPr>
                <w:b w:val="0"/>
                <w:sz w:val="18"/>
              </w:rPr>
              <w:t>Explica por qué la meta incorrecta suma 71000 y cómo evitarlo</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Interpretación ejecutiva</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15</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Presenta una recomendación coherente y reconoce límites de los datos</w:t>
            </w:r>
          </w:p>
        </w:tc>
      </w:tr>
    </w:tbl>
    <w:p>
      <w:pPr>
        <w:spacing w:after="40" w:line="40" w:lineRule="exact" w:before="0"/>
      </w:pPr>
    </w:p>
    <w:p>
      <w:r>
        <w:t>Asignación parcial: otorgue aproximadamente la mitad de los puntos cuando el criterio esté incompleto pero sea conceptualmente correcto; cero cuando falte o se base en un error que invalida el resultado. La tarea se califica sobre 100 y forma parte de los retos del curso, no de una ponderación adicional.</w:t>
      </w:r>
    </w:p>
    <w:p>
      <w:pPr>
        <w:pStyle w:val="Heading2"/>
      </w:pPr>
      <w:r>
        <w:t>Organización del tema en Classroom</w:t>
      </w:r>
    </w:p>
    <w:p>
      <w:r>
        <w:t>Tema: 01 Modelado analítico avanzado. Material: esta guía. Tarea: instrucciones anteriores con la rúbrica. Pregunta de discusión: “¿Qué riesgo tiene evaluar a un gerente con una meta repetida por cada transacción?”. Publique las respuestas docentes después de la entrega. Configure la fecha límite según el calendario del curso.</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Módulo 1  •  Modelado analítico avanzado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POWER BI AVANZADO  |  Dra. Diana Rangel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