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6A504" w14:textId="77777777" w:rsidR="00604C25" w:rsidRDefault="00604C25" w:rsidP="00604C25">
      <w:pPr>
        <w:jc w:val="center"/>
        <w:rPr>
          <w:rFonts w:asciiTheme="minorHAnsi" w:hAnsiTheme="minorHAnsi" w:cstheme="minorHAnsi"/>
          <w:u w:val="single"/>
        </w:rPr>
      </w:pPr>
    </w:p>
    <w:p w14:paraId="6EC5621E" w14:textId="77777777" w:rsidR="00604C25" w:rsidRDefault="00604C25" w:rsidP="00604C25">
      <w:pPr>
        <w:jc w:val="center"/>
        <w:rPr>
          <w:rFonts w:asciiTheme="minorHAnsi" w:hAnsiTheme="minorHAnsi" w:cstheme="minorHAnsi"/>
          <w:u w:val="single"/>
        </w:rPr>
      </w:pPr>
    </w:p>
    <w:p w14:paraId="255206AC" w14:textId="77777777" w:rsidR="00604C25" w:rsidRDefault="00604C25" w:rsidP="00604C25">
      <w:pPr>
        <w:jc w:val="center"/>
        <w:rPr>
          <w:rFonts w:asciiTheme="minorHAnsi" w:hAnsiTheme="minorHAnsi" w:cstheme="minorHAnsi"/>
          <w:u w:val="single"/>
        </w:rPr>
      </w:pPr>
    </w:p>
    <w:p w14:paraId="56D6AC01" w14:textId="77777777" w:rsidR="00604C25" w:rsidRDefault="00604C25" w:rsidP="00604C25">
      <w:pPr>
        <w:jc w:val="center"/>
        <w:rPr>
          <w:rFonts w:asciiTheme="minorHAnsi" w:hAnsiTheme="minorHAnsi" w:cstheme="minorHAnsi"/>
          <w:u w:val="single"/>
        </w:rPr>
      </w:pPr>
    </w:p>
    <w:p w14:paraId="0491930F" w14:textId="77777777" w:rsidR="00604C25" w:rsidRDefault="00604C25" w:rsidP="00604C25">
      <w:pPr>
        <w:jc w:val="center"/>
        <w:rPr>
          <w:rFonts w:asciiTheme="minorHAnsi" w:hAnsiTheme="minorHAnsi" w:cstheme="minorHAnsi"/>
          <w:u w:val="single"/>
        </w:rPr>
      </w:pPr>
    </w:p>
    <w:p w14:paraId="5FC3611E" w14:textId="77777777" w:rsidR="00604C25" w:rsidRDefault="00604C25" w:rsidP="00604C25">
      <w:pPr>
        <w:jc w:val="center"/>
        <w:rPr>
          <w:rFonts w:asciiTheme="minorHAnsi" w:hAnsiTheme="minorHAnsi" w:cstheme="minorHAnsi"/>
          <w:u w:val="single"/>
        </w:rPr>
      </w:pPr>
    </w:p>
    <w:p w14:paraId="65719E5A" w14:textId="77777777" w:rsidR="00604C25" w:rsidRDefault="00604C25" w:rsidP="00604C25">
      <w:pPr>
        <w:jc w:val="center"/>
        <w:rPr>
          <w:rFonts w:asciiTheme="minorHAnsi" w:hAnsiTheme="minorHAnsi" w:cstheme="minorHAnsi"/>
          <w:u w:val="single"/>
        </w:rPr>
      </w:pPr>
    </w:p>
    <w:p w14:paraId="52D4D675" w14:textId="77777777" w:rsidR="00604C25" w:rsidRDefault="00604C25" w:rsidP="00604C25">
      <w:pPr>
        <w:jc w:val="center"/>
        <w:rPr>
          <w:rFonts w:asciiTheme="minorHAnsi" w:hAnsiTheme="minorHAnsi" w:cstheme="minorHAnsi"/>
          <w:u w:val="single"/>
        </w:rPr>
      </w:pPr>
    </w:p>
    <w:p w14:paraId="4A3438B2" w14:textId="77777777" w:rsidR="00604C25" w:rsidRDefault="00604C25" w:rsidP="00604C25">
      <w:pPr>
        <w:jc w:val="center"/>
        <w:rPr>
          <w:rFonts w:asciiTheme="minorHAnsi" w:hAnsiTheme="minorHAnsi" w:cstheme="minorHAnsi"/>
          <w:u w:val="single"/>
        </w:rPr>
      </w:pPr>
    </w:p>
    <w:p w14:paraId="506FD79C" w14:textId="77777777" w:rsidR="00604C25" w:rsidRDefault="00604C25" w:rsidP="00604C25">
      <w:pPr>
        <w:jc w:val="center"/>
        <w:rPr>
          <w:rFonts w:asciiTheme="minorHAnsi" w:hAnsiTheme="minorHAnsi" w:cstheme="minorHAnsi"/>
          <w:u w:val="single"/>
        </w:rPr>
      </w:pPr>
    </w:p>
    <w:p w14:paraId="6DAF586E" w14:textId="77777777" w:rsidR="00604C25" w:rsidRPr="008B19F6" w:rsidRDefault="00604C25" w:rsidP="00604C25">
      <w:pPr>
        <w:jc w:val="center"/>
        <w:rPr>
          <w:rFonts w:asciiTheme="minorHAnsi" w:hAnsiTheme="minorHAnsi" w:cstheme="minorHAnsi"/>
          <w:sz w:val="28"/>
          <w:szCs w:val="28"/>
          <w:u w:val="single"/>
        </w:rPr>
      </w:pPr>
    </w:p>
    <w:p w14:paraId="7AE06F37" w14:textId="00CAC405" w:rsidR="00604C25" w:rsidRPr="00960093" w:rsidRDefault="00604C25" w:rsidP="00604C25">
      <w:pPr>
        <w:jc w:val="center"/>
        <w:rPr>
          <w:rFonts w:asciiTheme="minorHAnsi" w:hAnsiTheme="minorHAnsi" w:cstheme="minorHAnsi"/>
          <w:b/>
          <w:bCs/>
          <w:sz w:val="28"/>
          <w:szCs w:val="28"/>
          <w:u w:val="single"/>
        </w:rPr>
      </w:pPr>
      <w:r w:rsidRPr="00960093">
        <w:rPr>
          <w:rFonts w:asciiTheme="minorHAnsi" w:hAnsiTheme="minorHAnsi" w:cstheme="minorHAnsi"/>
          <w:b/>
          <w:bCs/>
          <w:sz w:val="28"/>
          <w:szCs w:val="28"/>
          <w:u w:val="single"/>
        </w:rPr>
        <w:t>CSC8002 – Big Data Management – Final Project</w:t>
      </w:r>
    </w:p>
    <w:p w14:paraId="0F17898B" w14:textId="77777777" w:rsidR="00604C25" w:rsidRPr="008B19F6" w:rsidRDefault="00604C25" w:rsidP="00604C25">
      <w:pPr>
        <w:rPr>
          <w:rFonts w:asciiTheme="minorHAnsi" w:hAnsiTheme="minorHAnsi" w:cstheme="minorHAnsi"/>
          <w:sz w:val="28"/>
          <w:szCs w:val="28"/>
        </w:rPr>
      </w:pPr>
    </w:p>
    <w:p w14:paraId="686E33AE" w14:textId="1F39B790" w:rsidR="00960093" w:rsidRPr="00960093" w:rsidRDefault="00960093" w:rsidP="00604C25">
      <w:pPr>
        <w:jc w:val="center"/>
        <w:rPr>
          <w:rFonts w:asciiTheme="minorHAnsi" w:hAnsiTheme="minorHAnsi" w:cstheme="minorHAnsi"/>
          <w:sz w:val="28"/>
          <w:szCs w:val="28"/>
          <w:u w:val="single"/>
        </w:rPr>
      </w:pPr>
      <w:r w:rsidRPr="00960093">
        <w:rPr>
          <w:rFonts w:asciiTheme="minorHAnsi" w:hAnsiTheme="minorHAnsi" w:cstheme="minorHAnsi"/>
          <w:sz w:val="28"/>
          <w:szCs w:val="28"/>
          <w:u w:val="single"/>
        </w:rPr>
        <w:t>Analysis of Mobility Data and Covid 19 Infection Rates in Australia and Sweden in 2020</w:t>
      </w:r>
    </w:p>
    <w:p w14:paraId="2845B49C" w14:textId="77777777" w:rsidR="00960093" w:rsidRDefault="00960093" w:rsidP="00604C25">
      <w:pPr>
        <w:jc w:val="center"/>
        <w:rPr>
          <w:rFonts w:asciiTheme="minorHAnsi" w:hAnsiTheme="minorHAnsi" w:cstheme="minorHAnsi"/>
          <w:sz w:val="28"/>
          <w:szCs w:val="28"/>
        </w:rPr>
      </w:pPr>
    </w:p>
    <w:p w14:paraId="15045704" w14:textId="66C17F83" w:rsidR="00604C25" w:rsidRPr="008B19F6" w:rsidRDefault="00604C25" w:rsidP="00604C25">
      <w:pPr>
        <w:jc w:val="center"/>
        <w:rPr>
          <w:rFonts w:asciiTheme="minorHAnsi" w:hAnsiTheme="minorHAnsi" w:cstheme="minorHAnsi"/>
          <w:sz w:val="28"/>
          <w:szCs w:val="28"/>
        </w:rPr>
      </w:pPr>
      <w:r w:rsidRPr="008B19F6">
        <w:rPr>
          <w:rFonts w:asciiTheme="minorHAnsi" w:hAnsiTheme="minorHAnsi" w:cstheme="minorHAnsi"/>
          <w:sz w:val="28"/>
          <w:szCs w:val="28"/>
        </w:rPr>
        <w:t>Name: Diana Kither</w:t>
      </w:r>
    </w:p>
    <w:p w14:paraId="6E104ACF" w14:textId="4C525B21" w:rsidR="00604C25" w:rsidRDefault="00604C25">
      <w:r>
        <w:br w:type="page"/>
      </w:r>
    </w:p>
    <w:p w14:paraId="323958BA" w14:textId="77777777" w:rsidR="00604C25" w:rsidRDefault="00604C25" w:rsidP="00604C25">
      <w:pPr>
        <w:jc w:val="center"/>
        <w:rPr>
          <w:rFonts w:asciiTheme="minorHAnsi" w:hAnsiTheme="minorHAnsi" w:cstheme="minorHAnsi"/>
          <w:u w:val="single"/>
        </w:rPr>
      </w:pPr>
      <w:r>
        <w:rPr>
          <w:rFonts w:asciiTheme="minorHAnsi" w:hAnsiTheme="minorHAnsi" w:cstheme="minorHAnsi"/>
          <w:u w:val="single"/>
        </w:rPr>
        <w:lastRenderedPageBreak/>
        <w:t>Table of Contents</w:t>
      </w:r>
    </w:p>
    <w:p w14:paraId="5D0D96E2" w14:textId="77777777" w:rsidR="00604C25" w:rsidRDefault="00604C25" w:rsidP="00604C25">
      <w:pPr>
        <w:rPr>
          <w:rFonts w:asciiTheme="minorHAnsi" w:hAnsiTheme="minorHAnsi" w:cstheme="minorHAnsi"/>
          <w:u w:val="single"/>
        </w:rPr>
      </w:pPr>
    </w:p>
    <w:p w14:paraId="6D624898" w14:textId="2D8EE186" w:rsidR="00604C25" w:rsidRDefault="00645255" w:rsidP="00604C25">
      <w:pPr>
        <w:rPr>
          <w:rFonts w:asciiTheme="minorHAnsi" w:hAnsiTheme="minorHAnsi" w:cstheme="minorHAnsi"/>
        </w:rPr>
      </w:pPr>
      <w:r w:rsidRPr="0030475C">
        <w:rPr>
          <w:rFonts w:asciiTheme="minorHAnsi" w:hAnsiTheme="minorHAnsi" w:cstheme="minorHAnsi"/>
        </w:rPr>
        <w:t xml:space="preserve">i) </w:t>
      </w:r>
      <w:r>
        <w:rPr>
          <w:rFonts w:asciiTheme="minorHAnsi" w:hAnsiTheme="minorHAnsi" w:cstheme="minorHAnsi"/>
        </w:rPr>
        <w:t>Introduction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214D60">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3</w:t>
      </w:r>
    </w:p>
    <w:p w14:paraId="6E87F005" w14:textId="77777777" w:rsidR="00604C25" w:rsidRDefault="00604C25" w:rsidP="00604C25">
      <w:pPr>
        <w:rPr>
          <w:rFonts w:asciiTheme="minorHAnsi" w:hAnsiTheme="minorHAnsi" w:cstheme="minorHAnsi"/>
        </w:rPr>
      </w:pPr>
    </w:p>
    <w:p w14:paraId="700FD2F2" w14:textId="77777777" w:rsidR="00604C25" w:rsidRDefault="00604C25" w:rsidP="00604C25">
      <w:pPr>
        <w:rPr>
          <w:rFonts w:asciiTheme="minorHAnsi" w:hAnsiTheme="minorHAnsi" w:cstheme="minorHAnsi"/>
        </w:rPr>
      </w:pPr>
      <w:r>
        <w:rPr>
          <w:rFonts w:asciiTheme="minorHAnsi" w:hAnsiTheme="minorHAnsi" w:cstheme="minorHAnsi"/>
        </w:rPr>
        <w:t>ii) Data Exploration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3</w:t>
      </w:r>
    </w:p>
    <w:p w14:paraId="2A1C73BE" w14:textId="77777777" w:rsidR="00604C25" w:rsidRDefault="00604C25" w:rsidP="00604C25">
      <w:pPr>
        <w:rPr>
          <w:rFonts w:asciiTheme="minorHAnsi" w:hAnsiTheme="minorHAnsi" w:cstheme="minorHAnsi"/>
        </w:rPr>
      </w:pPr>
    </w:p>
    <w:p w14:paraId="2091142C" w14:textId="77777777" w:rsidR="00604C25" w:rsidRDefault="00604C25" w:rsidP="00604C25">
      <w:pPr>
        <w:rPr>
          <w:rFonts w:asciiTheme="minorHAnsi" w:hAnsiTheme="minorHAnsi" w:cstheme="minorHAnsi"/>
        </w:rPr>
      </w:pPr>
      <w:r>
        <w:rPr>
          <w:rFonts w:asciiTheme="minorHAnsi" w:hAnsiTheme="minorHAnsi" w:cstheme="minorHAnsi"/>
        </w:rPr>
        <w:t>iii) Literature Review</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4</w:t>
      </w:r>
    </w:p>
    <w:p w14:paraId="78BF8EC8" w14:textId="77777777" w:rsidR="00604C25" w:rsidRDefault="00604C25" w:rsidP="00604C25">
      <w:pPr>
        <w:rPr>
          <w:rFonts w:asciiTheme="minorHAnsi" w:hAnsiTheme="minorHAnsi" w:cstheme="minorHAnsi"/>
        </w:rPr>
      </w:pPr>
    </w:p>
    <w:p w14:paraId="67D594B3" w14:textId="14C2361A" w:rsidR="00604C25" w:rsidRDefault="00604C25" w:rsidP="00604C25">
      <w:pPr>
        <w:rPr>
          <w:rFonts w:asciiTheme="minorHAnsi" w:hAnsiTheme="minorHAnsi" w:cstheme="minorHAnsi"/>
        </w:rPr>
      </w:pPr>
      <w:r>
        <w:rPr>
          <w:rFonts w:asciiTheme="minorHAnsi" w:hAnsiTheme="minorHAnsi" w:cstheme="minorHAnsi"/>
        </w:rPr>
        <w:t>iv) Research Question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E15010">
        <w:rPr>
          <w:rFonts w:asciiTheme="minorHAnsi" w:hAnsiTheme="minorHAnsi" w:cstheme="minorHAnsi"/>
        </w:rPr>
        <w:t>6</w:t>
      </w:r>
    </w:p>
    <w:p w14:paraId="07B69596" w14:textId="77777777" w:rsidR="00604C25" w:rsidRDefault="00604C25" w:rsidP="00604C25">
      <w:pPr>
        <w:rPr>
          <w:rFonts w:asciiTheme="minorHAnsi" w:hAnsiTheme="minorHAnsi" w:cstheme="minorHAnsi"/>
        </w:rPr>
      </w:pPr>
    </w:p>
    <w:p w14:paraId="029546F4" w14:textId="5EDCD082" w:rsidR="00604C25" w:rsidRDefault="00604C25" w:rsidP="00604C25">
      <w:pPr>
        <w:rPr>
          <w:rFonts w:asciiTheme="minorHAnsi" w:hAnsiTheme="minorHAnsi" w:cstheme="minorHAnsi"/>
        </w:rPr>
      </w:pPr>
      <w:r>
        <w:rPr>
          <w:rFonts w:asciiTheme="minorHAnsi" w:hAnsiTheme="minorHAnsi" w:cstheme="minorHAnsi"/>
        </w:rPr>
        <w:t>v) Method</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E15010">
        <w:rPr>
          <w:rFonts w:asciiTheme="minorHAnsi" w:hAnsiTheme="minorHAnsi" w:cstheme="minorHAnsi"/>
        </w:rPr>
        <w:t>7</w:t>
      </w:r>
    </w:p>
    <w:p w14:paraId="33CFBF9B" w14:textId="77777777" w:rsidR="00604C25" w:rsidRDefault="00604C25" w:rsidP="00604C25">
      <w:pPr>
        <w:rPr>
          <w:rFonts w:asciiTheme="minorHAnsi" w:hAnsiTheme="minorHAnsi" w:cstheme="minorHAnsi"/>
        </w:rPr>
      </w:pPr>
    </w:p>
    <w:p w14:paraId="43F6634B" w14:textId="76A2E915" w:rsidR="00604C25" w:rsidRDefault="00604C25" w:rsidP="00604C25">
      <w:pPr>
        <w:rPr>
          <w:rFonts w:asciiTheme="minorHAnsi" w:hAnsiTheme="minorHAnsi" w:cstheme="minorHAnsi"/>
        </w:rPr>
      </w:pPr>
      <w:r>
        <w:rPr>
          <w:rFonts w:asciiTheme="minorHAnsi" w:hAnsiTheme="minorHAnsi" w:cstheme="minorHAnsi"/>
        </w:rPr>
        <w:t>vi) Connection between Data Sets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E15010">
        <w:rPr>
          <w:rFonts w:asciiTheme="minorHAnsi" w:hAnsiTheme="minorHAnsi" w:cstheme="minorHAnsi"/>
        </w:rPr>
        <w:t>7</w:t>
      </w:r>
    </w:p>
    <w:p w14:paraId="5E4C17C0" w14:textId="77777777" w:rsidR="00604C25" w:rsidRDefault="00604C25" w:rsidP="00604C25">
      <w:pPr>
        <w:rPr>
          <w:rFonts w:asciiTheme="minorHAnsi" w:hAnsiTheme="minorHAnsi" w:cstheme="minorHAnsi"/>
        </w:rPr>
      </w:pPr>
    </w:p>
    <w:p w14:paraId="283802FC" w14:textId="77777777" w:rsidR="00604C25" w:rsidRDefault="00604C25" w:rsidP="00604C25">
      <w:pPr>
        <w:rPr>
          <w:rFonts w:asciiTheme="minorHAnsi" w:hAnsiTheme="minorHAnsi" w:cstheme="minorHAnsi"/>
        </w:rPr>
      </w:pPr>
      <w:r>
        <w:rPr>
          <w:rFonts w:asciiTheme="minorHAnsi" w:hAnsiTheme="minorHAnsi" w:cstheme="minorHAnsi"/>
        </w:rPr>
        <w:t>vii) Data Analysis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7</w:t>
      </w:r>
    </w:p>
    <w:p w14:paraId="07D7360C" w14:textId="77777777" w:rsidR="00604C25" w:rsidRDefault="00604C25" w:rsidP="00604C25">
      <w:pPr>
        <w:rPr>
          <w:rFonts w:asciiTheme="minorHAnsi" w:hAnsiTheme="minorHAnsi" w:cstheme="minorHAnsi"/>
        </w:rPr>
      </w:pPr>
    </w:p>
    <w:p w14:paraId="66411C2F" w14:textId="77777777" w:rsidR="00604C25" w:rsidRDefault="00604C25" w:rsidP="00604C25">
      <w:pPr>
        <w:rPr>
          <w:rFonts w:asciiTheme="minorHAnsi" w:hAnsiTheme="minorHAnsi" w:cstheme="minorHAnsi"/>
        </w:rPr>
      </w:pPr>
      <w:r>
        <w:rPr>
          <w:rFonts w:asciiTheme="minorHAnsi" w:hAnsiTheme="minorHAnsi" w:cstheme="minorHAnsi"/>
        </w:rPr>
        <w:t>viii) Findings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12</w:t>
      </w:r>
    </w:p>
    <w:p w14:paraId="6AE32F42" w14:textId="77777777" w:rsidR="00604C25" w:rsidRDefault="00604C25" w:rsidP="00604C25">
      <w:pPr>
        <w:rPr>
          <w:rFonts w:asciiTheme="minorHAnsi" w:hAnsiTheme="minorHAnsi" w:cstheme="minorHAnsi"/>
        </w:rPr>
      </w:pPr>
    </w:p>
    <w:p w14:paraId="2898DE4E" w14:textId="42F0A97B" w:rsidR="00604C25" w:rsidRDefault="00604C25" w:rsidP="00604C25">
      <w:pPr>
        <w:rPr>
          <w:rFonts w:asciiTheme="minorHAnsi" w:hAnsiTheme="minorHAnsi" w:cstheme="minorHAnsi"/>
        </w:rPr>
      </w:pPr>
      <w:r>
        <w:rPr>
          <w:rFonts w:asciiTheme="minorHAnsi" w:hAnsiTheme="minorHAnsi" w:cstheme="minorHAnsi"/>
        </w:rPr>
        <w:t>ix) Ethics and Privacy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r w:rsidR="00FE0D1E">
        <w:rPr>
          <w:rFonts w:asciiTheme="minorHAnsi" w:hAnsiTheme="minorHAnsi" w:cstheme="minorHAnsi"/>
        </w:rPr>
        <w:t>2</w:t>
      </w:r>
    </w:p>
    <w:p w14:paraId="2C7E6613" w14:textId="77777777" w:rsidR="00604C25" w:rsidRDefault="00604C25" w:rsidP="00604C25">
      <w:pPr>
        <w:rPr>
          <w:rFonts w:asciiTheme="minorHAnsi" w:hAnsiTheme="minorHAnsi" w:cstheme="minorHAnsi"/>
        </w:rPr>
      </w:pPr>
    </w:p>
    <w:p w14:paraId="081E9F07" w14:textId="6CAE41F0" w:rsidR="00604C25" w:rsidRDefault="00604C25" w:rsidP="00604C25">
      <w:pPr>
        <w:rPr>
          <w:rFonts w:asciiTheme="minorHAnsi" w:hAnsiTheme="minorHAnsi" w:cstheme="minorHAnsi"/>
        </w:rPr>
      </w:pPr>
      <w:r>
        <w:rPr>
          <w:rFonts w:asciiTheme="minorHAnsi" w:hAnsiTheme="minorHAnsi" w:cstheme="minorHAnsi"/>
        </w:rPr>
        <w:t>x) References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w:t>
      </w:r>
      <w:r w:rsidR="00FE0D1E">
        <w:rPr>
          <w:rFonts w:asciiTheme="minorHAnsi" w:hAnsiTheme="minorHAnsi" w:cstheme="minorHAnsi"/>
        </w:rPr>
        <w:t>3</w:t>
      </w:r>
    </w:p>
    <w:p w14:paraId="0E7ED18A" w14:textId="1F403BAF" w:rsidR="00FC44A2" w:rsidRDefault="00FC44A2">
      <w:r>
        <w:br w:type="page"/>
      </w:r>
    </w:p>
    <w:p w14:paraId="713E0DE6" w14:textId="77777777" w:rsidR="00FC44A2" w:rsidRPr="004E09A0" w:rsidRDefault="00FC44A2" w:rsidP="00FC44A2">
      <w:pPr>
        <w:rPr>
          <w:rFonts w:asciiTheme="minorHAnsi" w:hAnsiTheme="minorHAnsi" w:cstheme="minorHAnsi"/>
          <w:u w:val="single"/>
        </w:rPr>
      </w:pPr>
      <w:r w:rsidRPr="004E09A0">
        <w:rPr>
          <w:rFonts w:asciiTheme="minorHAnsi" w:hAnsiTheme="minorHAnsi" w:cstheme="minorHAnsi"/>
          <w:u w:val="single"/>
        </w:rPr>
        <w:lastRenderedPageBreak/>
        <w:t>i) Introduction</w:t>
      </w:r>
    </w:p>
    <w:p w14:paraId="74A81F39" w14:textId="09A117F5" w:rsidR="00FC44A2" w:rsidRPr="004E09A0" w:rsidRDefault="00FC44A2" w:rsidP="00FC44A2">
      <w:pPr>
        <w:rPr>
          <w:rFonts w:asciiTheme="minorHAnsi" w:hAnsiTheme="minorHAnsi" w:cstheme="minorHAnsi"/>
        </w:rPr>
      </w:pPr>
      <w:r>
        <w:rPr>
          <w:rFonts w:asciiTheme="minorHAnsi" w:hAnsiTheme="minorHAnsi" w:cstheme="minorHAnsi"/>
        </w:rPr>
        <w:t xml:space="preserve">The Google COVID-19 mobility data set was created to investigate changes in mobility of populations in various parts of the world during the COVID-19 pandemic (Google 2020).  </w:t>
      </w:r>
      <w:r w:rsidRPr="004E09A0">
        <w:rPr>
          <w:rFonts w:asciiTheme="minorHAnsi" w:hAnsiTheme="minorHAnsi" w:cstheme="minorHAnsi"/>
        </w:rPr>
        <w:t>The data s</w:t>
      </w:r>
      <w:r>
        <w:rPr>
          <w:rFonts w:asciiTheme="minorHAnsi" w:hAnsiTheme="minorHAnsi" w:cstheme="minorHAnsi"/>
        </w:rPr>
        <w:t>et</w:t>
      </w:r>
      <w:r w:rsidRPr="004E09A0">
        <w:rPr>
          <w:rFonts w:asciiTheme="minorHAnsi" w:hAnsiTheme="minorHAnsi" w:cstheme="minorHAnsi"/>
        </w:rPr>
        <w:t xml:space="preserve"> contains the travel data of people to common locations collected </w:t>
      </w:r>
      <w:r>
        <w:rPr>
          <w:rFonts w:asciiTheme="minorHAnsi" w:hAnsiTheme="minorHAnsi" w:cstheme="minorHAnsi"/>
        </w:rPr>
        <w:t>from</w:t>
      </w:r>
      <w:r w:rsidRPr="004E09A0">
        <w:rPr>
          <w:rFonts w:asciiTheme="minorHAnsi" w:hAnsiTheme="minorHAnsi" w:cstheme="minorHAnsi"/>
        </w:rPr>
        <w:t xml:space="preserve"> the location history of </w:t>
      </w:r>
      <w:r>
        <w:rPr>
          <w:rFonts w:asciiTheme="minorHAnsi" w:hAnsiTheme="minorHAnsi" w:cstheme="minorHAnsi"/>
        </w:rPr>
        <w:t xml:space="preserve">personal </w:t>
      </w:r>
      <w:r w:rsidRPr="004E09A0">
        <w:rPr>
          <w:rFonts w:asciiTheme="minorHAnsi" w:hAnsiTheme="minorHAnsi" w:cstheme="minorHAnsi"/>
        </w:rPr>
        <w:t xml:space="preserve">mobile devices (Google, 2020). </w:t>
      </w:r>
      <w:r>
        <w:rPr>
          <w:rFonts w:asciiTheme="minorHAnsi" w:hAnsiTheme="minorHAnsi" w:cstheme="minorHAnsi"/>
        </w:rPr>
        <w:t xml:space="preserve"> </w:t>
      </w:r>
      <w:r w:rsidRPr="004E09A0">
        <w:rPr>
          <w:rFonts w:asciiTheme="minorHAnsi" w:hAnsiTheme="minorHAnsi" w:cstheme="minorHAnsi"/>
        </w:rPr>
        <w:t xml:space="preserve">Data was collected between </w:t>
      </w:r>
      <w:r>
        <w:rPr>
          <w:rFonts w:asciiTheme="minorHAnsi" w:hAnsiTheme="minorHAnsi" w:cstheme="minorHAnsi"/>
        </w:rPr>
        <w:t>February 15</w:t>
      </w:r>
      <w:r w:rsidRPr="00BC6E2F">
        <w:rPr>
          <w:rFonts w:asciiTheme="minorHAnsi" w:hAnsiTheme="minorHAnsi" w:cstheme="minorHAnsi"/>
          <w:vertAlign w:val="superscript"/>
        </w:rPr>
        <w:t>th</w:t>
      </w:r>
      <w:r>
        <w:rPr>
          <w:rFonts w:asciiTheme="minorHAnsi" w:hAnsiTheme="minorHAnsi" w:cstheme="minorHAnsi"/>
        </w:rPr>
        <w:t xml:space="preserve"> </w:t>
      </w:r>
      <w:r w:rsidRPr="004E09A0">
        <w:rPr>
          <w:rFonts w:asciiTheme="minorHAnsi" w:hAnsiTheme="minorHAnsi" w:cstheme="minorHAnsi"/>
        </w:rPr>
        <w:t xml:space="preserve">2020 and </w:t>
      </w:r>
      <w:r>
        <w:rPr>
          <w:rFonts w:asciiTheme="minorHAnsi" w:hAnsiTheme="minorHAnsi" w:cstheme="minorHAnsi"/>
        </w:rPr>
        <w:t>December 1</w:t>
      </w:r>
      <w:r w:rsidRPr="00BC6E2F">
        <w:rPr>
          <w:rFonts w:asciiTheme="minorHAnsi" w:hAnsiTheme="minorHAnsi" w:cstheme="minorHAnsi"/>
          <w:vertAlign w:val="superscript"/>
        </w:rPr>
        <w:t>st</w:t>
      </w:r>
      <w:r>
        <w:rPr>
          <w:rFonts w:asciiTheme="minorHAnsi" w:hAnsiTheme="minorHAnsi" w:cstheme="minorHAnsi"/>
        </w:rPr>
        <w:t xml:space="preserve"> </w:t>
      </w:r>
      <w:r w:rsidRPr="004E09A0">
        <w:rPr>
          <w:rFonts w:asciiTheme="minorHAnsi" w:hAnsiTheme="minorHAnsi" w:cstheme="minorHAnsi"/>
        </w:rPr>
        <w:t>2020</w:t>
      </w:r>
      <w:r>
        <w:rPr>
          <w:rFonts w:asciiTheme="minorHAnsi" w:hAnsiTheme="minorHAnsi" w:cstheme="minorHAnsi"/>
        </w:rPr>
        <w:t xml:space="preserve"> (Google, 2020)</w:t>
      </w:r>
      <w:r w:rsidRPr="004E09A0">
        <w:rPr>
          <w:rFonts w:asciiTheme="minorHAnsi" w:hAnsiTheme="minorHAnsi" w:cstheme="minorHAnsi"/>
        </w:rPr>
        <w:t xml:space="preserve">. </w:t>
      </w:r>
      <w:r>
        <w:rPr>
          <w:rFonts w:asciiTheme="minorHAnsi" w:hAnsiTheme="minorHAnsi" w:cstheme="minorHAnsi"/>
        </w:rPr>
        <w:t xml:space="preserve"> Numerous types of locations were grouped into categories including residential, workplace and retail.  </w:t>
      </w:r>
      <w:r w:rsidRPr="004E09A0">
        <w:rPr>
          <w:rFonts w:asciiTheme="minorHAnsi" w:hAnsiTheme="minorHAnsi" w:cstheme="minorHAnsi"/>
        </w:rPr>
        <w:t xml:space="preserve">Daily movement data to </w:t>
      </w:r>
      <w:r>
        <w:rPr>
          <w:rFonts w:asciiTheme="minorHAnsi" w:hAnsiTheme="minorHAnsi" w:cstheme="minorHAnsi"/>
        </w:rPr>
        <w:t xml:space="preserve">these </w:t>
      </w:r>
      <w:r w:rsidRPr="004E09A0">
        <w:rPr>
          <w:rFonts w:asciiTheme="minorHAnsi" w:hAnsiTheme="minorHAnsi" w:cstheme="minorHAnsi"/>
        </w:rPr>
        <w:t>location categories was collected, combined and then compared to a baseline mobility value to determine the percentage change in movement of people to those locations</w:t>
      </w:r>
      <w:r>
        <w:rPr>
          <w:rFonts w:asciiTheme="minorHAnsi" w:hAnsiTheme="minorHAnsi" w:cstheme="minorHAnsi"/>
        </w:rPr>
        <w:t xml:space="preserve"> as the pandemic progressed</w:t>
      </w:r>
      <w:r w:rsidRPr="004E09A0">
        <w:rPr>
          <w:rFonts w:asciiTheme="minorHAnsi" w:hAnsiTheme="minorHAnsi" w:cstheme="minorHAnsi"/>
        </w:rPr>
        <w:t xml:space="preserve"> (Google 2020). </w:t>
      </w:r>
      <w:r>
        <w:rPr>
          <w:rFonts w:asciiTheme="minorHAnsi" w:hAnsiTheme="minorHAnsi" w:cstheme="minorHAnsi"/>
        </w:rPr>
        <w:t xml:space="preserve"> D</w:t>
      </w:r>
      <w:r w:rsidRPr="004E09A0">
        <w:rPr>
          <w:rFonts w:asciiTheme="minorHAnsi" w:hAnsiTheme="minorHAnsi" w:cstheme="minorHAnsi"/>
        </w:rPr>
        <w:t xml:space="preserve">ata was collected across </w:t>
      </w:r>
      <w:r>
        <w:rPr>
          <w:rFonts w:asciiTheme="minorHAnsi" w:hAnsiTheme="minorHAnsi" w:cstheme="minorHAnsi"/>
        </w:rPr>
        <w:t>multiple</w:t>
      </w:r>
      <w:r w:rsidRPr="004E09A0">
        <w:rPr>
          <w:rFonts w:asciiTheme="minorHAnsi" w:hAnsiTheme="minorHAnsi" w:cstheme="minorHAnsi"/>
        </w:rPr>
        <w:t xml:space="preserve"> geographic regions in 135 countries around the world. </w:t>
      </w:r>
      <w:r>
        <w:rPr>
          <w:rFonts w:asciiTheme="minorHAnsi" w:hAnsiTheme="minorHAnsi" w:cstheme="minorHAnsi"/>
        </w:rPr>
        <w:t xml:space="preserve"> T</w:t>
      </w:r>
      <w:r w:rsidRPr="004E09A0">
        <w:rPr>
          <w:rFonts w:asciiTheme="minorHAnsi" w:hAnsiTheme="minorHAnsi" w:cstheme="minorHAnsi"/>
        </w:rPr>
        <w:t xml:space="preserve">his report will be focusing on data collected </w:t>
      </w:r>
      <w:r>
        <w:rPr>
          <w:rFonts w:asciiTheme="minorHAnsi" w:hAnsiTheme="minorHAnsi" w:cstheme="minorHAnsi"/>
        </w:rPr>
        <w:t>from</w:t>
      </w:r>
      <w:r w:rsidRPr="004E09A0">
        <w:rPr>
          <w:rFonts w:asciiTheme="minorHAnsi" w:hAnsiTheme="minorHAnsi" w:cstheme="minorHAnsi"/>
        </w:rPr>
        <w:t xml:space="preserve"> Australia</w:t>
      </w:r>
      <w:r w:rsidR="00316591">
        <w:rPr>
          <w:rFonts w:asciiTheme="minorHAnsi" w:hAnsiTheme="minorHAnsi" w:cstheme="minorHAnsi"/>
        </w:rPr>
        <w:t xml:space="preserve"> and Sweden</w:t>
      </w:r>
      <w:r w:rsidRPr="004E09A0">
        <w:rPr>
          <w:rFonts w:asciiTheme="minorHAnsi" w:hAnsiTheme="minorHAnsi" w:cstheme="minorHAnsi"/>
        </w:rPr>
        <w:t>.  Google has made the data set publicly available on the web and available for download at</w:t>
      </w:r>
      <w:r>
        <w:rPr>
          <w:rFonts w:asciiTheme="minorHAnsi" w:hAnsiTheme="minorHAnsi" w:cstheme="minorHAnsi"/>
        </w:rPr>
        <w:t xml:space="preserve"> </w:t>
      </w:r>
      <w:hyperlink r:id="rId7" w:history="1">
        <w:r w:rsidRPr="00C965CA">
          <w:rPr>
            <w:rStyle w:val="Hyperlink"/>
            <w:rFonts w:asciiTheme="minorHAnsi" w:hAnsiTheme="minorHAnsi" w:cstheme="minorHAnsi"/>
          </w:rPr>
          <w:t>https://www.google.com/covid19/mobility/</w:t>
        </w:r>
      </w:hyperlink>
      <w:r w:rsidRPr="004E09A0">
        <w:rPr>
          <w:rFonts w:asciiTheme="minorHAnsi" w:hAnsiTheme="minorHAnsi" w:cstheme="minorHAnsi"/>
        </w:rPr>
        <w:t>.</w:t>
      </w:r>
    </w:p>
    <w:p w14:paraId="70C2B27C" w14:textId="44411421" w:rsidR="00FC44A2" w:rsidRDefault="00FC44A2" w:rsidP="00FC44A2">
      <w:pPr>
        <w:rPr>
          <w:rFonts w:asciiTheme="minorHAnsi" w:hAnsiTheme="minorHAnsi" w:cstheme="minorHAnsi"/>
        </w:rPr>
      </w:pPr>
    </w:p>
    <w:p w14:paraId="0FAE1334" w14:textId="05545265" w:rsidR="00316591" w:rsidRDefault="00316591" w:rsidP="00FC44A2">
      <w:pPr>
        <w:rPr>
          <w:rFonts w:asciiTheme="minorHAnsi" w:hAnsiTheme="minorHAnsi" w:cstheme="minorHAnsi"/>
        </w:rPr>
      </w:pPr>
      <w:r>
        <w:rPr>
          <w:rFonts w:asciiTheme="minorHAnsi" w:hAnsiTheme="minorHAnsi" w:cstheme="minorHAnsi"/>
        </w:rPr>
        <w:t>The COVID</w:t>
      </w:r>
      <w:r w:rsidR="00F3273C">
        <w:rPr>
          <w:rFonts w:asciiTheme="minorHAnsi" w:hAnsiTheme="minorHAnsi" w:cstheme="minorHAnsi"/>
        </w:rPr>
        <w:t>-19</w:t>
      </w:r>
      <w:r>
        <w:rPr>
          <w:rFonts w:asciiTheme="minorHAnsi" w:hAnsiTheme="minorHAnsi" w:cstheme="minorHAnsi"/>
        </w:rPr>
        <w:t xml:space="preserve"> cases data set is a database created by the team at Our World in Data at Oxford University in the U</w:t>
      </w:r>
      <w:r w:rsidR="00F3273C">
        <w:rPr>
          <w:rFonts w:asciiTheme="minorHAnsi" w:hAnsiTheme="minorHAnsi" w:cstheme="minorHAnsi"/>
        </w:rPr>
        <w:t xml:space="preserve">nited </w:t>
      </w:r>
      <w:r>
        <w:rPr>
          <w:rFonts w:asciiTheme="minorHAnsi" w:hAnsiTheme="minorHAnsi" w:cstheme="minorHAnsi"/>
        </w:rPr>
        <w:t>K</w:t>
      </w:r>
      <w:r w:rsidR="00F3273C">
        <w:rPr>
          <w:rFonts w:asciiTheme="minorHAnsi" w:hAnsiTheme="minorHAnsi" w:cstheme="minorHAnsi"/>
        </w:rPr>
        <w:t>ingdom</w:t>
      </w:r>
      <w:r>
        <w:rPr>
          <w:rFonts w:asciiTheme="minorHAnsi" w:hAnsiTheme="minorHAnsi" w:cstheme="minorHAnsi"/>
        </w:rPr>
        <w:t>.  Given the multitude of data sources around the world and lack of world authority with respect to data reporting during the pandemic</w:t>
      </w:r>
      <w:r w:rsidR="00214D60">
        <w:rPr>
          <w:rFonts w:asciiTheme="minorHAnsi" w:hAnsiTheme="minorHAnsi" w:cstheme="minorHAnsi"/>
        </w:rPr>
        <w:t>,</w:t>
      </w:r>
      <w:r>
        <w:rPr>
          <w:rFonts w:asciiTheme="minorHAnsi" w:hAnsiTheme="minorHAnsi" w:cstheme="minorHAnsi"/>
        </w:rPr>
        <w:t xml:space="preserve"> the Our World in Data research group created a database with the aim </w:t>
      </w:r>
      <w:r w:rsidR="00214D60">
        <w:rPr>
          <w:rFonts w:asciiTheme="minorHAnsi" w:hAnsiTheme="minorHAnsi" w:cstheme="minorHAnsi"/>
        </w:rPr>
        <w:t>of</w:t>
      </w:r>
      <w:r>
        <w:rPr>
          <w:rFonts w:asciiTheme="minorHAnsi" w:hAnsiTheme="minorHAnsi" w:cstheme="minorHAnsi"/>
        </w:rPr>
        <w:t xml:space="preserve"> centralising this international data to make it easily accessible for further investigation (Hassel</w:t>
      </w:r>
      <w:r w:rsidR="008C4B93">
        <w:rPr>
          <w:rFonts w:asciiTheme="minorHAnsi" w:hAnsiTheme="minorHAnsi" w:cstheme="minorHAnsi"/>
        </w:rPr>
        <w:t xml:space="preserve"> et al</w:t>
      </w:r>
      <w:r>
        <w:rPr>
          <w:rFonts w:asciiTheme="minorHAnsi" w:hAnsiTheme="minorHAnsi" w:cstheme="minorHAnsi"/>
        </w:rPr>
        <w:t xml:space="preserve">, 2020).  The database is comprised </w:t>
      </w:r>
      <w:r w:rsidR="00F3273C">
        <w:rPr>
          <w:rFonts w:asciiTheme="minorHAnsi" w:hAnsiTheme="minorHAnsi" w:cstheme="minorHAnsi"/>
        </w:rPr>
        <w:t xml:space="preserve">of </w:t>
      </w:r>
      <w:r>
        <w:rPr>
          <w:rFonts w:asciiTheme="minorHAnsi" w:hAnsiTheme="minorHAnsi" w:cstheme="minorHAnsi"/>
        </w:rPr>
        <w:t>data pertaining to case numbers, rates of PCR testing, patient deaths, population numbers, vaccination rates and other health statistics from 94 countries in the world relating to the COVID-19 pandemic (Hassel</w:t>
      </w:r>
      <w:r w:rsidR="008C4B93">
        <w:rPr>
          <w:rFonts w:asciiTheme="minorHAnsi" w:hAnsiTheme="minorHAnsi" w:cstheme="minorHAnsi"/>
        </w:rPr>
        <w:t xml:space="preserve"> et al</w:t>
      </w:r>
      <w:r>
        <w:rPr>
          <w:rFonts w:asciiTheme="minorHAnsi" w:hAnsiTheme="minorHAnsi" w:cstheme="minorHAnsi"/>
        </w:rPr>
        <w:t xml:space="preserve">, 2020).  Data has been collected since January 2020 from government and published data in addition to validated data from other sources (Hassel </w:t>
      </w:r>
      <w:r w:rsidR="008C4B93">
        <w:rPr>
          <w:rFonts w:asciiTheme="minorHAnsi" w:hAnsiTheme="minorHAnsi" w:cstheme="minorHAnsi"/>
        </w:rPr>
        <w:t>et al</w:t>
      </w:r>
      <w:r>
        <w:rPr>
          <w:rFonts w:asciiTheme="minorHAnsi" w:hAnsiTheme="minorHAnsi" w:cstheme="minorHAnsi"/>
        </w:rPr>
        <w:t xml:space="preserve">, 2020).  </w:t>
      </w:r>
      <w:r w:rsidR="00214D60">
        <w:rPr>
          <w:rFonts w:asciiTheme="minorHAnsi" w:hAnsiTheme="minorHAnsi" w:cstheme="minorHAnsi"/>
        </w:rPr>
        <w:t xml:space="preserve">Again this report will be focusing on data collected from Australian and Sweden.  </w:t>
      </w:r>
      <w:r>
        <w:rPr>
          <w:rFonts w:asciiTheme="minorHAnsi" w:hAnsiTheme="minorHAnsi" w:cstheme="minorHAnsi"/>
        </w:rPr>
        <w:t xml:space="preserve">Our World in </w:t>
      </w:r>
      <w:r w:rsidR="00214D60">
        <w:rPr>
          <w:rFonts w:asciiTheme="minorHAnsi" w:hAnsiTheme="minorHAnsi" w:cstheme="minorHAnsi"/>
        </w:rPr>
        <w:t>D</w:t>
      </w:r>
      <w:r>
        <w:rPr>
          <w:rFonts w:asciiTheme="minorHAnsi" w:hAnsiTheme="minorHAnsi" w:cstheme="minorHAnsi"/>
        </w:rPr>
        <w:t xml:space="preserve">ata has made this dataset publicly available for download at </w:t>
      </w:r>
      <w:hyperlink r:id="rId8" w:history="1">
        <w:r w:rsidRPr="00937E2D">
          <w:rPr>
            <w:rStyle w:val="Hyperlink"/>
            <w:rFonts w:asciiTheme="minorHAnsi" w:hAnsiTheme="minorHAnsi" w:cstheme="minorHAnsi"/>
          </w:rPr>
          <w:t>https://ourworldindata.org/coronavirus-data</w:t>
        </w:r>
      </w:hyperlink>
      <w:r>
        <w:rPr>
          <w:rFonts w:asciiTheme="minorHAnsi" w:hAnsiTheme="minorHAnsi" w:cstheme="minorHAnsi"/>
        </w:rPr>
        <w:t xml:space="preserve">. </w:t>
      </w:r>
    </w:p>
    <w:p w14:paraId="7CBB1B67" w14:textId="77777777" w:rsidR="00316591" w:rsidRPr="004E09A0" w:rsidRDefault="00316591" w:rsidP="00FC44A2">
      <w:pPr>
        <w:rPr>
          <w:rFonts w:asciiTheme="minorHAnsi" w:hAnsiTheme="minorHAnsi" w:cstheme="minorHAnsi"/>
        </w:rPr>
      </w:pPr>
    </w:p>
    <w:p w14:paraId="784624B9" w14:textId="50F72EC3" w:rsidR="00FC44A2" w:rsidRPr="004E09A0" w:rsidRDefault="00FC44A2" w:rsidP="00FC44A2">
      <w:pPr>
        <w:rPr>
          <w:rFonts w:asciiTheme="minorHAnsi" w:hAnsiTheme="minorHAnsi" w:cstheme="minorHAnsi"/>
        </w:rPr>
      </w:pPr>
      <w:r w:rsidRPr="004E09A0">
        <w:rPr>
          <w:rFonts w:asciiTheme="minorHAnsi" w:hAnsiTheme="minorHAnsi" w:cstheme="minorHAnsi"/>
        </w:rPr>
        <w:t xml:space="preserve">The COVID-19 pandemic has had devasting effects around the world. </w:t>
      </w:r>
      <w:r>
        <w:rPr>
          <w:rFonts w:asciiTheme="minorHAnsi" w:hAnsiTheme="minorHAnsi" w:cstheme="minorHAnsi"/>
        </w:rPr>
        <w:t xml:space="preserve"> </w:t>
      </w:r>
      <w:r w:rsidRPr="004E09A0">
        <w:rPr>
          <w:rFonts w:asciiTheme="minorHAnsi" w:hAnsiTheme="minorHAnsi" w:cstheme="minorHAnsi"/>
        </w:rPr>
        <w:t>Social distancing and limiting movement are crucial elements in managing the spread of this highly contagious virus.</w:t>
      </w:r>
      <w:r>
        <w:rPr>
          <w:rFonts w:asciiTheme="minorHAnsi" w:hAnsiTheme="minorHAnsi" w:cstheme="minorHAnsi"/>
        </w:rPr>
        <w:t xml:space="preserve"> </w:t>
      </w:r>
      <w:r w:rsidR="00E45236">
        <w:rPr>
          <w:rFonts w:asciiTheme="minorHAnsi" w:hAnsiTheme="minorHAnsi" w:cstheme="minorHAnsi"/>
        </w:rPr>
        <w:t xml:space="preserve"> M</w:t>
      </w:r>
      <w:r w:rsidRPr="004E09A0">
        <w:rPr>
          <w:rFonts w:asciiTheme="minorHAnsi" w:hAnsiTheme="minorHAnsi" w:cstheme="minorHAnsi"/>
        </w:rPr>
        <w:t xml:space="preserve">onitoring movement data of the population to different types of locations </w:t>
      </w:r>
      <w:r w:rsidR="00E45236">
        <w:rPr>
          <w:rFonts w:asciiTheme="minorHAnsi" w:hAnsiTheme="minorHAnsi" w:cstheme="minorHAnsi"/>
        </w:rPr>
        <w:t>in relation to rates of infection in different countries with different management strategies is</w:t>
      </w:r>
      <w:r w:rsidRPr="004E09A0">
        <w:rPr>
          <w:rFonts w:asciiTheme="minorHAnsi" w:hAnsiTheme="minorHAnsi" w:cstheme="minorHAnsi"/>
        </w:rPr>
        <w:t xml:space="preserve"> important with respect to Australi</w:t>
      </w:r>
      <w:r w:rsidR="00E45236">
        <w:rPr>
          <w:rFonts w:asciiTheme="minorHAnsi" w:hAnsiTheme="minorHAnsi" w:cstheme="minorHAnsi"/>
        </w:rPr>
        <w:t>a’s</w:t>
      </w:r>
      <w:r w:rsidRPr="004E09A0">
        <w:rPr>
          <w:rFonts w:asciiTheme="minorHAnsi" w:hAnsiTheme="minorHAnsi" w:cstheme="minorHAnsi"/>
        </w:rPr>
        <w:t xml:space="preserve"> response to this pandemic. </w:t>
      </w:r>
      <w:r>
        <w:rPr>
          <w:rFonts w:asciiTheme="minorHAnsi" w:hAnsiTheme="minorHAnsi" w:cstheme="minorHAnsi"/>
        </w:rPr>
        <w:t xml:space="preserve"> </w:t>
      </w:r>
      <w:r w:rsidR="00E45236">
        <w:rPr>
          <w:rFonts w:asciiTheme="minorHAnsi" w:hAnsiTheme="minorHAnsi" w:cstheme="minorHAnsi"/>
        </w:rPr>
        <w:t>O</w:t>
      </w:r>
      <w:r w:rsidRPr="004E09A0">
        <w:rPr>
          <w:rFonts w:asciiTheme="minorHAnsi" w:hAnsiTheme="minorHAnsi" w:cstheme="minorHAnsi"/>
        </w:rPr>
        <w:t>ur knowledge of population movement</w:t>
      </w:r>
      <w:r w:rsidR="00E45236">
        <w:rPr>
          <w:rFonts w:asciiTheme="minorHAnsi" w:hAnsiTheme="minorHAnsi" w:cstheme="minorHAnsi"/>
        </w:rPr>
        <w:t xml:space="preserve"> combined with</w:t>
      </w:r>
      <w:r w:rsidRPr="004E09A0">
        <w:rPr>
          <w:rFonts w:asciiTheme="minorHAnsi" w:hAnsiTheme="minorHAnsi" w:cstheme="minorHAnsi"/>
        </w:rPr>
        <w:t xml:space="preserve"> medical data </w:t>
      </w:r>
      <w:r w:rsidR="00E45236">
        <w:rPr>
          <w:rFonts w:asciiTheme="minorHAnsi" w:hAnsiTheme="minorHAnsi" w:cstheme="minorHAnsi"/>
        </w:rPr>
        <w:t>enables</w:t>
      </w:r>
      <w:r w:rsidRPr="004E09A0">
        <w:rPr>
          <w:rFonts w:asciiTheme="minorHAnsi" w:hAnsiTheme="minorHAnsi" w:cstheme="minorHAnsi"/>
        </w:rPr>
        <w:t xml:space="preserve"> us to</w:t>
      </w:r>
      <w:r>
        <w:rPr>
          <w:rFonts w:asciiTheme="minorHAnsi" w:hAnsiTheme="minorHAnsi" w:cstheme="minorHAnsi"/>
        </w:rPr>
        <w:t xml:space="preserve"> assess the efficacy of movement restrictions in managing the spread of infection</w:t>
      </w:r>
      <w:r w:rsidR="00E45236">
        <w:rPr>
          <w:rFonts w:asciiTheme="minorHAnsi" w:hAnsiTheme="minorHAnsi" w:cstheme="minorHAnsi"/>
        </w:rPr>
        <w:t xml:space="preserve"> and</w:t>
      </w:r>
      <w:r w:rsidR="00F3273C">
        <w:rPr>
          <w:rFonts w:asciiTheme="minorHAnsi" w:hAnsiTheme="minorHAnsi" w:cstheme="minorHAnsi"/>
        </w:rPr>
        <w:t xml:space="preserve"> to</w:t>
      </w:r>
      <w:r w:rsidRPr="004E09A0">
        <w:rPr>
          <w:rFonts w:asciiTheme="minorHAnsi" w:hAnsiTheme="minorHAnsi" w:cstheme="minorHAnsi"/>
        </w:rPr>
        <w:t xml:space="preserve"> </w:t>
      </w:r>
      <w:r w:rsidR="00E45236">
        <w:rPr>
          <w:rFonts w:asciiTheme="minorHAnsi" w:hAnsiTheme="minorHAnsi" w:cstheme="minorHAnsi"/>
        </w:rPr>
        <w:t xml:space="preserve">identify types of </w:t>
      </w:r>
      <w:r w:rsidR="00E45236" w:rsidRPr="004E09A0">
        <w:rPr>
          <w:rFonts w:asciiTheme="minorHAnsi" w:hAnsiTheme="minorHAnsi" w:cstheme="minorHAnsi"/>
        </w:rPr>
        <w:t>locations where</w:t>
      </w:r>
      <w:r w:rsidR="00E45236">
        <w:rPr>
          <w:rFonts w:asciiTheme="minorHAnsi" w:hAnsiTheme="minorHAnsi" w:cstheme="minorHAnsi"/>
        </w:rPr>
        <w:t xml:space="preserve"> the</w:t>
      </w:r>
      <w:r w:rsidR="00E45236" w:rsidRPr="004E09A0">
        <w:rPr>
          <w:rFonts w:asciiTheme="minorHAnsi" w:hAnsiTheme="minorHAnsi" w:cstheme="minorHAnsi"/>
        </w:rPr>
        <w:t xml:space="preserve"> risk of infection may be higher. </w:t>
      </w:r>
      <w:r w:rsidR="00E45236">
        <w:rPr>
          <w:rFonts w:asciiTheme="minorHAnsi" w:hAnsiTheme="minorHAnsi" w:cstheme="minorHAnsi"/>
        </w:rPr>
        <w:t xml:space="preserve"> In addition</w:t>
      </w:r>
      <w:r w:rsidR="00F3273C">
        <w:rPr>
          <w:rFonts w:asciiTheme="minorHAnsi" w:hAnsiTheme="minorHAnsi" w:cstheme="minorHAnsi"/>
        </w:rPr>
        <w:t>,</w:t>
      </w:r>
      <w:r w:rsidR="00E45236">
        <w:rPr>
          <w:rFonts w:asciiTheme="minorHAnsi" w:hAnsiTheme="minorHAnsi" w:cstheme="minorHAnsi"/>
        </w:rPr>
        <w:t xml:space="preserve"> t</w:t>
      </w:r>
      <w:r w:rsidR="00E45236" w:rsidRPr="004E09A0">
        <w:rPr>
          <w:rFonts w:asciiTheme="minorHAnsi" w:hAnsiTheme="minorHAnsi" w:cstheme="minorHAnsi"/>
        </w:rPr>
        <w:t xml:space="preserve">his information can </w:t>
      </w:r>
      <w:r w:rsidR="00E45236">
        <w:rPr>
          <w:rFonts w:asciiTheme="minorHAnsi" w:hAnsiTheme="minorHAnsi" w:cstheme="minorHAnsi"/>
        </w:rPr>
        <w:t xml:space="preserve">also </w:t>
      </w:r>
      <w:r w:rsidR="00E45236" w:rsidRPr="004E09A0">
        <w:rPr>
          <w:rFonts w:asciiTheme="minorHAnsi" w:hAnsiTheme="minorHAnsi" w:cstheme="minorHAnsi"/>
        </w:rPr>
        <w:t xml:space="preserve">be used </w:t>
      </w:r>
      <w:r w:rsidRPr="004E09A0">
        <w:rPr>
          <w:rFonts w:asciiTheme="minorHAnsi" w:hAnsiTheme="minorHAnsi" w:cstheme="minorHAnsi"/>
        </w:rPr>
        <w:t xml:space="preserve">develop recommendations to manage population movement, identify infection hotspots and in turn </w:t>
      </w:r>
      <w:r>
        <w:rPr>
          <w:rFonts w:asciiTheme="minorHAnsi" w:hAnsiTheme="minorHAnsi" w:cstheme="minorHAnsi"/>
        </w:rPr>
        <w:t>limit further infections in this pandemic and for disease control in the future.</w:t>
      </w:r>
    </w:p>
    <w:p w14:paraId="7E3E72F9" w14:textId="1FA97D02" w:rsidR="00D125D2" w:rsidRDefault="00D125D2"/>
    <w:p w14:paraId="1F3AA9C5" w14:textId="77777777" w:rsidR="00FC44A2" w:rsidRPr="004E09A0" w:rsidRDefault="00FC44A2" w:rsidP="00FC44A2">
      <w:pPr>
        <w:rPr>
          <w:rFonts w:asciiTheme="minorHAnsi" w:hAnsiTheme="minorHAnsi" w:cstheme="minorHAnsi"/>
          <w:u w:val="single"/>
        </w:rPr>
      </w:pPr>
      <w:r w:rsidRPr="004E09A0">
        <w:rPr>
          <w:rFonts w:asciiTheme="minorHAnsi" w:hAnsiTheme="minorHAnsi" w:cstheme="minorHAnsi"/>
          <w:u w:val="single"/>
        </w:rPr>
        <w:t>ii) Data Exploration</w:t>
      </w:r>
    </w:p>
    <w:p w14:paraId="288FA696" w14:textId="5E6A9CB2" w:rsidR="00FC44A2" w:rsidRDefault="00FC44A2" w:rsidP="00FC44A2">
      <w:pPr>
        <w:rPr>
          <w:rFonts w:asciiTheme="minorHAnsi" w:hAnsiTheme="minorHAnsi" w:cstheme="minorHAnsi"/>
        </w:rPr>
      </w:pPr>
      <w:r w:rsidRPr="004E09A0">
        <w:rPr>
          <w:rFonts w:asciiTheme="minorHAnsi" w:hAnsiTheme="minorHAnsi" w:cstheme="minorHAnsi"/>
        </w:rPr>
        <w:t xml:space="preserve">The Google COVID-19 </w:t>
      </w:r>
      <w:r>
        <w:rPr>
          <w:rFonts w:asciiTheme="minorHAnsi" w:hAnsiTheme="minorHAnsi" w:cstheme="minorHAnsi"/>
        </w:rPr>
        <w:t xml:space="preserve">mobility </w:t>
      </w:r>
      <w:r w:rsidRPr="004E09A0">
        <w:rPr>
          <w:rFonts w:asciiTheme="minorHAnsi" w:hAnsiTheme="minorHAnsi" w:cstheme="minorHAnsi"/>
        </w:rPr>
        <w:t xml:space="preserve">data set is comprised of 234.1MB of data in a comma separated (.csv) file. </w:t>
      </w:r>
      <w:r>
        <w:rPr>
          <w:rFonts w:asciiTheme="minorHAnsi" w:hAnsiTheme="minorHAnsi" w:cstheme="minorHAnsi"/>
        </w:rPr>
        <w:t xml:space="preserve"> For initial assessment of the data set, the data file was loaded into Jupyter Notebooks and analysed using Py</w:t>
      </w:r>
      <w:r w:rsidR="00E45236">
        <w:rPr>
          <w:rFonts w:asciiTheme="minorHAnsi" w:hAnsiTheme="minorHAnsi" w:cstheme="minorHAnsi"/>
        </w:rPr>
        <w:t>Spark</w:t>
      </w:r>
      <w:r>
        <w:rPr>
          <w:rFonts w:asciiTheme="minorHAnsi" w:hAnsiTheme="minorHAnsi" w:cstheme="minorHAnsi"/>
        </w:rPr>
        <w:t xml:space="preserve">.  </w:t>
      </w:r>
      <w:r w:rsidRPr="004E09A0">
        <w:rPr>
          <w:rFonts w:asciiTheme="minorHAnsi" w:hAnsiTheme="minorHAnsi" w:cstheme="minorHAnsi"/>
        </w:rPr>
        <w:t>The data set contains 14 variables and 3,342,175 observations.</w:t>
      </w:r>
      <w:r>
        <w:rPr>
          <w:rFonts w:asciiTheme="minorHAnsi" w:hAnsiTheme="minorHAnsi" w:cstheme="minorHAnsi"/>
        </w:rPr>
        <w:t xml:space="preserve"> </w:t>
      </w:r>
      <w:r w:rsidRPr="004E09A0">
        <w:rPr>
          <w:rFonts w:asciiTheme="minorHAnsi" w:hAnsiTheme="minorHAnsi" w:cstheme="minorHAnsi"/>
        </w:rPr>
        <w:t>For this report</w:t>
      </w:r>
      <w:r>
        <w:rPr>
          <w:rFonts w:asciiTheme="minorHAnsi" w:hAnsiTheme="minorHAnsi" w:cstheme="minorHAnsi"/>
        </w:rPr>
        <w:t>, only</w:t>
      </w:r>
      <w:r w:rsidRPr="004E09A0">
        <w:rPr>
          <w:rFonts w:asciiTheme="minorHAnsi" w:hAnsiTheme="minorHAnsi" w:cstheme="minorHAnsi"/>
        </w:rPr>
        <w:t xml:space="preserve"> data from Australia</w:t>
      </w:r>
      <w:r w:rsidR="00E45236">
        <w:rPr>
          <w:rFonts w:asciiTheme="minorHAnsi" w:hAnsiTheme="minorHAnsi" w:cstheme="minorHAnsi"/>
        </w:rPr>
        <w:t xml:space="preserve"> and Sweden</w:t>
      </w:r>
      <w:r w:rsidRPr="004E09A0">
        <w:rPr>
          <w:rFonts w:asciiTheme="minorHAnsi" w:hAnsiTheme="minorHAnsi" w:cstheme="minorHAnsi"/>
        </w:rPr>
        <w:t xml:space="preserve"> was examined. </w:t>
      </w:r>
    </w:p>
    <w:p w14:paraId="29F68EED" w14:textId="77777777" w:rsidR="00FC44A2" w:rsidRDefault="00FC44A2" w:rsidP="00FC44A2">
      <w:pPr>
        <w:rPr>
          <w:rFonts w:asciiTheme="minorHAnsi" w:hAnsiTheme="minorHAnsi" w:cstheme="minorHAnsi"/>
        </w:rPr>
      </w:pPr>
    </w:p>
    <w:p w14:paraId="72D5EA0B" w14:textId="302BF994" w:rsidR="00FC44A2" w:rsidRPr="004E09A0" w:rsidRDefault="00FC44A2" w:rsidP="00FC44A2">
      <w:pPr>
        <w:rPr>
          <w:rFonts w:asciiTheme="minorHAnsi" w:hAnsiTheme="minorHAnsi" w:cstheme="minorHAnsi"/>
        </w:rPr>
      </w:pPr>
      <w:r>
        <w:rPr>
          <w:rFonts w:asciiTheme="minorHAnsi" w:hAnsiTheme="minorHAnsi" w:cstheme="minorHAnsi"/>
        </w:rPr>
        <w:t xml:space="preserve">A total of </w:t>
      </w:r>
      <w:r w:rsidRPr="004E09A0">
        <w:rPr>
          <w:rFonts w:asciiTheme="minorHAnsi" w:hAnsiTheme="minorHAnsi" w:cstheme="minorHAnsi"/>
        </w:rPr>
        <w:t xml:space="preserve">76,688 observations were </w:t>
      </w:r>
      <w:r>
        <w:rPr>
          <w:rFonts w:asciiTheme="minorHAnsi" w:hAnsiTheme="minorHAnsi" w:cstheme="minorHAnsi"/>
        </w:rPr>
        <w:t xml:space="preserve">collected in </w:t>
      </w:r>
      <w:r w:rsidRPr="004E09A0">
        <w:rPr>
          <w:rFonts w:asciiTheme="minorHAnsi" w:hAnsiTheme="minorHAnsi" w:cstheme="minorHAnsi"/>
        </w:rPr>
        <w:t>Australia</w:t>
      </w:r>
      <w:r w:rsidR="00E45236">
        <w:rPr>
          <w:rFonts w:asciiTheme="minorHAnsi" w:hAnsiTheme="minorHAnsi" w:cstheme="minorHAnsi"/>
        </w:rPr>
        <w:t xml:space="preserve"> and 65,171 observations from Sweden.  </w:t>
      </w:r>
      <w:r w:rsidRPr="004E09A0">
        <w:rPr>
          <w:rFonts w:asciiTheme="minorHAnsi" w:hAnsiTheme="minorHAnsi" w:cstheme="minorHAnsi"/>
        </w:rPr>
        <w:t xml:space="preserve">Data was collected from </w:t>
      </w:r>
      <w:r>
        <w:rPr>
          <w:rFonts w:asciiTheme="minorHAnsi" w:hAnsiTheme="minorHAnsi" w:cstheme="minorHAnsi"/>
        </w:rPr>
        <w:t>February 15</w:t>
      </w:r>
      <w:r w:rsidRPr="00BC6E2F">
        <w:rPr>
          <w:rFonts w:asciiTheme="minorHAnsi" w:hAnsiTheme="minorHAnsi" w:cstheme="minorHAnsi"/>
          <w:vertAlign w:val="superscript"/>
        </w:rPr>
        <w:t>th</w:t>
      </w:r>
      <w:r>
        <w:rPr>
          <w:rFonts w:asciiTheme="minorHAnsi" w:hAnsiTheme="minorHAnsi" w:cstheme="minorHAnsi"/>
        </w:rPr>
        <w:t xml:space="preserve"> </w:t>
      </w:r>
      <w:r w:rsidRPr="004E09A0">
        <w:rPr>
          <w:rFonts w:asciiTheme="minorHAnsi" w:hAnsiTheme="minorHAnsi" w:cstheme="minorHAnsi"/>
        </w:rPr>
        <w:t>2020 till</w:t>
      </w:r>
      <w:r>
        <w:rPr>
          <w:rFonts w:asciiTheme="minorHAnsi" w:hAnsiTheme="minorHAnsi" w:cstheme="minorHAnsi"/>
        </w:rPr>
        <w:t xml:space="preserve"> December 1</w:t>
      </w:r>
      <w:r w:rsidRPr="00BC6E2F">
        <w:rPr>
          <w:rFonts w:asciiTheme="minorHAnsi" w:hAnsiTheme="minorHAnsi" w:cstheme="minorHAnsi"/>
          <w:vertAlign w:val="superscript"/>
        </w:rPr>
        <w:t>st</w:t>
      </w:r>
      <w:r>
        <w:rPr>
          <w:rFonts w:asciiTheme="minorHAnsi" w:hAnsiTheme="minorHAnsi" w:cstheme="minorHAnsi"/>
        </w:rPr>
        <w:t xml:space="preserve"> </w:t>
      </w:r>
      <w:r w:rsidRPr="004E09A0">
        <w:rPr>
          <w:rFonts w:asciiTheme="minorHAnsi" w:hAnsiTheme="minorHAnsi" w:cstheme="minorHAnsi"/>
        </w:rPr>
        <w:t xml:space="preserve">2020. </w:t>
      </w:r>
      <w:r>
        <w:rPr>
          <w:rFonts w:asciiTheme="minorHAnsi" w:hAnsiTheme="minorHAnsi" w:cstheme="minorHAnsi"/>
        </w:rPr>
        <w:t xml:space="preserve"> </w:t>
      </w:r>
      <w:r w:rsidR="00E45236">
        <w:rPr>
          <w:rFonts w:asciiTheme="minorHAnsi" w:hAnsiTheme="minorHAnsi" w:cstheme="minorHAnsi"/>
        </w:rPr>
        <w:t xml:space="preserve">After removal </w:t>
      </w:r>
      <w:r w:rsidR="00E45236">
        <w:rPr>
          <w:rFonts w:asciiTheme="minorHAnsi" w:hAnsiTheme="minorHAnsi" w:cstheme="minorHAnsi"/>
        </w:rPr>
        <w:lastRenderedPageBreak/>
        <w:t xml:space="preserve">of variables which contain no values 10 variables remain. </w:t>
      </w:r>
      <w:r>
        <w:rPr>
          <w:rFonts w:asciiTheme="minorHAnsi" w:hAnsiTheme="minorHAnsi" w:cstheme="minorHAnsi"/>
        </w:rPr>
        <w:t xml:space="preserve">The </w:t>
      </w:r>
      <w:r w:rsidR="00E45236">
        <w:rPr>
          <w:rFonts w:asciiTheme="minorHAnsi" w:hAnsiTheme="minorHAnsi" w:cstheme="minorHAnsi"/>
        </w:rPr>
        <w:t>four</w:t>
      </w:r>
      <w:r>
        <w:rPr>
          <w:rFonts w:asciiTheme="minorHAnsi" w:hAnsiTheme="minorHAnsi" w:cstheme="minorHAnsi"/>
        </w:rPr>
        <w:t xml:space="preserve"> initial variables in the data set identify the location from which movement data was collected and are all categorical variables.  </w:t>
      </w:r>
      <w:r w:rsidRPr="004E09A0">
        <w:rPr>
          <w:rFonts w:asciiTheme="minorHAnsi" w:hAnsiTheme="minorHAnsi" w:cstheme="minorHAnsi"/>
        </w:rPr>
        <w:t xml:space="preserve">The first two variables </w:t>
      </w:r>
      <w:r>
        <w:rPr>
          <w:rFonts w:asciiTheme="minorHAnsi" w:hAnsiTheme="minorHAnsi" w:cstheme="minorHAnsi"/>
        </w:rPr>
        <w:t>in</w:t>
      </w:r>
      <w:r w:rsidRPr="004E09A0">
        <w:rPr>
          <w:rFonts w:asciiTheme="minorHAnsi" w:hAnsiTheme="minorHAnsi" w:cstheme="minorHAnsi"/>
        </w:rPr>
        <w:t xml:space="preserve"> the data set identify the country</w:t>
      </w:r>
      <w:r>
        <w:rPr>
          <w:rFonts w:asciiTheme="minorHAnsi" w:hAnsiTheme="minorHAnsi" w:cstheme="minorHAnsi"/>
        </w:rPr>
        <w:t xml:space="preserve"> where the data was collected</w:t>
      </w:r>
      <w:r w:rsidRPr="004E09A0">
        <w:rPr>
          <w:rFonts w:asciiTheme="minorHAnsi" w:hAnsiTheme="minorHAnsi" w:cstheme="minorHAnsi"/>
        </w:rPr>
        <w:t xml:space="preserve">, by code and name respectively. </w:t>
      </w:r>
      <w:r>
        <w:rPr>
          <w:rFonts w:asciiTheme="minorHAnsi" w:hAnsiTheme="minorHAnsi" w:cstheme="minorHAnsi"/>
        </w:rPr>
        <w:t xml:space="preserve"> </w:t>
      </w:r>
      <w:r w:rsidRPr="004E09A0">
        <w:rPr>
          <w:rFonts w:asciiTheme="minorHAnsi" w:hAnsiTheme="minorHAnsi" w:cstheme="minorHAnsi"/>
        </w:rPr>
        <w:t xml:space="preserve">The next two variables further identify the region </w:t>
      </w:r>
      <w:r>
        <w:rPr>
          <w:rFonts w:asciiTheme="minorHAnsi" w:hAnsiTheme="minorHAnsi" w:cstheme="minorHAnsi"/>
        </w:rPr>
        <w:t xml:space="preserve">within the country </w:t>
      </w:r>
      <w:r w:rsidRPr="004E09A0">
        <w:rPr>
          <w:rFonts w:asciiTheme="minorHAnsi" w:hAnsiTheme="minorHAnsi" w:cstheme="minorHAnsi"/>
        </w:rPr>
        <w:t xml:space="preserve">from which the data was </w:t>
      </w:r>
      <w:r>
        <w:rPr>
          <w:rFonts w:asciiTheme="minorHAnsi" w:hAnsiTheme="minorHAnsi" w:cstheme="minorHAnsi"/>
        </w:rPr>
        <w:t>collected</w:t>
      </w:r>
      <w:r w:rsidRPr="004E09A0">
        <w:rPr>
          <w:rFonts w:asciiTheme="minorHAnsi" w:hAnsiTheme="minorHAnsi" w:cstheme="minorHAnsi"/>
        </w:rPr>
        <w:t xml:space="preserve">. </w:t>
      </w:r>
      <w:r>
        <w:rPr>
          <w:rFonts w:asciiTheme="minorHAnsi" w:hAnsiTheme="minorHAnsi" w:cstheme="minorHAnsi"/>
        </w:rPr>
        <w:t xml:space="preserve"> </w:t>
      </w:r>
      <w:r w:rsidRPr="004E09A0">
        <w:rPr>
          <w:rFonts w:asciiTheme="minorHAnsi" w:hAnsiTheme="minorHAnsi" w:cstheme="minorHAnsi"/>
        </w:rPr>
        <w:t>Sub_region_1 indicates the state or territory and sub_region_2 the council or shire within the state</w:t>
      </w:r>
      <w:r>
        <w:rPr>
          <w:rFonts w:asciiTheme="minorHAnsi" w:hAnsiTheme="minorHAnsi" w:cstheme="minorHAnsi"/>
        </w:rPr>
        <w:t xml:space="preserve"> or territory</w:t>
      </w:r>
      <w:r w:rsidR="00E45236">
        <w:rPr>
          <w:rFonts w:asciiTheme="minorHAnsi" w:hAnsiTheme="minorHAnsi" w:cstheme="minorHAnsi"/>
        </w:rPr>
        <w:t xml:space="preserve">. </w:t>
      </w:r>
      <w:r>
        <w:rPr>
          <w:rFonts w:asciiTheme="minorHAnsi" w:hAnsiTheme="minorHAnsi" w:cstheme="minorHAnsi"/>
        </w:rPr>
        <w:t xml:space="preserve"> The variable </w:t>
      </w:r>
      <w:r w:rsidRPr="004E09A0">
        <w:rPr>
          <w:rFonts w:asciiTheme="minorHAnsi" w:hAnsiTheme="minorHAnsi" w:cstheme="minorHAnsi"/>
        </w:rPr>
        <w:t>Iso_3166_2_code represents the International Organisation for Standardisation</w:t>
      </w:r>
      <w:r>
        <w:rPr>
          <w:rFonts w:asciiTheme="minorHAnsi" w:hAnsiTheme="minorHAnsi" w:cstheme="minorHAnsi"/>
        </w:rPr>
        <w:t xml:space="preserve"> (ISO)</w:t>
      </w:r>
      <w:r w:rsidRPr="004E09A0">
        <w:rPr>
          <w:rFonts w:asciiTheme="minorHAnsi" w:hAnsiTheme="minorHAnsi" w:cstheme="minorHAnsi"/>
        </w:rPr>
        <w:t xml:space="preserve"> country and subdivision identification code, an internationally recognised code to identify countries and their regions</w:t>
      </w:r>
      <w:r>
        <w:rPr>
          <w:rFonts w:asciiTheme="minorHAnsi" w:hAnsiTheme="minorHAnsi" w:cstheme="minorHAnsi"/>
        </w:rPr>
        <w:t xml:space="preserve"> (International Organisation for Standardisation, 2020).  </w:t>
      </w:r>
      <w:r w:rsidRPr="004E09A0">
        <w:rPr>
          <w:rFonts w:asciiTheme="minorHAnsi" w:hAnsiTheme="minorHAnsi" w:cstheme="minorHAnsi"/>
        </w:rPr>
        <w:t>The variable date indicates the date that location data was collected.</w:t>
      </w:r>
      <w:r>
        <w:rPr>
          <w:rFonts w:asciiTheme="minorHAnsi" w:hAnsiTheme="minorHAnsi" w:cstheme="minorHAnsi"/>
        </w:rPr>
        <w:t xml:space="preserve"> </w:t>
      </w:r>
      <w:r w:rsidRPr="004E09A0">
        <w:rPr>
          <w:rFonts w:asciiTheme="minorHAnsi" w:hAnsiTheme="minorHAnsi" w:cstheme="minorHAnsi"/>
        </w:rPr>
        <w:t xml:space="preserve"> </w:t>
      </w:r>
      <w:r>
        <w:rPr>
          <w:rFonts w:asciiTheme="minorHAnsi" w:hAnsiTheme="minorHAnsi" w:cstheme="minorHAnsi"/>
        </w:rPr>
        <w:t>Data was collected daily.</w:t>
      </w:r>
    </w:p>
    <w:p w14:paraId="61544291" w14:textId="77777777" w:rsidR="00E45236" w:rsidRDefault="00E45236" w:rsidP="00FC44A2">
      <w:pPr>
        <w:rPr>
          <w:rFonts w:asciiTheme="minorHAnsi" w:hAnsiTheme="minorHAnsi" w:cstheme="minorHAnsi"/>
        </w:rPr>
      </w:pPr>
    </w:p>
    <w:p w14:paraId="566AE443" w14:textId="124BC90B" w:rsidR="00FC44A2" w:rsidRDefault="00FC44A2" w:rsidP="00FC44A2">
      <w:pPr>
        <w:rPr>
          <w:rFonts w:asciiTheme="minorHAnsi" w:hAnsiTheme="minorHAnsi" w:cstheme="minorHAnsi"/>
        </w:rPr>
      </w:pPr>
      <w:r w:rsidRPr="004E09A0">
        <w:rPr>
          <w:rFonts w:asciiTheme="minorHAnsi" w:hAnsiTheme="minorHAnsi" w:cstheme="minorHAnsi"/>
        </w:rPr>
        <w:t>The final six</w:t>
      </w:r>
      <w:r>
        <w:rPr>
          <w:rFonts w:asciiTheme="minorHAnsi" w:hAnsiTheme="minorHAnsi" w:cstheme="minorHAnsi"/>
        </w:rPr>
        <w:t xml:space="preserve"> numerical</w:t>
      </w:r>
      <w:r w:rsidRPr="004E09A0">
        <w:rPr>
          <w:rFonts w:asciiTheme="minorHAnsi" w:hAnsiTheme="minorHAnsi" w:cstheme="minorHAnsi"/>
        </w:rPr>
        <w:t xml:space="preserve"> variables measure the change in movement across </w:t>
      </w:r>
      <w:r>
        <w:rPr>
          <w:rFonts w:asciiTheme="minorHAnsi" w:hAnsiTheme="minorHAnsi" w:cstheme="minorHAnsi"/>
        </w:rPr>
        <w:t>six</w:t>
      </w:r>
      <w:r w:rsidRPr="004E09A0">
        <w:rPr>
          <w:rFonts w:asciiTheme="minorHAnsi" w:hAnsiTheme="minorHAnsi" w:cstheme="minorHAnsi"/>
        </w:rPr>
        <w:t xml:space="preserve"> different categories of location, retail and recreation, grocery and pharmacy, parks, transit stations, workplaces and residential.</w:t>
      </w:r>
      <w:r>
        <w:rPr>
          <w:rFonts w:asciiTheme="minorHAnsi" w:hAnsiTheme="minorHAnsi" w:cstheme="minorHAnsi"/>
        </w:rPr>
        <w:t xml:space="preserve">  Data was collected from a variety of location types and similar places were grouped together in each category however some locations may fall into more than one category (Google 2020). </w:t>
      </w:r>
      <w:r w:rsidRPr="004E09A0">
        <w:rPr>
          <w:rFonts w:asciiTheme="minorHAnsi" w:hAnsiTheme="minorHAnsi" w:cstheme="minorHAnsi"/>
        </w:rPr>
        <w:t xml:space="preserve"> Each of these variables measures the percentage change in movement</w:t>
      </w:r>
      <w:r>
        <w:rPr>
          <w:rFonts w:asciiTheme="minorHAnsi" w:hAnsiTheme="minorHAnsi" w:cstheme="minorHAnsi"/>
        </w:rPr>
        <w:t xml:space="preserve"> to that location category</w:t>
      </w:r>
      <w:r w:rsidRPr="004E09A0">
        <w:rPr>
          <w:rFonts w:asciiTheme="minorHAnsi" w:hAnsiTheme="minorHAnsi" w:cstheme="minorHAnsi"/>
        </w:rPr>
        <w:t xml:space="preserve"> </w:t>
      </w:r>
      <w:r>
        <w:rPr>
          <w:rFonts w:asciiTheme="minorHAnsi" w:hAnsiTheme="minorHAnsi" w:cstheme="minorHAnsi"/>
        </w:rPr>
        <w:t>which is calculated daily (Google 2020)</w:t>
      </w:r>
      <w:r w:rsidRPr="004E09A0">
        <w:rPr>
          <w:rFonts w:asciiTheme="minorHAnsi" w:hAnsiTheme="minorHAnsi" w:cstheme="minorHAnsi"/>
        </w:rPr>
        <w:t xml:space="preserve">. </w:t>
      </w:r>
      <w:r>
        <w:rPr>
          <w:rFonts w:asciiTheme="minorHAnsi" w:hAnsiTheme="minorHAnsi" w:cstheme="minorHAnsi"/>
        </w:rPr>
        <w:t xml:space="preserve"> </w:t>
      </w:r>
      <w:r w:rsidRPr="004E09A0">
        <w:rPr>
          <w:rFonts w:asciiTheme="minorHAnsi" w:hAnsiTheme="minorHAnsi" w:cstheme="minorHAnsi"/>
        </w:rPr>
        <w:t>Movement to areas was measured from location data saved in</w:t>
      </w:r>
      <w:r>
        <w:rPr>
          <w:rFonts w:asciiTheme="minorHAnsi" w:hAnsiTheme="minorHAnsi" w:cstheme="minorHAnsi"/>
        </w:rPr>
        <w:t xml:space="preserve"> the</w:t>
      </w:r>
      <w:r w:rsidRPr="004E09A0">
        <w:rPr>
          <w:rFonts w:asciiTheme="minorHAnsi" w:hAnsiTheme="minorHAnsi" w:cstheme="minorHAnsi"/>
        </w:rPr>
        <w:t xml:space="preserve"> location history from individual mobile devices</w:t>
      </w:r>
      <w:r>
        <w:rPr>
          <w:rFonts w:asciiTheme="minorHAnsi" w:hAnsiTheme="minorHAnsi" w:cstheme="minorHAnsi"/>
        </w:rPr>
        <w:t xml:space="preserve"> (Google 2020)</w:t>
      </w:r>
      <w:r w:rsidRPr="004E09A0">
        <w:rPr>
          <w:rFonts w:asciiTheme="minorHAnsi" w:hAnsiTheme="minorHAnsi" w:cstheme="minorHAnsi"/>
        </w:rPr>
        <w:t xml:space="preserve">. </w:t>
      </w:r>
      <w:r>
        <w:rPr>
          <w:rFonts w:asciiTheme="minorHAnsi" w:hAnsiTheme="minorHAnsi" w:cstheme="minorHAnsi"/>
        </w:rPr>
        <w:t xml:space="preserve"> </w:t>
      </w:r>
      <w:r w:rsidRPr="004E09A0">
        <w:rPr>
          <w:rFonts w:asciiTheme="minorHAnsi" w:hAnsiTheme="minorHAnsi" w:cstheme="minorHAnsi"/>
        </w:rPr>
        <w:t xml:space="preserve">This data was combined and </w:t>
      </w:r>
      <w:r>
        <w:rPr>
          <w:rFonts w:asciiTheme="minorHAnsi" w:hAnsiTheme="minorHAnsi" w:cstheme="minorHAnsi"/>
        </w:rPr>
        <w:t xml:space="preserve">then </w:t>
      </w:r>
      <w:r w:rsidRPr="004E09A0">
        <w:rPr>
          <w:rFonts w:asciiTheme="minorHAnsi" w:hAnsiTheme="minorHAnsi" w:cstheme="minorHAnsi"/>
        </w:rPr>
        <w:t>compared to a baseline movement value</w:t>
      </w:r>
      <w:r>
        <w:rPr>
          <w:rFonts w:asciiTheme="minorHAnsi" w:hAnsiTheme="minorHAnsi" w:cstheme="minorHAnsi"/>
        </w:rPr>
        <w:t xml:space="preserve"> for that particular day of the week</w:t>
      </w:r>
      <w:r w:rsidRPr="004E09A0">
        <w:rPr>
          <w:rFonts w:asciiTheme="minorHAnsi" w:hAnsiTheme="minorHAnsi" w:cstheme="minorHAnsi"/>
        </w:rPr>
        <w:t xml:space="preserve"> and a percentage change between the two values was calculated</w:t>
      </w:r>
      <w:r>
        <w:rPr>
          <w:rFonts w:asciiTheme="minorHAnsi" w:hAnsiTheme="minorHAnsi" w:cstheme="minorHAnsi"/>
        </w:rPr>
        <w:t xml:space="preserve"> giving the percentage change in movement for that date for each category (Google 2020)</w:t>
      </w:r>
      <w:r w:rsidRPr="004E09A0">
        <w:rPr>
          <w:rFonts w:asciiTheme="minorHAnsi" w:hAnsiTheme="minorHAnsi" w:cstheme="minorHAnsi"/>
        </w:rPr>
        <w:t>.</w:t>
      </w:r>
      <w:r w:rsidR="00E45236">
        <w:rPr>
          <w:rFonts w:asciiTheme="minorHAnsi" w:hAnsiTheme="minorHAnsi" w:cstheme="minorHAnsi"/>
        </w:rPr>
        <w:t xml:space="preserve">  </w:t>
      </w:r>
      <w:r>
        <w:rPr>
          <w:rFonts w:asciiTheme="minorHAnsi" w:hAnsiTheme="minorHAnsi" w:cstheme="minorHAnsi"/>
        </w:rPr>
        <w:t>A baseline day value was calculated for each day of the week and was considered a typical movement value for that week day for each location category (Google 2020).  This typical value was calculated from the median values for that week day from January 3</w:t>
      </w:r>
      <w:r w:rsidRPr="00BC6E2F">
        <w:rPr>
          <w:rFonts w:asciiTheme="minorHAnsi" w:hAnsiTheme="minorHAnsi" w:cstheme="minorHAnsi"/>
          <w:vertAlign w:val="superscript"/>
        </w:rPr>
        <w:t>rd</w:t>
      </w:r>
      <w:r>
        <w:rPr>
          <w:rFonts w:asciiTheme="minorHAnsi" w:hAnsiTheme="minorHAnsi" w:cstheme="minorHAnsi"/>
        </w:rPr>
        <w:t xml:space="preserve"> 2020 till February 6</w:t>
      </w:r>
      <w:r w:rsidRPr="00BC6E2F">
        <w:rPr>
          <w:rFonts w:asciiTheme="minorHAnsi" w:hAnsiTheme="minorHAnsi" w:cstheme="minorHAnsi"/>
          <w:vertAlign w:val="superscript"/>
        </w:rPr>
        <w:t>th</w:t>
      </w:r>
      <w:r>
        <w:rPr>
          <w:rFonts w:asciiTheme="minorHAnsi" w:hAnsiTheme="minorHAnsi" w:cstheme="minorHAnsi"/>
        </w:rPr>
        <w:t xml:space="preserve"> 2020 for the individual categories (Google 2020).  Google (2020) also acknowledges that the baseline values do not consider periodic movement changes that may result due to seasons or other events.</w:t>
      </w:r>
    </w:p>
    <w:p w14:paraId="5DC3CCB5" w14:textId="77777777" w:rsidR="00FC44A2" w:rsidRDefault="00FC44A2" w:rsidP="00FC44A2">
      <w:pPr>
        <w:rPr>
          <w:rFonts w:asciiTheme="minorHAnsi" w:hAnsiTheme="minorHAnsi" w:cstheme="minorHAnsi"/>
        </w:rPr>
      </w:pPr>
    </w:p>
    <w:p w14:paraId="3B912AF3" w14:textId="42CC7508" w:rsidR="00FC44A2" w:rsidRDefault="00E45236" w:rsidP="00FC44A2">
      <w:pPr>
        <w:rPr>
          <w:rFonts w:asciiTheme="minorHAnsi" w:hAnsiTheme="minorHAnsi" w:cstheme="minorHAnsi"/>
        </w:rPr>
      </w:pPr>
      <w:r>
        <w:rPr>
          <w:rFonts w:asciiTheme="minorHAnsi" w:hAnsiTheme="minorHAnsi" w:cstheme="minorHAnsi"/>
        </w:rPr>
        <w:t>The Our World in Data COVID</w:t>
      </w:r>
      <w:r w:rsidR="00F3273C">
        <w:rPr>
          <w:rFonts w:asciiTheme="minorHAnsi" w:hAnsiTheme="minorHAnsi" w:cstheme="minorHAnsi"/>
        </w:rPr>
        <w:t>-19</w:t>
      </w:r>
      <w:r>
        <w:rPr>
          <w:rFonts w:asciiTheme="minorHAnsi" w:hAnsiTheme="minorHAnsi" w:cstheme="minorHAnsi"/>
        </w:rPr>
        <w:t xml:space="preserve"> cases data set is comprised of 15.98MB of data in a comma separated (.csv) file.  The original data set contain</w:t>
      </w:r>
      <w:r w:rsidR="00214D60">
        <w:rPr>
          <w:rFonts w:asciiTheme="minorHAnsi" w:hAnsiTheme="minorHAnsi" w:cstheme="minorHAnsi"/>
        </w:rPr>
        <w:t>s</w:t>
      </w:r>
      <w:r w:rsidR="00F3273C">
        <w:rPr>
          <w:rFonts w:asciiTheme="minorHAnsi" w:hAnsiTheme="minorHAnsi" w:cstheme="minorHAnsi"/>
        </w:rPr>
        <w:t xml:space="preserve"> </w:t>
      </w:r>
      <w:r>
        <w:rPr>
          <w:rFonts w:asciiTheme="minorHAnsi" w:hAnsiTheme="minorHAnsi" w:cstheme="minorHAnsi"/>
        </w:rPr>
        <w:t>62,407 entries and 59 variables.  The Australian data set contains 367 entries with data collected from January</w:t>
      </w:r>
      <w:r w:rsidR="00214D60">
        <w:rPr>
          <w:rFonts w:asciiTheme="minorHAnsi" w:hAnsiTheme="minorHAnsi" w:cstheme="minorHAnsi"/>
        </w:rPr>
        <w:t xml:space="preserve"> 26</w:t>
      </w:r>
      <w:r w:rsidR="00214D60" w:rsidRPr="00214D60">
        <w:rPr>
          <w:rFonts w:asciiTheme="minorHAnsi" w:hAnsiTheme="minorHAnsi" w:cstheme="minorHAnsi"/>
          <w:vertAlign w:val="superscript"/>
        </w:rPr>
        <w:t>th</w:t>
      </w:r>
      <w:r w:rsidR="00214D60">
        <w:rPr>
          <w:rFonts w:asciiTheme="minorHAnsi" w:hAnsiTheme="minorHAnsi" w:cstheme="minorHAnsi"/>
        </w:rPr>
        <w:t xml:space="preserve"> </w:t>
      </w:r>
      <w:r>
        <w:rPr>
          <w:rFonts w:asciiTheme="minorHAnsi" w:hAnsiTheme="minorHAnsi" w:cstheme="minorHAnsi"/>
        </w:rPr>
        <w:t>2020 til</w:t>
      </w:r>
      <w:r w:rsidR="00214D60">
        <w:rPr>
          <w:rFonts w:asciiTheme="minorHAnsi" w:hAnsiTheme="minorHAnsi" w:cstheme="minorHAnsi"/>
        </w:rPr>
        <w:t xml:space="preserve">l </w:t>
      </w:r>
      <w:r>
        <w:rPr>
          <w:rFonts w:asciiTheme="minorHAnsi" w:hAnsiTheme="minorHAnsi" w:cstheme="minorHAnsi"/>
        </w:rPr>
        <w:t xml:space="preserve">January </w:t>
      </w:r>
      <w:r w:rsidR="00214D60">
        <w:rPr>
          <w:rFonts w:asciiTheme="minorHAnsi" w:hAnsiTheme="minorHAnsi" w:cstheme="minorHAnsi"/>
        </w:rPr>
        <w:t>26</w:t>
      </w:r>
      <w:r w:rsidR="00214D60" w:rsidRPr="00214D60">
        <w:rPr>
          <w:rFonts w:asciiTheme="minorHAnsi" w:hAnsiTheme="minorHAnsi" w:cstheme="minorHAnsi"/>
          <w:vertAlign w:val="superscript"/>
        </w:rPr>
        <w:t>th</w:t>
      </w:r>
      <w:r w:rsidR="00214D60">
        <w:rPr>
          <w:rFonts w:asciiTheme="minorHAnsi" w:hAnsiTheme="minorHAnsi" w:cstheme="minorHAnsi"/>
        </w:rPr>
        <w:t xml:space="preserve"> </w:t>
      </w:r>
      <w:r>
        <w:rPr>
          <w:rFonts w:asciiTheme="minorHAnsi" w:hAnsiTheme="minorHAnsi" w:cstheme="minorHAnsi"/>
        </w:rPr>
        <w:t>2021. The Swedish data set contain</w:t>
      </w:r>
      <w:r w:rsidR="00F3273C">
        <w:rPr>
          <w:rFonts w:asciiTheme="minorHAnsi" w:hAnsiTheme="minorHAnsi" w:cstheme="minorHAnsi"/>
        </w:rPr>
        <w:t>s</w:t>
      </w:r>
      <w:r>
        <w:rPr>
          <w:rFonts w:asciiTheme="minorHAnsi" w:hAnsiTheme="minorHAnsi" w:cstheme="minorHAnsi"/>
        </w:rPr>
        <w:t xml:space="preserve"> 361 entries with data collected from February </w:t>
      </w:r>
      <w:r w:rsidR="00214D60">
        <w:rPr>
          <w:rFonts w:asciiTheme="minorHAnsi" w:hAnsiTheme="minorHAnsi" w:cstheme="minorHAnsi"/>
        </w:rPr>
        <w:t>1</w:t>
      </w:r>
      <w:r w:rsidR="00214D60" w:rsidRPr="00214D60">
        <w:rPr>
          <w:rFonts w:asciiTheme="minorHAnsi" w:hAnsiTheme="minorHAnsi" w:cstheme="minorHAnsi"/>
          <w:vertAlign w:val="superscript"/>
        </w:rPr>
        <w:t>st</w:t>
      </w:r>
      <w:r w:rsidR="00214D60">
        <w:rPr>
          <w:rFonts w:asciiTheme="minorHAnsi" w:hAnsiTheme="minorHAnsi" w:cstheme="minorHAnsi"/>
        </w:rPr>
        <w:t xml:space="preserve">, </w:t>
      </w:r>
      <w:r>
        <w:rPr>
          <w:rFonts w:asciiTheme="minorHAnsi" w:hAnsiTheme="minorHAnsi" w:cstheme="minorHAnsi"/>
        </w:rPr>
        <w:t>2020 till January</w:t>
      </w:r>
      <w:r w:rsidR="00214D60">
        <w:rPr>
          <w:rFonts w:asciiTheme="minorHAnsi" w:hAnsiTheme="minorHAnsi" w:cstheme="minorHAnsi"/>
        </w:rPr>
        <w:t xml:space="preserve"> 26</w:t>
      </w:r>
      <w:r w:rsidR="00214D60" w:rsidRPr="00214D60">
        <w:rPr>
          <w:rFonts w:asciiTheme="minorHAnsi" w:hAnsiTheme="minorHAnsi" w:cstheme="minorHAnsi"/>
          <w:vertAlign w:val="superscript"/>
        </w:rPr>
        <w:t>th</w:t>
      </w:r>
      <w:r w:rsidR="00214D60">
        <w:rPr>
          <w:rFonts w:asciiTheme="minorHAnsi" w:hAnsiTheme="minorHAnsi" w:cstheme="minorHAnsi"/>
        </w:rPr>
        <w:t>,</w:t>
      </w:r>
      <w:r>
        <w:rPr>
          <w:rFonts w:asciiTheme="minorHAnsi" w:hAnsiTheme="minorHAnsi" w:cstheme="minorHAnsi"/>
        </w:rPr>
        <w:t xml:space="preserve"> 2021.  After</w:t>
      </w:r>
      <w:r w:rsidR="00214D60">
        <w:rPr>
          <w:rFonts w:asciiTheme="minorHAnsi" w:hAnsiTheme="minorHAnsi" w:cstheme="minorHAnsi"/>
        </w:rPr>
        <w:t xml:space="preserve"> the</w:t>
      </w:r>
      <w:r>
        <w:rPr>
          <w:rFonts w:asciiTheme="minorHAnsi" w:hAnsiTheme="minorHAnsi" w:cstheme="minorHAnsi"/>
        </w:rPr>
        <w:t xml:space="preserve"> removal of variables with no values the Australian and Swedish data sets contain</w:t>
      </w:r>
      <w:r w:rsidR="00F3273C">
        <w:rPr>
          <w:rFonts w:asciiTheme="minorHAnsi" w:hAnsiTheme="minorHAnsi" w:cstheme="minorHAnsi"/>
        </w:rPr>
        <w:t xml:space="preserve">ed </w:t>
      </w:r>
      <w:r>
        <w:rPr>
          <w:rFonts w:asciiTheme="minorHAnsi" w:hAnsiTheme="minorHAnsi" w:cstheme="minorHAnsi"/>
        </w:rPr>
        <w:t xml:space="preserve">41 and 51 variables respectively.  The first three variables iso_code, continent and location identify the country location where data was collected which is then followed by the date </w:t>
      </w:r>
      <w:r w:rsidR="00214D60">
        <w:rPr>
          <w:rFonts w:asciiTheme="minorHAnsi" w:hAnsiTheme="minorHAnsi" w:cstheme="minorHAnsi"/>
        </w:rPr>
        <w:t xml:space="preserve">on </w:t>
      </w:r>
      <w:r>
        <w:rPr>
          <w:rFonts w:asciiTheme="minorHAnsi" w:hAnsiTheme="minorHAnsi" w:cstheme="minorHAnsi"/>
        </w:rPr>
        <w:t xml:space="preserve">which data was collected.  The next variables identify the number of cases diagnosed on each day and the cumulative number of cases over time.  Similar values are calculated for the number of deaths.  Given the differences in </w:t>
      </w:r>
      <w:r w:rsidR="00214D60">
        <w:rPr>
          <w:rFonts w:asciiTheme="minorHAnsi" w:hAnsiTheme="minorHAnsi" w:cstheme="minorHAnsi"/>
        </w:rPr>
        <w:t>how</w:t>
      </w:r>
      <w:r>
        <w:rPr>
          <w:rFonts w:asciiTheme="minorHAnsi" w:hAnsiTheme="minorHAnsi" w:cstheme="minorHAnsi"/>
        </w:rPr>
        <w:t xml:space="preserve"> countries report daily case numbers and the number of deaths</w:t>
      </w:r>
      <w:r w:rsidR="00214D60">
        <w:rPr>
          <w:rFonts w:asciiTheme="minorHAnsi" w:hAnsiTheme="minorHAnsi" w:cstheme="minorHAnsi"/>
        </w:rPr>
        <w:t>,</w:t>
      </w:r>
      <w:r>
        <w:rPr>
          <w:rFonts w:asciiTheme="minorHAnsi" w:hAnsiTheme="minorHAnsi" w:cstheme="minorHAnsi"/>
        </w:rPr>
        <w:t xml:space="preserve"> a smoothed value was calculated for each </w:t>
      </w:r>
      <w:r w:rsidR="00214D60">
        <w:rPr>
          <w:rFonts w:asciiTheme="minorHAnsi" w:hAnsiTheme="minorHAnsi" w:cstheme="minorHAnsi"/>
        </w:rPr>
        <w:t xml:space="preserve">of these </w:t>
      </w:r>
      <w:r>
        <w:rPr>
          <w:rFonts w:asciiTheme="minorHAnsi" w:hAnsiTheme="minorHAnsi" w:cstheme="minorHAnsi"/>
        </w:rPr>
        <w:t>value</w:t>
      </w:r>
      <w:r w:rsidR="00214D60">
        <w:rPr>
          <w:rFonts w:asciiTheme="minorHAnsi" w:hAnsiTheme="minorHAnsi" w:cstheme="minorHAnsi"/>
        </w:rPr>
        <w:t>s</w:t>
      </w:r>
      <w:r>
        <w:rPr>
          <w:rFonts w:asciiTheme="minorHAnsi" w:hAnsiTheme="minorHAnsi" w:cstheme="minorHAnsi"/>
        </w:rPr>
        <w:t xml:space="preserve"> in an effort to </w:t>
      </w:r>
      <w:r w:rsidR="00214D60">
        <w:rPr>
          <w:rFonts w:asciiTheme="minorHAnsi" w:hAnsiTheme="minorHAnsi" w:cstheme="minorHAnsi"/>
        </w:rPr>
        <w:t>minimise</w:t>
      </w:r>
      <w:r>
        <w:rPr>
          <w:rFonts w:asciiTheme="minorHAnsi" w:hAnsiTheme="minorHAnsi" w:cstheme="minorHAnsi"/>
        </w:rPr>
        <w:t xml:space="preserve"> the effect of these differences (Hassel </w:t>
      </w:r>
      <w:r w:rsidR="008C4B93">
        <w:rPr>
          <w:rFonts w:asciiTheme="minorHAnsi" w:hAnsiTheme="minorHAnsi" w:cstheme="minorHAnsi"/>
        </w:rPr>
        <w:t>et al</w:t>
      </w:r>
      <w:r>
        <w:rPr>
          <w:rFonts w:asciiTheme="minorHAnsi" w:hAnsiTheme="minorHAnsi" w:cstheme="minorHAnsi"/>
        </w:rPr>
        <w:t xml:space="preserve">, 2020).  The smoothed value is calculated as a 7 day average of each variable (Hassel </w:t>
      </w:r>
      <w:r w:rsidR="008C4B93">
        <w:rPr>
          <w:rFonts w:asciiTheme="minorHAnsi" w:hAnsiTheme="minorHAnsi" w:cstheme="minorHAnsi"/>
        </w:rPr>
        <w:t>et al</w:t>
      </w:r>
      <w:r>
        <w:rPr>
          <w:rFonts w:asciiTheme="minorHAnsi" w:hAnsiTheme="minorHAnsi" w:cstheme="minorHAnsi"/>
        </w:rPr>
        <w:t xml:space="preserve">, 2020).  </w:t>
      </w:r>
      <w:r w:rsidR="00B704F0">
        <w:rPr>
          <w:rFonts w:asciiTheme="minorHAnsi" w:hAnsiTheme="minorHAnsi" w:cstheme="minorHAnsi"/>
        </w:rPr>
        <w:t>The next group of variables pertain to numbers of PCR tests conducted and cumulative numbers of tests</w:t>
      </w:r>
      <w:r w:rsidR="00214D60">
        <w:rPr>
          <w:rFonts w:asciiTheme="minorHAnsi" w:hAnsiTheme="minorHAnsi" w:cstheme="minorHAnsi"/>
        </w:rPr>
        <w:t>,</w:t>
      </w:r>
      <w:r w:rsidR="00B704F0">
        <w:rPr>
          <w:rFonts w:asciiTheme="minorHAnsi" w:hAnsiTheme="minorHAnsi" w:cstheme="minorHAnsi"/>
        </w:rPr>
        <w:t xml:space="preserve"> agai</w:t>
      </w:r>
      <w:r w:rsidR="00214D60">
        <w:rPr>
          <w:rFonts w:asciiTheme="minorHAnsi" w:hAnsiTheme="minorHAnsi" w:cstheme="minorHAnsi"/>
        </w:rPr>
        <w:t>n</w:t>
      </w:r>
      <w:r w:rsidR="00B704F0">
        <w:rPr>
          <w:rFonts w:asciiTheme="minorHAnsi" w:hAnsiTheme="minorHAnsi" w:cstheme="minorHAnsi"/>
        </w:rPr>
        <w:t xml:space="preserve"> including a smoothed value.</w:t>
      </w:r>
    </w:p>
    <w:p w14:paraId="465D28F0" w14:textId="7EF86A68" w:rsidR="00B704F0" w:rsidRDefault="00B704F0" w:rsidP="00FC44A2">
      <w:pPr>
        <w:rPr>
          <w:rFonts w:asciiTheme="minorHAnsi" w:hAnsiTheme="minorHAnsi" w:cstheme="minorHAnsi"/>
        </w:rPr>
      </w:pPr>
    </w:p>
    <w:p w14:paraId="1B171537" w14:textId="69C511B1" w:rsidR="00B704F0" w:rsidRDefault="00B704F0" w:rsidP="00FC44A2">
      <w:pPr>
        <w:rPr>
          <w:rFonts w:asciiTheme="minorHAnsi" w:hAnsiTheme="minorHAnsi" w:cstheme="minorHAnsi"/>
        </w:rPr>
      </w:pPr>
      <w:r>
        <w:rPr>
          <w:rFonts w:asciiTheme="minorHAnsi" w:hAnsiTheme="minorHAnsi" w:cstheme="minorHAnsi"/>
        </w:rPr>
        <w:lastRenderedPageBreak/>
        <w:t xml:space="preserve">The next group of variables in the Swedish data </w:t>
      </w:r>
      <w:r w:rsidR="00214D60">
        <w:rPr>
          <w:rFonts w:asciiTheme="minorHAnsi" w:hAnsiTheme="minorHAnsi" w:cstheme="minorHAnsi"/>
        </w:rPr>
        <w:t xml:space="preserve">set </w:t>
      </w:r>
      <w:r>
        <w:rPr>
          <w:rFonts w:asciiTheme="minorHAnsi" w:hAnsiTheme="minorHAnsi" w:cstheme="minorHAnsi"/>
        </w:rPr>
        <w:t xml:space="preserve">describes the rates of vaccination, including new and total </w:t>
      </w:r>
      <w:r w:rsidR="00214D60">
        <w:rPr>
          <w:rFonts w:asciiTheme="minorHAnsi" w:hAnsiTheme="minorHAnsi" w:cstheme="minorHAnsi"/>
        </w:rPr>
        <w:t>vaccination numbers</w:t>
      </w:r>
      <w:r>
        <w:rPr>
          <w:rFonts w:asciiTheme="minorHAnsi" w:hAnsiTheme="minorHAnsi" w:cstheme="minorHAnsi"/>
        </w:rPr>
        <w:t>,</w:t>
      </w:r>
      <w:r w:rsidR="00214D60">
        <w:rPr>
          <w:rFonts w:asciiTheme="minorHAnsi" w:hAnsiTheme="minorHAnsi" w:cstheme="minorHAnsi"/>
        </w:rPr>
        <w:t xml:space="preserve"> vaccination numbers</w:t>
      </w:r>
      <w:r>
        <w:rPr>
          <w:rFonts w:asciiTheme="minorHAnsi" w:hAnsiTheme="minorHAnsi" w:cstheme="minorHAnsi"/>
        </w:rPr>
        <w:t xml:space="preserve"> per head of population and smoothed values.  These figures are not included in the Australian data set as vaccination programs have not commenced.  The final group of variables in the COVID</w:t>
      </w:r>
      <w:r w:rsidR="00F3273C">
        <w:rPr>
          <w:rFonts w:asciiTheme="minorHAnsi" w:hAnsiTheme="minorHAnsi" w:cstheme="minorHAnsi"/>
        </w:rPr>
        <w:t>-19</w:t>
      </w:r>
      <w:r>
        <w:rPr>
          <w:rFonts w:asciiTheme="minorHAnsi" w:hAnsiTheme="minorHAnsi" w:cstheme="minorHAnsi"/>
        </w:rPr>
        <w:t xml:space="preserve"> cases data set </w:t>
      </w:r>
      <w:r w:rsidR="00FE0D1E">
        <w:rPr>
          <w:rFonts w:asciiTheme="minorHAnsi" w:hAnsiTheme="minorHAnsi" w:cstheme="minorHAnsi"/>
        </w:rPr>
        <w:t xml:space="preserve">is </w:t>
      </w:r>
      <w:r>
        <w:rPr>
          <w:rFonts w:asciiTheme="minorHAnsi" w:hAnsiTheme="minorHAnsi" w:cstheme="minorHAnsi"/>
        </w:rPr>
        <w:t>comprise</w:t>
      </w:r>
      <w:r w:rsidR="00FE0D1E">
        <w:rPr>
          <w:rFonts w:asciiTheme="minorHAnsi" w:hAnsiTheme="minorHAnsi" w:cstheme="minorHAnsi"/>
        </w:rPr>
        <w:t>d</w:t>
      </w:r>
      <w:r w:rsidR="00214D60">
        <w:rPr>
          <w:rFonts w:asciiTheme="minorHAnsi" w:hAnsiTheme="minorHAnsi" w:cstheme="minorHAnsi"/>
        </w:rPr>
        <w:t xml:space="preserve"> of</w:t>
      </w:r>
      <w:r>
        <w:rPr>
          <w:rFonts w:asciiTheme="minorHAnsi" w:hAnsiTheme="minorHAnsi" w:cstheme="minorHAnsi"/>
        </w:rPr>
        <w:t xml:space="preserve"> variables associated with population number, GDP, living standards, hospital and ICU admissions and other generalised health data.</w:t>
      </w:r>
      <w:r w:rsidR="00C76B23">
        <w:rPr>
          <w:rFonts w:asciiTheme="minorHAnsi" w:hAnsiTheme="minorHAnsi" w:cstheme="minorHAnsi"/>
        </w:rPr>
        <w:t xml:space="preserve">  ICU data however is not included in the Australian data set.</w:t>
      </w:r>
    </w:p>
    <w:p w14:paraId="2D31BCCB" w14:textId="6E6CFD89" w:rsidR="00E45236" w:rsidRPr="004E09A0" w:rsidRDefault="00E45236" w:rsidP="00FC44A2">
      <w:pPr>
        <w:rPr>
          <w:rFonts w:asciiTheme="minorHAnsi" w:hAnsiTheme="minorHAnsi" w:cstheme="minorHAnsi"/>
        </w:rPr>
      </w:pPr>
    </w:p>
    <w:p w14:paraId="4B297508" w14:textId="77777777" w:rsidR="00FC44A2" w:rsidRPr="004E09A0" w:rsidRDefault="00FC44A2" w:rsidP="00FC44A2">
      <w:pPr>
        <w:rPr>
          <w:rFonts w:asciiTheme="minorHAnsi" w:hAnsiTheme="minorHAnsi" w:cstheme="minorHAnsi"/>
          <w:u w:val="single"/>
        </w:rPr>
      </w:pPr>
      <w:r w:rsidRPr="004E09A0">
        <w:rPr>
          <w:rFonts w:asciiTheme="minorHAnsi" w:hAnsiTheme="minorHAnsi" w:cstheme="minorHAnsi"/>
          <w:u w:val="single"/>
        </w:rPr>
        <w:t>iii) Literature Review</w:t>
      </w:r>
    </w:p>
    <w:p w14:paraId="107B9C0F" w14:textId="77777777" w:rsidR="00FC44A2" w:rsidRPr="004E09A0" w:rsidRDefault="00FC44A2" w:rsidP="00FC44A2">
      <w:pPr>
        <w:rPr>
          <w:rFonts w:asciiTheme="minorHAnsi" w:hAnsiTheme="minorHAnsi" w:cstheme="minorHAnsi"/>
        </w:rPr>
      </w:pPr>
      <w:r w:rsidRPr="004E09A0">
        <w:rPr>
          <w:rFonts w:asciiTheme="minorHAnsi" w:hAnsiTheme="minorHAnsi" w:cstheme="minorHAnsi"/>
        </w:rPr>
        <w:t xml:space="preserve">Since the release of the Google </w:t>
      </w:r>
      <w:r>
        <w:rPr>
          <w:rFonts w:asciiTheme="minorHAnsi" w:hAnsiTheme="minorHAnsi" w:cstheme="minorHAnsi"/>
        </w:rPr>
        <w:t xml:space="preserve">COVID-19 </w:t>
      </w:r>
      <w:r w:rsidRPr="004E09A0">
        <w:rPr>
          <w:rFonts w:asciiTheme="minorHAnsi" w:hAnsiTheme="minorHAnsi" w:cstheme="minorHAnsi"/>
        </w:rPr>
        <w:t xml:space="preserve">mobility data </w:t>
      </w:r>
      <w:r>
        <w:rPr>
          <w:rFonts w:asciiTheme="minorHAnsi" w:hAnsiTheme="minorHAnsi" w:cstheme="minorHAnsi"/>
        </w:rPr>
        <w:t xml:space="preserve">set, </w:t>
      </w:r>
      <w:r w:rsidRPr="004E09A0">
        <w:rPr>
          <w:rFonts w:asciiTheme="minorHAnsi" w:hAnsiTheme="minorHAnsi" w:cstheme="minorHAnsi"/>
        </w:rPr>
        <w:t xml:space="preserve">several studies have utilised this information to analyse the effects of </w:t>
      </w:r>
      <w:r>
        <w:rPr>
          <w:rFonts w:asciiTheme="minorHAnsi" w:hAnsiTheme="minorHAnsi" w:cstheme="minorHAnsi"/>
        </w:rPr>
        <w:t>population</w:t>
      </w:r>
      <w:r w:rsidRPr="004E09A0">
        <w:rPr>
          <w:rFonts w:asciiTheme="minorHAnsi" w:hAnsiTheme="minorHAnsi" w:cstheme="minorHAnsi"/>
        </w:rPr>
        <w:t xml:space="preserve"> mobility and lockdown policies on </w:t>
      </w:r>
      <w:r>
        <w:rPr>
          <w:rFonts w:asciiTheme="minorHAnsi" w:hAnsiTheme="minorHAnsi" w:cstheme="minorHAnsi"/>
        </w:rPr>
        <w:t>managing</w:t>
      </w:r>
      <w:r w:rsidRPr="004E09A0">
        <w:rPr>
          <w:rFonts w:asciiTheme="minorHAnsi" w:hAnsiTheme="minorHAnsi" w:cstheme="minorHAnsi"/>
        </w:rPr>
        <w:t xml:space="preserve"> the COVID-19 pandemic.</w:t>
      </w:r>
    </w:p>
    <w:p w14:paraId="711EB15B" w14:textId="77777777" w:rsidR="00FC44A2" w:rsidRPr="004E09A0" w:rsidRDefault="00FC44A2" w:rsidP="00FC44A2">
      <w:pPr>
        <w:rPr>
          <w:rFonts w:asciiTheme="minorHAnsi" w:hAnsiTheme="minorHAnsi" w:cstheme="minorHAnsi"/>
        </w:rPr>
      </w:pPr>
    </w:p>
    <w:p w14:paraId="4186DBF5" w14:textId="77777777" w:rsidR="00FC44A2" w:rsidRPr="004E09A0" w:rsidRDefault="00FC44A2" w:rsidP="00FC44A2">
      <w:pPr>
        <w:rPr>
          <w:rFonts w:asciiTheme="minorHAnsi" w:hAnsiTheme="minorHAnsi" w:cstheme="minorHAnsi"/>
        </w:rPr>
      </w:pPr>
      <w:r w:rsidRPr="004E09A0">
        <w:rPr>
          <w:rFonts w:asciiTheme="minorHAnsi" w:hAnsiTheme="minorHAnsi" w:cstheme="minorHAnsi"/>
        </w:rPr>
        <w:t xml:space="preserve">Yilmazkuday (2020) </w:t>
      </w:r>
      <w:r>
        <w:rPr>
          <w:rFonts w:asciiTheme="minorHAnsi" w:hAnsiTheme="minorHAnsi" w:cstheme="minorHAnsi"/>
        </w:rPr>
        <w:t>performed a</w:t>
      </w:r>
      <w:r w:rsidRPr="004E09A0">
        <w:rPr>
          <w:rFonts w:asciiTheme="minorHAnsi" w:hAnsiTheme="minorHAnsi" w:cstheme="minorHAnsi"/>
        </w:rPr>
        <w:t xml:space="preserve"> study </w:t>
      </w:r>
      <w:r>
        <w:rPr>
          <w:rFonts w:asciiTheme="minorHAnsi" w:hAnsiTheme="minorHAnsi" w:cstheme="minorHAnsi"/>
        </w:rPr>
        <w:t xml:space="preserve">soon to be published </w:t>
      </w:r>
      <w:r w:rsidRPr="004E09A0">
        <w:rPr>
          <w:rFonts w:asciiTheme="minorHAnsi" w:hAnsiTheme="minorHAnsi" w:cstheme="minorHAnsi"/>
        </w:rPr>
        <w:t>in the Journal of Human Behaviour and Social Environment compar</w:t>
      </w:r>
      <w:r>
        <w:rPr>
          <w:rFonts w:asciiTheme="minorHAnsi" w:hAnsiTheme="minorHAnsi" w:cstheme="minorHAnsi"/>
        </w:rPr>
        <w:t>ing</w:t>
      </w:r>
      <w:r w:rsidRPr="004E09A0">
        <w:rPr>
          <w:rFonts w:asciiTheme="minorHAnsi" w:hAnsiTheme="minorHAnsi" w:cstheme="minorHAnsi"/>
        </w:rPr>
        <w:t xml:space="preserve"> international mobility data from the Google </w:t>
      </w:r>
      <w:r>
        <w:rPr>
          <w:rFonts w:asciiTheme="minorHAnsi" w:hAnsiTheme="minorHAnsi" w:cstheme="minorHAnsi"/>
        </w:rPr>
        <w:t xml:space="preserve">COVID-19 </w:t>
      </w:r>
      <w:r w:rsidRPr="004E09A0">
        <w:rPr>
          <w:rFonts w:asciiTheme="minorHAnsi" w:hAnsiTheme="minorHAnsi" w:cstheme="minorHAnsi"/>
        </w:rPr>
        <w:t xml:space="preserve">mobility </w:t>
      </w:r>
      <w:r>
        <w:rPr>
          <w:rFonts w:asciiTheme="minorHAnsi" w:hAnsiTheme="minorHAnsi" w:cstheme="minorHAnsi"/>
        </w:rPr>
        <w:t>data set</w:t>
      </w:r>
      <w:r w:rsidRPr="004E09A0">
        <w:rPr>
          <w:rFonts w:asciiTheme="minorHAnsi" w:hAnsiTheme="minorHAnsi" w:cstheme="minorHAnsi"/>
        </w:rPr>
        <w:t xml:space="preserve"> with</w:t>
      </w:r>
      <w:r>
        <w:rPr>
          <w:rFonts w:asciiTheme="minorHAnsi" w:hAnsiTheme="minorHAnsi" w:cstheme="minorHAnsi"/>
        </w:rPr>
        <w:t xml:space="preserve"> data of</w:t>
      </w:r>
      <w:r w:rsidRPr="004E09A0">
        <w:rPr>
          <w:rFonts w:asciiTheme="minorHAnsi" w:hAnsiTheme="minorHAnsi" w:cstheme="minorHAnsi"/>
        </w:rPr>
        <w:t xml:space="preserve"> COVID-19 case numbers and deaths</w:t>
      </w:r>
      <w:r>
        <w:rPr>
          <w:rFonts w:asciiTheme="minorHAnsi" w:hAnsiTheme="minorHAnsi" w:cstheme="minorHAnsi"/>
        </w:rPr>
        <w:t>.  The aim of this study was</w:t>
      </w:r>
      <w:r w:rsidRPr="004E09A0">
        <w:rPr>
          <w:rFonts w:asciiTheme="minorHAnsi" w:hAnsiTheme="minorHAnsi" w:cstheme="minorHAnsi"/>
        </w:rPr>
        <w:t xml:space="preserve"> to investigate the relationship between COVID-19 infection rates and mobility changes as a result of lockdown restrictions</w:t>
      </w:r>
      <w:r>
        <w:rPr>
          <w:rFonts w:asciiTheme="minorHAnsi" w:hAnsiTheme="minorHAnsi" w:cstheme="minorHAnsi"/>
        </w:rPr>
        <w:t xml:space="preserve"> (</w:t>
      </w:r>
      <w:r w:rsidRPr="004E09A0">
        <w:rPr>
          <w:rFonts w:asciiTheme="minorHAnsi" w:hAnsiTheme="minorHAnsi" w:cstheme="minorHAnsi"/>
        </w:rPr>
        <w:t>Yilmazkuday</w:t>
      </w:r>
      <w:r>
        <w:rPr>
          <w:rFonts w:asciiTheme="minorHAnsi" w:hAnsiTheme="minorHAnsi" w:cstheme="minorHAnsi"/>
        </w:rPr>
        <w:t>, 2020)</w:t>
      </w:r>
      <w:r w:rsidRPr="004E09A0">
        <w:rPr>
          <w:rFonts w:asciiTheme="minorHAnsi" w:hAnsiTheme="minorHAnsi" w:cstheme="minorHAnsi"/>
        </w:rPr>
        <w:t>.  Yilmazkuday (2020) used a difference in difference study design to investigate relationships between the two data sets across 130 countries</w:t>
      </w:r>
      <w:r>
        <w:rPr>
          <w:rFonts w:asciiTheme="minorHAnsi" w:hAnsiTheme="minorHAnsi" w:cstheme="minorHAnsi"/>
        </w:rPr>
        <w:t xml:space="preserve"> from February to May 2020,</w:t>
      </w:r>
      <w:r w:rsidRPr="004E09A0">
        <w:rPr>
          <w:rFonts w:asciiTheme="minorHAnsi" w:hAnsiTheme="minorHAnsi" w:cstheme="minorHAnsi"/>
        </w:rPr>
        <w:t xml:space="preserve"> </w:t>
      </w:r>
      <w:r>
        <w:rPr>
          <w:rFonts w:asciiTheme="minorHAnsi" w:hAnsiTheme="minorHAnsi" w:cstheme="minorHAnsi"/>
        </w:rPr>
        <w:t>making considerations for the effects of particular days, countries and timing of the hundredth COVID-19 case in each area</w:t>
      </w:r>
      <w:r w:rsidRPr="004E09A0">
        <w:rPr>
          <w:rFonts w:asciiTheme="minorHAnsi" w:hAnsiTheme="minorHAnsi" w:cstheme="minorHAnsi"/>
        </w:rPr>
        <w:t xml:space="preserve">. </w:t>
      </w:r>
      <w:r>
        <w:rPr>
          <w:rFonts w:asciiTheme="minorHAnsi" w:hAnsiTheme="minorHAnsi" w:cstheme="minorHAnsi"/>
        </w:rPr>
        <w:t xml:space="preserve"> This analysis showed very positive results (</w:t>
      </w:r>
      <w:r w:rsidRPr="004E09A0">
        <w:rPr>
          <w:rFonts w:asciiTheme="minorHAnsi" w:hAnsiTheme="minorHAnsi" w:cstheme="minorHAnsi"/>
        </w:rPr>
        <w:t>Yilmazkuday</w:t>
      </w:r>
      <w:r>
        <w:rPr>
          <w:rFonts w:asciiTheme="minorHAnsi" w:hAnsiTheme="minorHAnsi" w:cstheme="minorHAnsi"/>
        </w:rPr>
        <w:t xml:space="preserve">, 2020). </w:t>
      </w:r>
      <w:r w:rsidRPr="004E09A0">
        <w:rPr>
          <w:rFonts w:asciiTheme="minorHAnsi" w:hAnsiTheme="minorHAnsi" w:cstheme="minorHAnsi"/>
        </w:rPr>
        <w:t xml:space="preserve"> Yilmazkuday (2020) </w:t>
      </w:r>
      <w:r>
        <w:rPr>
          <w:rFonts w:asciiTheme="minorHAnsi" w:hAnsiTheme="minorHAnsi" w:cstheme="minorHAnsi"/>
        </w:rPr>
        <w:t>found that increased time at places of residence and decreased time in places outside the home including work, transit, retail and recreation locations all reduced rates COVID-19 cases and deaths.  Furthermore increased time spent at places of residence had the greatest impact on COVID-19 statistics (</w:t>
      </w:r>
      <w:r w:rsidRPr="004E09A0">
        <w:rPr>
          <w:rFonts w:asciiTheme="minorHAnsi" w:hAnsiTheme="minorHAnsi" w:cstheme="minorHAnsi"/>
        </w:rPr>
        <w:t>Yilmazkuday</w:t>
      </w:r>
      <w:r>
        <w:rPr>
          <w:rFonts w:asciiTheme="minorHAnsi" w:hAnsiTheme="minorHAnsi" w:cstheme="minorHAnsi"/>
        </w:rPr>
        <w:t>, 2020).</w:t>
      </w:r>
    </w:p>
    <w:p w14:paraId="6DB10F0E" w14:textId="77777777" w:rsidR="00FC44A2" w:rsidRPr="004E09A0" w:rsidRDefault="00FC44A2" w:rsidP="00FC44A2">
      <w:pPr>
        <w:rPr>
          <w:rFonts w:asciiTheme="minorHAnsi" w:hAnsiTheme="minorHAnsi" w:cstheme="minorHAnsi"/>
        </w:rPr>
      </w:pPr>
    </w:p>
    <w:p w14:paraId="3C9B901C" w14:textId="77777777" w:rsidR="00FC44A2" w:rsidRPr="004E09A0" w:rsidRDefault="00FC44A2" w:rsidP="00FC44A2">
      <w:pPr>
        <w:rPr>
          <w:rFonts w:asciiTheme="minorHAnsi" w:hAnsiTheme="minorHAnsi" w:cstheme="minorHAnsi"/>
        </w:rPr>
      </w:pPr>
      <w:r w:rsidRPr="004E09A0">
        <w:rPr>
          <w:rFonts w:asciiTheme="minorHAnsi" w:hAnsiTheme="minorHAnsi" w:cstheme="minorHAnsi"/>
        </w:rPr>
        <w:t>Wang et al (2020)</w:t>
      </w:r>
      <w:r>
        <w:rPr>
          <w:rFonts w:asciiTheme="minorHAnsi" w:hAnsiTheme="minorHAnsi" w:cstheme="minorHAnsi"/>
        </w:rPr>
        <w:t xml:space="preserve"> conducted a study using the Google COVID-19 mobility data set to investigate the relationship between changes in population mobility and COVID-19 infection rates across all states and territories in Australia.  Mobility data from all regions in Australia was examined for a six month period from February 15</w:t>
      </w:r>
      <w:r w:rsidRPr="00BC6E2F">
        <w:rPr>
          <w:rFonts w:asciiTheme="minorHAnsi" w:hAnsiTheme="minorHAnsi" w:cstheme="minorHAnsi"/>
          <w:vertAlign w:val="superscript"/>
        </w:rPr>
        <w:t>th</w:t>
      </w:r>
      <w:r>
        <w:rPr>
          <w:rFonts w:asciiTheme="minorHAnsi" w:hAnsiTheme="minorHAnsi" w:cstheme="minorHAnsi"/>
        </w:rPr>
        <w:t xml:space="preserve"> 2020 till August 15</w:t>
      </w:r>
      <w:r w:rsidRPr="00BC6E2F">
        <w:rPr>
          <w:rFonts w:asciiTheme="minorHAnsi" w:hAnsiTheme="minorHAnsi" w:cstheme="minorHAnsi"/>
          <w:vertAlign w:val="superscript"/>
        </w:rPr>
        <w:t>th</w:t>
      </w:r>
      <w:r>
        <w:rPr>
          <w:rFonts w:asciiTheme="minorHAnsi" w:hAnsiTheme="minorHAnsi" w:cstheme="minorHAnsi"/>
        </w:rPr>
        <w:t xml:space="preserve"> 2020 (Wang, 2020).  Furthermore Wang et al (2020) also went on to investigate the time delay between instituting lockdown measures and the point at which these restrictions start to affect COVID-19 infection rates.  The study utilised Google COVID-19 mobility data and COVID-19 health data obtained from the Australian Department of Health (Wang et al 2020).  Similarly to </w:t>
      </w:r>
      <w:r w:rsidRPr="004E09A0">
        <w:rPr>
          <w:rFonts w:asciiTheme="minorHAnsi" w:hAnsiTheme="minorHAnsi" w:cstheme="minorHAnsi"/>
        </w:rPr>
        <w:t>Yilmazkuday</w:t>
      </w:r>
      <w:r>
        <w:rPr>
          <w:rFonts w:asciiTheme="minorHAnsi" w:hAnsiTheme="minorHAnsi" w:cstheme="minorHAnsi"/>
        </w:rPr>
        <w:t xml:space="preserve"> (2020), Wang et al (2020) also found that mobility restrictions had a positive effect on reducing the rate of COVID-19 infections in Australia.  Wang et al (2020) also found that restrictions had a delay of between 7 and 14 days before their impact on COVID-19 infections was seen.  Given the documented incubation period of COVID-19 of up to 14 days this result is to be expected (Wang et at 2020).  In addition Wang et al (2020) also looked at mobility prior to the first and second waves of infection, focusing on Victoria and found the relationship between mobility and COVID-19 infection rates varied with area, time and mobility type, highlighting that other measures for preventing infection are also influencing infection rates in addition to mobility restrictions. Furthermore changes in some mobility types differed between Victoria’s first and second wave of infections (Wang et al 2020).</w:t>
      </w:r>
    </w:p>
    <w:p w14:paraId="442D76FD" w14:textId="611745A1" w:rsidR="00FC44A2" w:rsidRDefault="00FC44A2">
      <w:pPr>
        <w:rPr>
          <w:rFonts w:asciiTheme="minorHAnsi" w:hAnsiTheme="minorHAnsi" w:cstheme="minorHAnsi"/>
        </w:rPr>
      </w:pPr>
    </w:p>
    <w:p w14:paraId="54D72BD8" w14:textId="7BB152BC" w:rsidR="00815785" w:rsidRDefault="00815785">
      <w:pPr>
        <w:rPr>
          <w:rFonts w:asciiTheme="minorHAnsi" w:hAnsiTheme="minorHAnsi" w:cstheme="minorHAnsi"/>
        </w:rPr>
      </w:pPr>
      <w:r>
        <w:rPr>
          <w:rFonts w:asciiTheme="minorHAnsi" w:hAnsiTheme="minorHAnsi" w:cstheme="minorHAnsi"/>
        </w:rPr>
        <w:lastRenderedPageBreak/>
        <w:t xml:space="preserve">Various studies have also been conducted utilising the Our World in Data COVID-19 cases data set.  Cao et al (2020) used the Our World in Data COVID-19 database to investigate the influence of demographics and socioeconomics on the COVID-19 </w:t>
      </w:r>
      <w:r w:rsidR="001778FB">
        <w:rPr>
          <w:rFonts w:asciiTheme="minorHAnsi" w:hAnsiTheme="minorHAnsi" w:cstheme="minorHAnsi"/>
        </w:rPr>
        <w:t xml:space="preserve">global </w:t>
      </w:r>
      <w:r>
        <w:rPr>
          <w:rFonts w:asciiTheme="minorHAnsi" w:hAnsiTheme="minorHAnsi" w:cstheme="minorHAnsi"/>
        </w:rPr>
        <w:t>case fatality rate (CFR), the ratio between COVID-19 deaths and the number of positive infections</w:t>
      </w:r>
      <w:r w:rsidR="001778FB">
        <w:rPr>
          <w:rFonts w:asciiTheme="minorHAnsi" w:hAnsiTheme="minorHAnsi" w:cstheme="minorHAnsi"/>
        </w:rPr>
        <w:t xml:space="preserve"> up to July 2</w:t>
      </w:r>
      <w:r w:rsidR="001778FB" w:rsidRPr="001778FB">
        <w:rPr>
          <w:rFonts w:asciiTheme="minorHAnsi" w:hAnsiTheme="minorHAnsi" w:cstheme="minorHAnsi"/>
          <w:vertAlign w:val="superscript"/>
        </w:rPr>
        <w:t>nd</w:t>
      </w:r>
      <w:r w:rsidR="001778FB">
        <w:rPr>
          <w:rFonts w:asciiTheme="minorHAnsi" w:hAnsiTheme="minorHAnsi" w:cstheme="minorHAnsi"/>
        </w:rPr>
        <w:t>, 2020</w:t>
      </w:r>
      <w:r>
        <w:rPr>
          <w:rFonts w:asciiTheme="minorHAnsi" w:hAnsiTheme="minorHAnsi" w:cstheme="minorHAnsi"/>
        </w:rPr>
        <w:t xml:space="preserve">.  Cao et al (2020) found that that the average CRF amongst countries in the world was higher than previously estimated and that CRF increased in countries with larger populations particularly in countries with greater incomes.  It was suggested that </w:t>
      </w:r>
      <w:r w:rsidR="00031B95">
        <w:rPr>
          <w:rFonts w:asciiTheme="minorHAnsi" w:hAnsiTheme="minorHAnsi" w:cstheme="minorHAnsi"/>
        </w:rPr>
        <w:t>th</w:t>
      </w:r>
      <w:r>
        <w:rPr>
          <w:rFonts w:asciiTheme="minorHAnsi" w:hAnsiTheme="minorHAnsi" w:cstheme="minorHAnsi"/>
        </w:rPr>
        <w:t>is result may be influenced by factors including the strain on health care services with larger numbers of people, higher risks of spread of infection and poorer health</w:t>
      </w:r>
      <w:r w:rsidR="00F3273C">
        <w:rPr>
          <w:rFonts w:asciiTheme="minorHAnsi" w:hAnsiTheme="minorHAnsi" w:cstheme="minorHAnsi"/>
        </w:rPr>
        <w:t xml:space="preserve"> (Cao et al 2020)</w:t>
      </w:r>
      <w:r>
        <w:rPr>
          <w:rFonts w:asciiTheme="minorHAnsi" w:hAnsiTheme="minorHAnsi" w:cstheme="minorHAnsi"/>
        </w:rPr>
        <w:t xml:space="preserve">. </w:t>
      </w:r>
      <w:r w:rsidR="001778FB">
        <w:rPr>
          <w:rFonts w:asciiTheme="minorHAnsi" w:hAnsiTheme="minorHAnsi" w:cstheme="minorHAnsi"/>
        </w:rPr>
        <w:t>When examining various socioeconomic factors, it was also found th</w:t>
      </w:r>
      <w:r w:rsidR="00031B95">
        <w:rPr>
          <w:rFonts w:asciiTheme="minorHAnsi" w:hAnsiTheme="minorHAnsi" w:cstheme="minorHAnsi"/>
        </w:rPr>
        <w:t>at</w:t>
      </w:r>
      <w:r w:rsidR="001778FB">
        <w:rPr>
          <w:rFonts w:asciiTheme="minorHAnsi" w:hAnsiTheme="minorHAnsi" w:cstheme="minorHAnsi"/>
        </w:rPr>
        <w:t xml:space="preserve"> increased rates of smoking in females </w:t>
      </w:r>
      <w:r w:rsidR="00F3273C">
        <w:rPr>
          <w:rFonts w:asciiTheme="minorHAnsi" w:hAnsiTheme="minorHAnsi" w:cstheme="minorHAnsi"/>
        </w:rPr>
        <w:t>was</w:t>
      </w:r>
      <w:r w:rsidR="001778FB">
        <w:rPr>
          <w:rFonts w:asciiTheme="minorHAnsi" w:hAnsiTheme="minorHAnsi" w:cstheme="minorHAnsi"/>
        </w:rPr>
        <w:t xml:space="preserve"> associated with an increase in CFR (Cao et al 2020).  The authors also highlight that the study is assessing these results on a global scale and that further investigation at a country level may yield varied findings (Cao et al 2020)</w:t>
      </w:r>
    </w:p>
    <w:p w14:paraId="4114FA60" w14:textId="08899B59" w:rsidR="00815785" w:rsidRDefault="00815785">
      <w:pPr>
        <w:rPr>
          <w:rFonts w:asciiTheme="minorHAnsi" w:hAnsiTheme="minorHAnsi" w:cstheme="minorHAnsi"/>
        </w:rPr>
      </w:pPr>
    </w:p>
    <w:p w14:paraId="54ABA284" w14:textId="5CBFF0A7" w:rsidR="001778FB" w:rsidRDefault="001778FB">
      <w:pPr>
        <w:rPr>
          <w:rFonts w:asciiTheme="minorHAnsi" w:hAnsiTheme="minorHAnsi" w:cstheme="minorHAnsi"/>
        </w:rPr>
      </w:pPr>
      <w:r>
        <w:rPr>
          <w:rFonts w:asciiTheme="minorHAnsi" w:hAnsiTheme="minorHAnsi" w:cstheme="minorHAnsi"/>
        </w:rPr>
        <w:t xml:space="preserve">Phipps et al (2020) </w:t>
      </w:r>
      <w:r w:rsidR="00595D0E">
        <w:rPr>
          <w:rFonts w:asciiTheme="minorHAnsi" w:hAnsiTheme="minorHAnsi" w:cstheme="minorHAnsi"/>
        </w:rPr>
        <w:t>used t</w:t>
      </w:r>
      <w:r w:rsidR="00031B95">
        <w:rPr>
          <w:rFonts w:asciiTheme="minorHAnsi" w:hAnsiTheme="minorHAnsi" w:cstheme="minorHAnsi"/>
        </w:rPr>
        <w:t>he</w:t>
      </w:r>
      <w:r w:rsidR="00595D0E">
        <w:rPr>
          <w:rFonts w:asciiTheme="minorHAnsi" w:hAnsiTheme="minorHAnsi" w:cstheme="minorHAnsi"/>
        </w:rPr>
        <w:t xml:space="preserve"> Our World in Data COVID-19 cases data set to </w:t>
      </w:r>
      <w:r>
        <w:rPr>
          <w:rFonts w:asciiTheme="minorHAnsi" w:hAnsiTheme="minorHAnsi" w:cstheme="minorHAnsi"/>
        </w:rPr>
        <w:t>investigate t</w:t>
      </w:r>
      <w:r w:rsidR="00595D0E">
        <w:rPr>
          <w:rFonts w:asciiTheme="minorHAnsi" w:hAnsiTheme="minorHAnsi" w:cstheme="minorHAnsi"/>
        </w:rPr>
        <w:t>h</w:t>
      </w:r>
      <w:r>
        <w:rPr>
          <w:rFonts w:asciiTheme="minorHAnsi" w:hAnsiTheme="minorHAnsi" w:cstheme="minorHAnsi"/>
        </w:rPr>
        <w:t>e use of backcasting statistical methods to estimate the true infection rate of COVID-19 in the population.  Differences in testing, tracing and reporting between countries make estimating the actual infection rate in a population difficult (Phipps et al, 2020).  With their method</w:t>
      </w:r>
      <w:r w:rsidR="00F3273C">
        <w:rPr>
          <w:rFonts w:asciiTheme="minorHAnsi" w:hAnsiTheme="minorHAnsi" w:cstheme="minorHAnsi"/>
        </w:rPr>
        <w:t>,</w:t>
      </w:r>
      <w:r>
        <w:rPr>
          <w:rFonts w:asciiTheme="minorHAnsi" w:hAnsiTheme="minorHAnsi" w:cstheme="minorHAnsi"/>
        </w:rPr>
        <w:t xml:space="preserve"> Phipps et al (2020) estimate that the true COVID-19 infection rate in the population is around 6.2 times greater than the actual infection rate and that these results were similar to other epidemiological studies.  The study also found that there was an inverse relationship between true detection rate and the proportion of positive test results highlighting the importance of testing on a large scale and also testing those in the population who are asymptomatic for disease (Phipps et al 2020)</w:t>
      </w:r>
    </w:p>
    <w:p w14:paraId="1AA0786C" w14:textId="77777777" w:rsidR="00815785" w:rsidRPr="00E75293" w:rsidRDefault="00815785">
      <w:pPr>
        <w:rPr>
          <w:rFonts w:asciiTheme="minorHAnsi" w:hAnsiTheme="minorHAnsi" w:cstheme="minorHAnsi"/>
        </w:rPr>
      </w:pPr>
    </w:p>
    <w:p w14:paraId="26ABCBF5" w14:textId="7F76F812" w:rsidR="00E75293" w:rsidRPr="00E75293" w:rsidRDefault="00E75293">
      <w:pPr>
        <w:rPr>
          <w:rFonts w:asciiTheme="minorHAnsi" w:hAnsiTheme="minorHAnsi" w:cstheme="minorHAnsi"/>
          <w:u w:val="single"/>
        </w:rPr>
      </w:pPr>
      <w:r w:rsidRPr="00E75293">
        <w:rPr>
          <w:rFonts w:asciiTheme="minorHAnsi" w:hAnsiTheme="minorHAnsi" w:cstheme="minorHAnsi"/>
          <w:u w:val="single"/>
        </w:rPr>
        <w:t>iv) Research Question</w:t>
      </w:r>
    </w:p>
    <w:p w14:paraId="1217CF64" w14:textId="3C00622D" w:rsidR="00E75293" w:rsidRDefault="0095221D">
      <w:pPr>
        <w:rPr>
          <w:rFonts w:asciiTheme="minorHAnsi" w:hAnsiTheme="minorHAnsi" w:cstheme="minorHAnsi"/>
        </w:rPr>
      </w:pPr>
      <w:r>
        <w:rPr>
          <w:rFonts w:asciiTheme="minorHAnsi" w:hAnsiTheme="minorHAnsi" w:cstheme="minorHAnsi"/>
        </w:rPr>
        <w:t>The goal of the research question</w:t>
      </w:r>
      <w:r w:rsidR="00031B95">
        <w:rPr>
          <w:rFonts w:asciiTheme="minorHAnsi" w:hAnsiTheme="minorHAnsi" w:cstheme="minorHAnsi"/>
        </w:rPr>
        <w:t xml:space="preserve"> of this report</w:t>
      </w:r>
      <w:r>
        <w:rPr>
          <w:rFonts w:asciiTheme="minorHAnsi" w:hAnsiTheme="minorHAnsi" w:cstheme="minorHAnsi"/>
        </w:rPr>
        <w:t xml:space="preserve"> is to investigate the differences in </w:t>
      </w:r>
      <w:r w:rsidR="00031B95">
        <w:rPr>
          <w:rFonts w:asciiTheme="minorHAnsi" w:hAnsiTheme="minorHAnsi" w:cstheme="minorHAnsi"/>
        </w:rPr>
        <w:t xml:space="preserve">population </w:t>
      </w:r>
      <w:r>
        <w:rPr>
          <w:rFonts w:asciiTheme="minorHAnsi" w:hAnsiTheme="minorHAnsi" w:cstheme="minorHAnsi"/>
        </w:rPr>
        <w:t xml:space="preserve">mobility and COVID-19 </w:t>
      </w:r>
      <w:r w:rsidR="00AC1D2F">
        <w:rPr>
          <w:rFonts w:asciiTheme="minorHAnsi" w:hAnsiTheme="minorHAnsi" w:cstheme="minorHAnsi"/>
        </w:rPr>
        <w:t xml:space="preserve">new </w:t>
      </w:r>
      <w:r>
        <w:rPr>
          <w:rFonts w:asciiTheme="minorHAnsi" w:hAnsiTheme="minorHAnsi" w:cstheme="minorHAnsi"/>
        </w:rPr>
        <w:t xml:space="preserve">case numbers between Australia and Sweden to examine for any significant similarities or differences between the two countries. Australia and Sweden were selected for this investigation due to their similar </w:t>
      </w:r>
      <w:r w:rsidR="00F3273C">
        <w:rPr>
          <w:rFonts w:asciiTheme="minorHAnsi" w:hAnsiTheme="minorHAnsi" w:cstheme="minorHAnsi"/>
        </w:rPr>
        <w:t xml:space="preserve">living standards and </w:t>
      </w:r>
      <w:r>
        <w:rPr>
          <w:rFonts w:asciiTheme="minorHAnsi" w:hAnsiTheme="minorHAnsi" w:cstheme="minorHAnsi"/>
        </w:rPr>
        <w:t xml:space="preserve">position in </w:t>
      </w:r>
      <w:r w:rsidR="00F3273C">
        <w:rPr>
          <w:rFonts w:asciiTheme="minorHAnsi" w:hAnsiTheme="minorHAnsi" w:cstheme="minorHAnsi"/>
        </w:rPr>
        <w:t xml:space="preserve">the </w:t>
      </w:r>
      <w:r>
        <w:rPr>
          <w:rFonts w:asciiTheme="minorHAnsi" w:hAnsiTheme="minorHAnsi" w:cstheme="minorHAnsi"/>
        </w:rPr>
        <w:t xml:space="preserve">world </w:t>
      </w:r>
      <w:r w:rsidR="00031B95">
        <w:rPr>
          <w:rFonts w:asciiTheme="minorHAnsi" w:hAnsiTheme="minorHAnsi" w:cstheme="minorHAnsi"/>
        </w:rPr>
        <w:t>economically</w:t>
      </w:r>
      <w:r>
        <w:rPr>
          <w:rFonts w:asciiTheme="minorHAnsi" w:hAnsiTheme="minorHAnsi" w:cstheme="minorHAnsi"/>
        </w:rPr>
        <w:t xml:space="preserve"> but also for the differences in their COVID-19 response.  Australia has adopted a </w:t>
      </w:r>
      <w:r w:rsidR="00031B95">
        <w:rPr>
          <w:rFonts w:asciiTheme="minorHAnsi" w:hAnsiTheme="minorHAnsi" w:cstheme="minorHAnsi"/>
        </w:rPr>
        <w:t xml:space="preserve">firm </w:t>
      </w:r>
      <w:r>
        <w:rPr>
          <w:rFonts w:asciiTheme="minorHAnsi" w:hAnsiTheme="minorHAnsi" w:cstheme="minorHAnsi"/>
        </w:rPr>
        <w:t xml:space="preserve">response to the COVID-19 pandemic, instituting strict lockdown measures during the first and second waves in the country as well as other social distancing and hygiene measures to curb the spread of infection.  Sweden however </w:t>
      </w:r>
      <w:r w:rsidR="00462885">
        <w:rPr>
          <w:rFonts w:asciiTheme="minorHAnsi" w:hAnsiTheme="minorHAnsi" w:cstheme="minorHAnsi"/>
        </w:rPr>
        <w:t xml:space="preserve">has been </w:t>
      </w:r>
      <w:r w:rsidR="00031B95">
        <w:rPr>
          <w:rFonts w:asciiTheme="minorHAnsi" w:hAnsiTheme="minorHAnsi" w:cstheme="minorHAnsi"/>
        </w:rPr>
        <w:t>less stringent</w:t>
      </w:r>
      <w:r w:rsidR="00462885">
        <w:rPr>
          <w:rFonts w:asciiTheme="minorHAnsi" w:hAnsiTheme="minorHAnsi" w:cstheme="minorHAnsi"/>
        </w:rPr>
        <w:t xml:space="preserve"> favouring a herd immunity approach</w:t>
      </w:r>
      <w:r w:rsidR="00031B95">
        <w:rPr>
          <w:rFonts w:asciiTheme="minorHAnsi" w:hAnsiTheme="minorHAnsi" w:cstheme="minorHAnsi"/>
        </w:rPr>
        <w:t>,</w:t>
      </w:r>
      <w:r w:rsidR="00462885">
        <w:rPr>
          <w:rFonts w:asciiTheme="minorHAnsi" w:hAnsiTheme="minorHAnsi" w:cstheme="minorHAnsi"/>
        </w:rPr>
        <w:t xml:space="preserve"> bringing in some lawful restrictions including reducing </w:t>
      </w:r>
      <w:r w:rsidR="00031B95">
        <w:rPr>
          <w:rFonts w:asciiTheme="minorHAnsi" w:hAnsiTheme="minorHAnsi" w:cstheme="minorHAnsi"/>
        </w:rPr>
        <w:t xml:space="preserve">numbers of people at </w:t>
      </w:r>
      <w:r w:rsidR="00462885">
        <w:rPr>
          <w:rFonts w:asciiTheme="minorHAnsi" w:hAnsiTheme="minorHAnsi" w:cstheme="minorHAnsi"/>
        </w:rPr>
        <w:t>gatherings</w:t>
      </w:r>
      <w:r w:rsidR="00031B95">
        <w:rPr>
          <w:rFonts w:asciiTheme="minorHAnsi" w:hAnsiTheme="minorHAnsi" w:cstheme="minorHAnsi"/>
        </w:rPr>
        <w:t xml:space="preserve"> and other measures</w:t>
      </w:r>
      <w:r w:rsidR="00462885">
        <w:rPr>
          <w:rFonts w:asciiTheme="minorHAnsi" w:hAnsiTheme="minorHAnsi" w:cstheme="minorHAnsi"/>
        </w:rPr>
        <w:t xml:space="preserve"> however it</w:t>
      </w:r>
      <w:r w:rsidR="00F3273C">
        <w:rPr>
          <w:rFonts w:asciiTheme="minorHAnsi" w:hAnsiTheme="minorHAnsi" w:cstheme="minorHAnsi"/>
        </w:rPr>
        <w:t xml:space="preserve"> has</w:t>
      </w:r>
      <w:r w:rsidR="00462885">
        <w:rPr>
          <w:rFonts w:asciiTheme="minorHAnsi" w:hAnsiTheme="minorHAnsi" w:cstheme="minorHAnsi"/>
        </w:rPr>
        <w:t xml:space="preserve"> not had a strict lockdown</w:t>
      </w:r>
      <w:r w:rsidR="00031B95">
        <w:rPr>
          <w:rFonts w:asciiTheme="minorHAnsi" w:hAnsiTheme="minorHAnsi" w:cstheme="minorHAnsi"/>
        </w:rPr>
        <w:t xml:space="preserve">, </w:t>
      </w:r>
      <w:r w:rsidR="00462885">
        <w:rPr>
          <w:rFonts w:asciiTheme="minorHAnsi" w:hAnsiTheme="minorHAnsi" w:cstheme="minorHAnsi"/>
        </w:rPr>
        <w:t>relying on general and voluntary restrictions to manage the spread of COVID-19 (Claeson &amp; Hanson 202</w:t>
      </w:r>
      <w:r w:rsidR="002F007D">
        <w:rPr>
          <w:rFonts w:asciiTheme="minorHAnsi" w:hAnsiTheme="minorHAnsi" w:cstheme="minorHAnsi"/>
        </w:rPr>
        <w:t>1</w:t>
      </w:r>
      <w:r w:rsidR="00462885">
        <w:rPr>
          <w:rFonts w:asciiTheme="minorHAnsi" w:hAnsiTheme="minorHAnsi" w:cstheme="minorHAnsi"/>
        </w:rPr>
        <w:t xml:space="preserve">; </w:t>
      </w:r>
      <w:r w:rsidR="00031B95">
        <w:rPr>
          <w:rFonts w:asciiTheme="minorHAnsi" w:hAnsiTheme="minorHAnsi" w:cstheme="minorHAnsi"/>
        </w:rPr>
        <w:t xml:space="preserve">Duckett &amp; Mackey 2020; Franks 2020; </w:t>
      </w:r>
      <w:r w:rsidR="00462885">
        <w:rPr>
          <w:rFonts w:asciiTheme="minorHAnsi" w:hAnsiTheme="minorHAnsi" w:cstheme="minorHAnsi"/>
        </w:rPr>
        <w:t>LePage 2020)</w:t>
      </w:r>
      <w:r>
        <w:rPr>
          <w:rFonts w:asciiTheme="minorHAnsi" w:hAnsiTheme="minorHAnsi" w:cstheme="minorHAnsi"/>
        </w:rPr>
        <w:t xml:space="preserve">. </w:t>
      </w:r>
      <w:r w:rsidR="00462885">
        <w:rPr>
          <w:rFonts w:asciiTheme="minorHAnsi" w:hAnsiTheme="minorHAnsi" w:cstheme="minorHAnsi"/>
        </w:rPr>
        <w:t xml:space="preserve"> On the Lowy Institute poll rating countries response to the COVID-19 pandemic, Australia ranked at 8</w:t>
      </w:r>
      <w:r w:rsidR="00462885" w:rsidRPr="0095221D">
        <w:rPr>
          <w:rFonts w:asciiTheme="minorHAnsi" w:hAnsiTheme="minorHAnsi" w:cstheme="minorHAnsi"/>
          <w:vertAlign w:val="superscript"/>
        </w:rPr>
        <w:t>th</w:t>
      </w:r>
      <w:r w:rsidR="00462885">
        <w:rPr>
          <w:rFonts w:asciiTheme="minorHAnsi" w:hAnsiTheme="minorHAnsi" w:cstheme="minorHAnsi"/>
        </w:rPr>
        <w:t xml:space="preserve"> in the world</w:t>
      </w:r>
      <w:r w:rsidR="00F3273C">
        <w:rPr>
          <w:rFonts w:asciiTheme="minorHAnsi" w:hAnsiTheme="minorHAnsi" w:cstheme="minorHAnsi"/>
        </w:rPr>
        <w:t xml:space="preserve"> whilst</w:t>
      </w:r>
      <w:r w:rsidR="00462885">
        <w:rPr>
          <w:rFonts w:asciiTheme="minorHAnsi" w:hAnsiTheme="minorHAnsi" w:cstheme="minorHAnsi"/>
        </w:rPr>
        <w:t xml:space="preserve"> Sweden</w:t>
      </w:r>
      <w:r w:rsidR="00F3273C">
        <w:rPr>
          <w:rFonts w:asciiTheme="minorHAnsi" w:hAnsiTheme="minorHAnsi" w:cstheme="minorHAnsi"/>
        </w:rPr>
        <w:t xml:space="preserve"> was</w:t>
      </w:r>
      <w:r w:rsidR="00462885">
        <w:rPr>
          <w:rFonts w:asciiTheme="minorHAnsi" w:hAnsiTheme="minorHAnsi" w:cstheme="minorHAnsi"/>
        </w:rPr>
        <w:t xml:space="preserve"> 37</w:t>
      </w:r>
      <w:r w:rsidR="00462885" w:rsidRPr="0095221D">
        <w:rPr>
          <w:rFonts w:asciiTheme="minorHAnsi" w:hAnsiTheme="minorHAnsi" w:cstheme="minorHAnsi"/>
          <w:vertAlign w:val="superscript"/>
        </w:rPr>
        <w:t>th</w:t>
      </w:r>
      <w:r w:rsidR="00462885">
        <w:rPr>
          <w:rFonts w:asciiTheme="minorHAnsi" w:hAnsiTheme="minorHAnsi" w:cstheme="minorHAnsi"/>
          <w:vertAlign w:val="superscript"/>
        </w:rPr>
        <w:t xml:space="preserve"> </w:t>
      </w:r>
      <w:r w:rsidR="00462885">
        <w:rPr>
          <w:rFonts w:asciiTheme="minorHAnsi" w:hAnsiTheme="minorHAnsi" w:cstheme="minorHAnsi"/>
        </w:rPr>
        <w:t>(Lowy Institute, 2020).</w:t>
      </w:r>
    </w:p>
    <w:p w14:paraId="2009064B" w14:textId="1811162B" w:rsidR="00E75293" w:rsidRDefault="00E75293">
      <w:pPr>
        <w:rPr>
          <w:rFonts w:asciiTheme="minorHAnsi" w:hAnsiTheme="minorHAnsi" w:cstheme="minorHAnsi"/>
        </w:rPr>
      </w:pPr>
    </w:p>
    <w:p w14:paraId="628C2618" w14:textId="53EB08C5" w:rsidR="00462885" w:rsidRDefault="00031B95">
      <w:pPr>
        <w:rPr>
          <w:rFonts w:asciiTheme="minorHAnsi" w:hAnsiTheme="minorHAnsi" w:cstheme="minorHAnsi"/>
        </w:rPr>
      </w:pPr>
      <w:r>
        <w:rPr>
          <w:rFonts w:asciiTheme="minorHAnsi" w:hAnsiTheme="minorHAnsi" w:cstheme="minorHAnsi"/>
        </w:rPr>
        <w:t>For this report COVID-19 mobility and case data was explored from February 15</w:t>
      </w:r>
      <w:r w:rsidRPr="00031B95">
        <w:rPr>
          <w:rFonts w:asciiTheme="minorHAnsi" w:hAnsiTheme="minorHAnsi" w:cstheme="minorHAnsi"/>
          <w:vertAlign w:val="superscript"/>
        </w:rPr>
        <w:t>th</w:t>
      </w:r>
      <w:r>
        <w:rPr>
          <w:rFonts w:asciiTheme="minorHAnsi" w:hAnsiTheme="minorHAnsi" w:cstheme="minorHAnsi"/>
        </w:rPr>
        <w:t xml:space="preserve"> 2020 till December 1</w:t>
      </w:r>
      <w:r w:rsidRPr="00031B95">
        <w:rPr>
          <w:rFonts w:asciiTheme="minorHAnsi" w:hAnsiTheme="minorHAnsi" w:cstheme="minorHAnsi"/>
          <w:vertAlign w:val="superscript"/>
        </w:rPr>
        <w:t>st</w:t>
      </w:r>
      <w:r>
        <w:rPr>
          <w:rFonts w:asciiTheme="minorHAnsi" w:hAnsiTheme="minorHAnsi" w:cstheme="minorHAnsi"/>
        </w:rPr>
        <w:t xml:space="preserve"> 2020.  </w:t>
      </w:r>
      <w:r w:rsidR="00462885">
        <w:rPr>
          <w:rFonts w:asciiTheme="minorHAnsi" w:hAnsiTheme="minorHAnsi" w:cstheme="minorHAnsi"/>
        </w:rPr>
        <w:t xml:space="preserve">Through investigating the trends of the </w:t>
      </w:r>
      <w:r>
        <w:rPr>
          <w:rFonts w:asciiTheme="minorHAnsi" w:hAnsiTheme="minorHAnsi" w:cstheme="minorHAnsi"/>
        </w:rPr>
        <w:t>numbers</w:t>
      </w:r>
      <w:r w:rsidR="00462885">
        <w:rPr>
          <w:rFonts w:asciiTheme="minorHAnsi" w:hAnsiTheme="minorHAnsi" w:cstheme="minorHAnsi"/>
        </w:rPr>
        <w:t xml:space="preserve"> of new cases in both countries and change</w:t>
      </w:r>
      <w:r>
        <w:rPr>
          <w:rFonts w:asciiTheme="minorHAnsi" w:hAnsiTheme="minorHAnsi" w:cstheme="minorHAnsi"/>
        </w:rPr>
        <w:t>s</w:t>
      </w:r>
      <w:r w:rsidR="00462885">
        <w:rPr>
          <w:rFonts w:asciiTheme="minorHAnsi" w:hAnsiTheme="minorHAnsi" w:cstheme="minorHAnsi"/>
        </w:rPr>
        <w:t xml:space="preserve"> in </w:t>
      </w:r>
      <w:r>
        <w:rPr>
          <w:rFonts w:asciiTheme="minorHAnsi" w:hAnsiTheme="minorHAnsi" w:cstheme="minorHAnsi"/>
        </w:rPr>
        <w:t xml:space="preserve">population </w:t>
      </w:r>
      <w:r w:rsidR="00462885">
        <w:rPr>
          <w:rFonts w:asciiTheme="minorHAnsi" w:hAnsiTheme="minorHAnsi" w:cstheme="minorHAnsi"/>
        </w:rPr>
        <w:t xml:space="preserve">mobility we can assess the response of </w:t>
      </w:r>
      <w:r w:rsidR="00FE0D1E">
        <w:rPr>
          <w:rFonts w:asciiTheme="minorHAnsi" w:hAnsiTheme="minorHAnsi" w:cstheme="minorHAnsi"/>
        </w:rPr>
        <w:t>each</w:t>
      </w:r>
      <w:r w:rsidR="00462885">
        <w:rPr>
          <w:rFonts w:asciiTheme="minorHAnsi" w:hAnsiTheme="minorHAnsi" w:cstheme="minorHAnsi"/>
        </w:rPr>
        <w:t xml:space="preserve"> approach to managing the pandemic</w:t>
      </w:r>
      <w:r w:rsidR="00A11ECA">
        <w:rPr>
          <w:rFonts w:asciiTheme="minorHAnsi" w:hAnsiTheme="minorHAnsi" w:cstheme="minorHAnsi"/>
        </w:rPr>
        <w:t xml:space="preserve">.  The insights gained from this data and from comparing Australia’s </w:t>
      </w:r>
      <w:r>
        <w:rPr>
          <w:rFonts w:asciiTheme="minorHAnsi" w:hAnsiTheme="minorHAnsi" w:cstheme="minorHAnsi"/>
        </w:rPr>
        <w:t>management</w:t>
      </w:r>
      <w:r w:rsidR="00A11ECA">
        <w:rPr>
          <w:rFonts w:asciiTheme="minorHAnsi" w:hAnsiTheme="minorHAnsi" w:cstheme="minorHAnsi"/>
        </w:rPr>
        <w:t xml:space="preserve"> </w:t>
      </w:r>
      <w:r>
        <w:rPr>
          <w:rFonts w:asciiTheme="minorHAnsi" w:hAnsiTheme="minorHAnsi" w:cstheme="minorHAnsi"/>
        </w:rPr>
        <w:t>of</w:t>
      </w:r>
      <w:r w:rsidR="00A11ECA">
        <w:rPr>
          <w:rFonts w:asciiTheme="minorHAnsi" w:hAnsiTheme="minorHAnsi" w:cstheme="minorHAnsi"/>
        </w:rPr>
        <w:t xml:space="preserve"> COVID-19 with that of </w:t>
      </w:r>
      <w:r>
        <w:rPr>
          <w:rFonts w:asciiTheme="minorHAnsi" w:hAnsiTheme="minorHAnsi" w:cstheme="minorHAnsi"/>
        </w:rPr>
        <w:t>o</w:t>
      </w:r>
      <w:r w:rsidR="00A11ECA">
        <w:rPr>
          <w:rFonts w:asciiTheme="minorHAnsi" w:hAnsiTheme="minorHAnsi" w:cstheme="minorHAnsi"/>
        </w:rPr>
        <w:t>the</w:t>
      </w:r>
      <w:r>
        <w:rPr>
          <w:rFonts w:asciiTheme="minorHAnsi" w:hAnsiTheme="minorHAnsi" w:cstheme="minorHAnsi"/>
        </w:rPr>
        <w:t>r</w:t>
      </w:r>
      <w:r w:rsidR="00A11ECA">
        <w:rPr>
          <w:rFonts w:asciiTheme="minorHAnsi" w:hAnsiTheme="minorHAnsi" w:cstheme="minorHAnsi"/>
        </w:rPr>
        <w:t xml:space="preserve"> nations can in turn assist in improving our country’s response to the COVID-19 pandemic as it continues.</w:t>
      </w:r>
    </w:p>
    <w:p w14:paraId="19030149" w14:textId="78083895" w:rsidR="00E75293" w:rsidRPr="00E75293" w:rsidRDefault="00E75293">
      <w:pPr>
        <w:rPr>
          <w:rFonts w:asciiTheme="minorHAnsi" w:hAnsiTheme="minorHAnsi" w:cstheme="minorHAnsi"/>
          <w:u w:val="single"/>
        </w:rPr>
      </w:pPr>
      <w:r w:rsidRPr="00E75293">
        <w:rPr>
          <w:rFonts w:asciiTheme="minorHAnsi" w:hAnsiTheme="minorHAnsi" w:cstheme="minorHAnsi"/>
          <w:u w:val="single"/>
        </w:rPr>
        <w:lastRenderedPageBreak/>
        <w:t>v) Method</w:t>
      </w:r>
    </w:p>
    <w:p w14:paraId="4F9EF716" w14:textId="5773287E" w:rsidR="00E75293" w:rsidRDefault="00CE111F">
      <w:pPr>
        <w:rPr>
          <w:rFonts w:asciiTheme="minorHAnsi" w:hAnsiTheme="minorHAnsi" w:cstheme="minorHAnsi"/>
        </w:rPr>
      </w:pPr>
      <w:r>
        <w:rPr>
          <w:rFonts w:asciiTheme="minorHAnsi" w:hAnsiTheme="minorHAnsi" w:cstheme="minorHAnsi"/>
        </w:rPr>
        <w:t>To investigate the research question, Spark was used to explore and analyse the data set. Spark is a distributed processing system which is gaining in popularity for analysing big data sets (Gupta 2016; Kalron 2020; Stoica 2014).  Spark can read data from a number of field systems and is able to process data queries quickly and in parallel within memory which facilitates its speed (Gupta 2016; Kalron 2020; Stoica 2014).</w:t>
      </w:r>
    </w:p>
    <w:p w14:paraId="0368D6BB" w14:textId="68027948" w:rsidR="00CE111F" w:rsidRDefault="00CE111F">
      <w:pPr>
        <w:rPr>
          <w:rFonts w:asciiTheme="minorHAnsi" w:hAnsiTheme="minorHAnsi" w:cstheme="minorHAnsi"/>
        </w:rPr>
      </w:pPr>
    </w:p>
    <w:p w14:paraId="41F3A595" w14:textId="67B23FB5" w:rsidR="00CE111F" w:rsidRDefault="00CE111F">
      <w:pPr>
        <w:rPr>
          <w:rFonts w:asciiTheme="minorHAnsi" w:hAnsiTheme="minorHAnsi" w:cstheme="minorHAnsi"/>
        </w:rPr>
      </w:pPr>
      <w:r>
        <w:rPr>
          <w:rFonts w:asciiTheme="minorHAnsi" w:hAnsiTheme="minorHAnsi" w:cstheme="minorHAnsi"/>
        </w:rPr>
        <w:t>The challeng</w:t>
      </w:r>
      <w:r w:rsidR="004211DB">
        <w:rPr>
          <w:rFonts w:asciiTheme="minorHAnsi" w:hAnsiTheme="minorHAnsi" w:cstheme="minorHAnsi"/>
        </w:rPr>
        <w:t>e</w:t>
      </w:r>
      <w:r>
        <w:rPr>
          <w:rFonts w:asciiTheme="minorHAnsi" w:hAnsiTheme="minorHAnsi" w:cstheme="minorHAnsi"/>
        </w:rPr>
        <w:t xml:space="preserve"> with processing </w:t>
      </w:r>
      <w:r w:rsidR="004211DB">
        <w:rPr>
          <w:rFonts w:asciiTheme="minorHAnsi" w:hAnsiTheme="minorHAnsi" w:cstheme="minorHAnsi"/>
        </w:rPr>
        <w:t>b</w:t>
      </w:r>
      <w:r>
        <w:rPr>
          <w:rFonts w:asciiTheme="minorHAnsi" w:hAnsiTheme="minorHAnsi" w:cstheme="minorHAnsi"/>
        </w:rPr>
        <w:t xml:space="preserve">ig </w:t>
      </w:r>
      <w:r w:rsidR="004211DB">
        <w:rPr>
          <w:rFonts w:asciiTheme="minorHAnsi" w:hAnsiTheme="minorHAnsi" w:cstheme="minorHAnsi"/>
        </w:rPr>
        <w:t>d</w:t>
      </w:r>
      <w:r>
        <w:rPr>
          <w:rFonts w:asciiTheme="minorHAnsi" w:hAnsiTheme="minorHAnsi" w:cstheme="minorHAnsi"/>
        </w:rPr>
        <w:t>ata sets is their sheer size</w:t>
      </w:r>
      <w:r w:rsidR="004211DB">
        <w:rPr>
          <w:rFonts w:asciiTheme="minorHAnsi" w:hAnsiTheme="minorHAnsi" w:cstheme="minorHAnsi"/>
        </w:rPr>
        <w:t>,</w:t>
      </w:r>
      <w:r>
        <w:rPr>
          <w:rFonts w:asciiTheme="minorHAnsi" w:hAnsiTheme="minorHAnsi" w:cstheme="minorHAnsi"/>
        </w:rPr>
        <w:t xml:space="preserve"> requiring large amounts of processing power to achieve this.  The Hadoop ecosystem is a software platform for distributed processing, enabling data to be processed across a cluster of computers (Bhandari 2020; Kalron 2020).  Processing queries in parallel across multiple clusters simultaneously is advantageous for several reasons</w:t>
      </w:r>
      <w:r w:rsidR="004211DB">
        <w:rPr>
          <w:rFonts w:asciiTheme="minorHAnsi" w:hAnsiTheme="minorHAnsi" w:cstheme="minorHAnsi"/>
        </w:rPr>
        <w:t xml:space="preserve"> (Guptak 2016; Kalron 2020)</w:t>
      </w:r>
      <w:r>
        <w:rPr>
          <w:rFonts w:asciiTheme="minorHAnsi" w:hAnsiTheme="minorHAnsi" w:cstheme="minorHAnsi"/>
        </w:rPr>
        <w:t>.  Parallel computing enables problems to be processed quickly</w:t>
      </w:r>
      <w:r w:rsidR="004211DB">
        <w:rPr>
          <w:rFonts w:asciiTheme="minorHAnsi" w:hAnsiTheme="minorHAnsi" w:cstheme="minorHAnsi"/>
        </w:rPr>
        <w:t xml:space="preserve"> (Guptak 2016; Kalron 2020).</w:t>
      </w:r>
      <w:r>
        <w:rPr>
          <w:rFonts w:asciiTheme="minorHAnsi" w:hAnsiTheme="minorHAnsi" w:cstheme="minorHAnsi"/>
        </w:rPr>
        <w:t xml:space="preserve"> </w:t>
      </w:r>
      <w:r w:rsidR="004211DB">
        <w:rPr>
          <w:rFonts w:asciiTheme="minorHAnsi" w:hAnsiTheme="minorHAnsi" w:cstheme="minorHAnsi"/>
        </w:rPr>
        <w:t xml:space="preserve"> P</w:t>
      </w:r>
      <w:r>
        <w:rPr>
          <w:rFonts w:asciiTheme="minorHAnsi" w:hAnsiTheme="minorHAnsi" w:cstheme="minorHAnsi"/>
        </w:rPr>
        <w:t>rocessing is spread across a number of machines enabling a more efficient use of hardware and reducing hardware requirements which in turn reduces cost (Guptak 2016; Kalron 2020).  Given some of the limitations of the Hadoop system</w:t>
      </w:r>
      <w:r w:rsidR="004211DB">
        <w:rPr>
          <w:rFonts w:asciiTheme="minorHAnsi" w:hAnsiTheme="minorHAnsi" w:cstheme="minorHAnsi"/>
        </w:rPr>
        <w:t>,</w:t>
      </w:r>
      <w:r>
        <w:rPr>
          <w:rFonts w:asciiTheme="minorHAnsi" w:hAnsiTheme="minorHAnsi" w:cstheme="minorHAnsi"/>
        </w:rPr>
        <w:t xml:space="preserve"> Spark was subsequently developed to improve processing times and efficiency (Gupta, 2020). Spark can operate on top of the Hadoop system strengthening its performance or it can operate independently (Gupta 2016; Kalron 2020; Stoica 2014).</w:t>
      </w:r>
    </w:p>
    <w:p w14:paraId="751E6B55" w14:textId="2B0891F8" w:rsidR="00CE111F" w:rsidRDefault="00CE111F">
      <w:pPr>
        <w:rPr>
          <w:rFonts w:asciiTheme="minorHAnsi" w:hAnsiTheme="minorHAnsi" w:cstheme="minorHAnsi"/>
        </w:rPr>
      </w:pPr>
    </w:p>
    <w:p w14:paraId="02D494C4" w14:textId="3C42E8F5" w:rsidR="00CE111F" w:rsidRDefault="00CE111F">
      <w:pPr>
        <w:rPr>
          <w:rFonts w:asciiTheme="minorHAnsi" w:hAnsiTheme="minorHAnsi" w:cstheme="minorHAnsi"/>
        </w:rPr>
      </w:pPr>
      <w:r>
        <w:rPr>
          <w:rFonts w:asciiTheme="minorHAnsi" w:hAnsiTheme="minorHAnsi" w:cstheme="minorHAnsi"/>
        </w:rPr>
        <w:t xml:space="preserve">Hadoop MapReduce is a programming system used to process and analyse data in the Hadoop ecosystem (Bhandari 2020). </w:t>
      </w:r>
      <w:r w:rsidR="004211DB">
        <w:rPr>
          <w:rFonts w:asciiTheme="minorHAnsi" w:hAnsiTheme="minorHAnsi" w:cstheme="minorHAnsi"/>
        </w:rPr>
        <w:t xml:space="preserve"> </w:t>
      </w:r>
      <w:r>
        <w:rPr>
          <w:rFonts w:asciiTheme="minorHAnsi" w:hAnsiTheme="minorHAnsi" w:cstheme="minorHAnsi"/>
        </w:rPr>
        <w:t>For this project Spark was selected given its increased speed and efficiency with processing and analysing large data sets when compared to Map Reduce (Gupta 2016; Kalron 2020).</w:t>
      </w:r>
    </w:p>
    <w:p w14:paraId="4C62E0D8" w14:textId="77777777" w:rsidR="00E75293" w:rsidRDefault="00E75293">
      <w:pPr>
        <w:rPr>
          <w:rFonts w:asciiTheme="minorHAnsi" w:hAnsiTheme="minorHAnsi" w:cstheme="minorHAnsi"/>
        </w:rPr>
      </w:pPr>
    </w:p>
    <w:p w14:paraId="4C305644" w14:textId="756A4265" w:rsidR="00E75293" w:rsidRPr="00E75293" w:rsidRDefault="00E75293">
      <w:pPr>
        <w:rPr>
          <w:rFonts w:asciiTheme="minorHAnsi" w:hAnsiTheme="minorHAnsi" w:cstheme="minorHAnsi"/>
          <w:u w:val="single"/>
        </w:rPr>
      </w:pPr>
      <w:r w:rsidRPr="00E75293">
        <w:rPr>
          <w:rFonts w:asciiTheme="minorHAnsi" w:hAnsiTheme="minorHAnsi" w:cstheme="minorHAnsi"/>
          <w:u w:val="single"/>
        </w:rPr>
        <w:t>vi) Connection between Data Sets</w:t>
      </w:r>
    </w:p>
    <w:p w14:paraId="1E4E0747" w14:textId="1CC9572E" w:rsidR="004211DB" w:rsidRDefault="0022649C">
      <w:pPr>
        <w:rPr>
          <w:rFonts w:asciiTheme="minorHAnsi" w:hAnsiTheme="minorHAnsi" w:cstheme="minorHAnsi"/>
        </w:rPr>
      </w:pPr>
      <w:r>
        <w:rPr>
          <w:rFonts w:asciiTheme="minorHAnsi" w:hAnsiTheme="minorHAnsi" w:cstheme="minorHAnsi"/>
        </w:rPr>
        <w:t>To investigate the research question</w:t>
      </w:r>
      <w:r w:rsidR="004211DB">
        <w:rPr>
          <w:rFonts w:asciiTheme="minorHAnsi" w:hAnsiTheme="minorHAnsi" w:cstheme="minorHAnsi"/>
        </w:rPr>
        <w:t>,</w:t>
      </w:r>
      <w:r>
        <w:rPr>
          <w:rFonts w:asciiTheme="minorHAnsi" w:hAnsiTheme="minorHAnsi" w:cstheme="minorHAnsi"/>
        </w:rPr>
        <w:t xml:space="preserve"> the Google COVID-19 mobility data set and the Our World in Data COVID</w:t>
      </w:r>
      <w:r w:rsidR="00AC1D2F">
        <w:rPr>
          <w:rFonts w:asciiTheme="minorHAnsi" w:hAnsiTheme="minorHAnsi" w:cstheme="minorHAnsi"/>
        </w:rPr>
        <w:t>-19</w:t>
      </w:r>
      <w:r>
        <w:rPr>
          <w:rFonts w:asciiTheme="minorHAnsi" w:hAnsiTheme="minorHAnsi" w:cstheme="minorHAnsi"/>
        </w:rPr>
        <w:t xml:space="preserve"> cases data set were utilised. </w:t>
      </w:r>
      <w:r w:rsidR="004211DB" w:rsidRPr="004211DB">
        <w:rPr>
          <w:rFonts w:asciiTheme="minorHAnsi" w:hAnsiTheme="minorHAnsi" w:cstheme="minorHAnsi"/>
        </w:rPr>
        <w:t xml:space="preserve"> </w:t>
      </w:r>
      <w:r w:rsidR="004211DB">
        <w:rPr>
          <w:rFonts w:asciiTheme="minorHAnsi" w:hAnsiTheme="minorHAnsi" w:cstheme="minorHAnsi"/>
        </w:rPr>
        <w:t>New case numbers were compared between the two countries as well as changes in mobility in all of the six location categories to see if any significant similarities or differences were present.</w:t>
      </w:r>
    </w:p>
    <w:p w14:paraId="08EA42BE" w14:textId="77777777" w:rsidR="004211DB" w:rsidRDefault="004211DB">
      <w:pPr>
        <w:rPr>
          <w:rFonts w:asciiTheme="minorHAnsi" w:hAnsiTheme="minorHAnsi" w:cstheme="minorHAnsi"/>
        </w:rPr>
      </w:pPr>
    </w:p>
    <w:p w14:paraId="01FD35FB" w14:textId="1B7413A1" w:rsidR="00E75293" w:rsidRPr="004211DB" w:rsidRDefault="004211DB">
      <w:pPr>
        <w:rPr>
          <w:rFonts w:asciiTheme="minorHAnsi" w:hAnsiTheme="minorHAnsi" w:cstheme="minorHAnsi"/>
        </w:rPr>
      </w:pPr>
      <w:r>
        <w:rPr>
          <w:rFonts w:asciiTheme="minorHAnsi" w:hAnsiTheme="minorHAnsi" w:cstheme="minorHAnsi"/>
        </w:rPr>
        <w:t>T</w:t>
      </w:r>
      <w:r w:rsidR="0022649C">
        <w:rPr>
          <w:rFonts w:asciiTheme="minorHAnsi" w:hAnsiTheme="minorHAnsi" w:cstheme="minorHAnsi"/>
        </w:rPr>
        <w:t>he data sets were each analysed with PySpark and visualisations created using Pandas for further analysis</w:t>
      </w:r>
      <w:r w:rsidR="00E95A1D">
        <w:rPr>
          <w:rFonts w:asciiTheme="minorHAnsi" w:hAnsiTheme="minorHAnsi" w:cstheme="minorHAnsi"/>
        </w:rPr>
        <w:t xml:space="preserve"> within a Google Colab Notebook</w:t>
      </w:r>
      <w:r w:rsidR="0022649C">
        <w:rPr>
          <w:rFonts w:asciiTheme="minorHAnsi" w:hAnsiTheme="minorHAnsi" w:cstheme="minorHAnsi"/>
        </w:rPr>
        <w:t xml:space="preserve">.  Data was selected for both Sweden and Australia from both data sets for the </w:t>
      </w:r>
      <w:r>
        <w:rPr>
          <w:rFonts w:asciiTheme="minorHAnsi" w:hAnsiTheme="minorHAnsi" w:cstheme="minorHAnsi"/>
        </w:rPr>
        <w:t>time period from February 15</w:t>
      </w:r>
      <w:r w:rsidRPr="004211DB">
        <w:rPr>
          <w:rFonts w:asciiTheme="minorHAnsi" w:hAnsiTheme="minorHAnsi" w:cstheme="minorHAnsi"/>
          <w:vertAlign w:val="superscript"/>
        </w:rPr>
        <w:t>th</w:t>
      </w:r>
      <w:r>
        <w:rPr>
          <w:rFonts w:asciiTheme="minorHAnsi" w:hAnsiTheme="minorHAnsi" w:cstheme="minorHAnsi"/>
        </w:rPr>
        <w:t>, 2020 till December 1</w:t>
      </w:r>
      <w:r w:rsidRPr="004211DB">
        <w:rPr>
          <w:rFonts w:asciiTheme="minorHAnsi" w:hAnsiTheme="minorHAnsi" w:cstheme="minorHAnsi"/>
          <w:vertAlign w:val="superscript"/>
        </w:rPr>
        <w:t>st</w:t>
      </w:r>
      <w:r>
        <w:rPr>
          <w:rFonts w:asciiTheme="minorHAnsi" w:hAnsiTheme="minorHAnsi" w:cstheme="minorHAnsi"/>
        </w:rPr>
        <w:t>, 2020</w:t>
      </w:r>
      <w:r w:rsidR="0022649C">
        <w:rPr>
          <w:rFonts w:asciiTheme="minorHAnsi" w:hAnsiTheme="minorHAnsi" w:cstheme="minorHAnsi"/>
        </w:rPr>
        <w:t>.</w:t>
      </w:r>
      <w:r>
        <w:rPr>
          <w:rFonts w:asciiTheme="minorHAnsi" w:hAnsiTheme="minorHAnsi" w:cstheme="minorHAnsi"/>
        </w:rPr>
        <w:t xml:space="preserve">  Using Pyspark the data subset for Australia as whole was selected from the COVID-19 mobility data set for each mobility category and the same method was applied to select data from Sweden.  </w:t>
      </w:r>
      <w:r w:rsidR="00AC1D2F">
        <w:rPr>
          <w:rFonts w:asciiTheme="minorHAnsi" w:hAnsiTheme="minorHAnsi" w:cstheme="minorHAnsi"/>
        </w:rPr>
        <w:t>From the COVID-19 cases data set p</w:t>
      </w:r>
      <w:r>
        <w:rPr>
          <w:rFonts w:asciiTheme="minorHAnsi" w:hAnsiTheme="minorHAnsi" w:cstheme="minorHAnsi"/>
        </w:rPr>
        <w:t>opulation, total and new case data was selected for both Australia and Sweden individually for comparative analysis.  T</w:t>
      </w:r>
      <w:r w:rsidR="0009670B">
        <w:rPr>
          <w:rFonts w:asciiTheme="minorHAnsi" w:hAnsiTheme="minorHAnsi" w:cstheme="minorHAnsi"/>
        </w:rPr>
        <w:t xml:space="preserve">he code for data analysis can be found in the file </w:t>
      </w:r>
      <w:r w:rsidR="00E95A1D">
        <w:rPr>
          <w:rFonts w:asciiTheme="minorHAnsi" w:hAnsiTheme="minorHAnsi" w:cstheme="minorHAnsi"/>
          <w:i/>
          <w:iCs/>
        </w:rPr>
        <w:t>F</w:t>
      </w:r>
      <w:r w:rsidR="0009670B">
        <w:rPr>
          <w:rFonts w:asciiTheme="minorHAnsi" w:hAnsiTheme="minorHAnsi" w:cstheme="minorHAnsi"/>
          <w:i/>
          <w:iCs/>
        </w:rPr>
        <w:t>inal_</w:t>
      </w:r>
      <w:r w:rsidR="00E95A1D">
        <w:rPr>
          <w:rFonts w:asciiTheme="minorHAnsi" w:hAnsiTheme="minorHAnsi" w:cstheme="minorHAnsi"/>
          <w:i/>
          <w:iCs/>
        </w:rPr>
        <w:t>P</w:t>
      </w:r>
      <w:r w:rsidR="0009670B">
        <w:rPr>
          <w:rFonts w:asciiTheme="minorHAnsi" w:hAnsiTheme="minorHAnsi" w:cstheme="minorHAnsi"/>
          <w:i/>
          <w:iCs/>
        </w:rPr>
        <w:t>roject</w:t>
      </w:r>
      <w:r w:rsidR="00E95A1D">
        <w:rPr>
          <w:rFonts w:asciiTheme="minorHAnsi" w:hAnsiTheme="minorHAnsi" w:cstheme="minorHAnsi"/>
          <w:i/>
          <w:iCs/>
        </w:rPr>
        <w:t>_Colab</w:t>
      </w:r>
      <w:r w:rsidR="0009670B">
        <w:rPr>
          <w:rFonts w:asciiTheme="minorHAnsi" w:hAnsiTheme="minorHAnsi" w:cstheme="minorHAnsi"/>
          <w:i/>
          <w:iCs/>
        </w:rPr>
        <w:t>.ipynb</w:t>
      </w:r>
    </w:p>
    <w:p w14:paraId="47EF365B" w14:textId="77777777" w:rsidR="00E75293" w:rsidRDefault="00E75293">
      <w:pPr>
        <w:rPr>
          <w:rFonts w:asciiTheme="minorHAnsi" w:hAnsiTheme="minorHAnsi" w:cstheme="minorHAnsi"/>
        </w:rPr>
      </w:pPr>
    </w:p>
    <w:p w14:paraId="7FD84FDB" w14:textId="03F97E6C" w:rsidR="00E75293" w:rsidRPr="00E75293" w:rsidRDefault="00E75293">
      <w:pPr>
        <w:rPr>
          <w:rFonts w:asciiTheme="minorHAnsi" w:hAnsiTheme="minorHAnsi" w:cstheme="minorHAnsi"/>
          <w:u w:val="single"/>
        </w:rPr>
      </w:pPr>
      <w:r w:rsidRPr="00E75293">
        <w:rPr>
          <w:rFonts w:asciiTheme="minorHAnsi" w:hAnsiTheme="minorHAnsi" w:cstheme="minorHAnsi"/>
          <w:u w:val="single"/>
        </w:rPr>
        <w:t>vii) Data Analysis</w:t>
      </w:r>
    </w:p>
    <w:p w14:paraId="2C8F2EFD" w14:textId="54F0790D" w:rsidR="00E75293" w:rsidRDefault="0009670B">
      <w:pPr>
        <w:rPr>
          <w:rFonts w:asciiTheme="minorHAnsi" w:hAnsiTheme="minorHAnsi" w:cstheme="minorHAnsi"/>
        </w:rPr>
      </w:pPr>
      <w:r>
        <w:rPr>
          <w:rFonts w:asciiTheme="minorHAnsi" w:hAnsiTheme="minorHAnsi" w:cstheme="minorHAnsi"/>
        </w:rPr>
        <w:t xml:space="preserve">The goal of the research question was to compare COVID-19 new case numbers and </w:t>
      </w:r>
      <w:r w:rsidR="003D730C">
        <w:rPr>
          <w:rFonts w:asciiTheme="minorHAnsi" w:hAnsiTheme="minorHAnsi" w:cstheme="minorHAnsi"/>
        </w:rPr>
        <w:t xml:space="preserve">population </w:t>
      </w:r>
      <w:r>
        <w:rPr>
          <w:rFonts w:asciiTheme="minorHAnsi" w:hAnsiTheme="minorHAnsi" w:cstheme="minorHAnsi"/>
        </w:rPr>
        <w:t xml:space="preserve">mobility statistics between Australia and Sweden </w:t>
      </w:r>
      <w:r w:rsidR="003D730C">
        <w:rPr>
          <w:rFonts w:asciiTheme="minorHAnsi" w:hAnsiTheme="minorHAnsi" w:cstheme="minorHAnsi"/>
        </w:rPr>
        <w:t>from</w:t>
      </w:r>
      <w:r>
        <w:rPr>
          <w:rFonts w:asciiTheme="minorHAnsi" w:hAnsiTheme="minorHAnsi" w:cstheme="minorHAnsi"/>
        </w:rPr>
        <w:t xml:space="preserve"> February 15</w:t>
      </w:r>
      <w:r w:rsidRPr="0009670B">
        <w:rPr>
          <w:rFonts w:asciiTheme="minorHAnsi" w:hAnsiTheme="minorHAnsi" w:cstheme="minorHAnsi"/>
          <w:vertAlign w:val="superscript"/>
        </w:rPr>
        <w:t>th</w:t>
      </w:r>
      <w:r>
        <w:rPr>
          <w:rFonts w:asciiTheme="minorHAnsi" w:hAnsiTheme="minorHAnsi" w:cstheme="minorHAnsi"/>
        </w:rPr>
        <w:t xml:space="preserve"> 2020 </w:t>
      </w:r>
      <w:r w:rsidR="003D730C">
        <w:rPr>
          <w:rFonts w:asciiTheme="minorHAnsi" w:hAnsiTheme="minorHAnsi" w:cstheme="minorHAnsi"/>
        </w:rPr>
        <w:t>to</w:t>
      </w:r>
      <w:r>
        <w:rPr>
          <w:rFonts w:asciiTheme="minorHAnsi" w:hAnsiTheme="minorHAnsi" w:cstheme="minorHAnsi"/>
        </w:rPr>
        <w:t xml:space="preserve"> December 1</w:t>
      </w:r>
      <w:r w:rsidRPr="0009670B">
        <w:rPr>
          <w:rFonts w:asciiTheme="minorHAnsi" w:hAnsiTheme="minorHAnsi" w:cstheme="minorHAnsi"/>
          <w:vertAlign w:val="superscript"/>
        </w:rPr>
        <w:t>st</w:t>
      </w:r>
      <w:r>
        <w:rPr>
          <w:rFonts w:asciiTheme="minorHAnsi" w:hAnsiTheme="minorHAnsi" w:cstheme="minorHAnsi"/>
        </w:rPr>
        <w:t xml:space="preserve"> 2020.  As western countries with similar living standards, Australia and Sweden had different responses to the COVID-19 pandemic.  Whilst Australia opted for a hard lockdown approach to curb the spread of COVID-19</w:t>
      </w:r>
      <w:r w:rsidR="003D730C">
        <w:rPr>
          <w:rFonts w:asciiTheme="minorHAnsi" w:hAnsiTheme="minorHAnsi" w:cstheme="minorHAnsi"/>
        </w:rPr>
        <w:t>,</w:t>
      </w:r>
      <w:r>
        <w:rPr>
          <w:rFonts w:asciiTheme="minorHAnsi" w:hAnsiTheme="minorHAnsi" w:cstheme="minorHAnsi"/>
        </w:rPr>
        <w:t xml:space="preserve"> Sweden has been more relaxed with their restrictions but has </w:t>
      </w:r>
      <w:r w:rsidR="003D730C">
        <w:rPr>
          <w:rFonts w:asciiTheme="minorHAnsi" w:hAnsiTheme="minorHAnsi" w:cstheme="minorHAnsi"/>
        </w:rPr>
        <w:t xml:space="preserve">still </w:t>
      </w:r>
      <w:r>
        <w:rPr>
          <w:rFonts w:asciiTheme="minorHAnsi" w:hAnsiTheme="minorHAnsi" w:cstheme="minorHAnsi"/>
        </w:rPr>
        <w:t>experience</w:t>
      </w:r>
      <w:r w:rsidR="003D730C">
        <w:rPr>
          <w:rFonts w:asciiTheme="minorHAnsi" w:hAnsiTheme="minorHAnsi" w:cstheme="minorHAnsi"/>
        </w:rPr>
        <w:t>d</w:t>
      </w:r>
      <w:r>
        <w:rPr>
          <w:rFonts w:asciiTheme="minorHAnsi" w:hAnsiTheme="minorHAnsi" w:cstheme="minorHAnsi"/>
        </w:rPr>
        <w:t xml:space="preserve"> a voluntary lockdown amongst its citizens </w:t>
      </w:r>
      <w:r w:rsidR="003D730C">
        <w:rPr>
          <w:rFonts w:asciiTheme="minorHAnsi" w:hAnsiTheme="minorHAnsi" w:cstheme="minorHAnsi"/>
        </w:rPr>
        <w:t xml:space="preserve">as </w:t>
      </w:r>
      <w:r w:rsidR="003D730C">
        <w:rPr>
          <w:rFonts w:asciiTheme="minorHAnsi" w:hAnsiTheme="minorHAnsi" w:cstheme="minorHAnsi"/>
        </w:rPr>
        <w:lastRenderedPageBreak/>
        <w:t xml:space="preserve">a result </w:t>
      </w:r>
      <w:r>
        <w:rPr>
          <w:rFonts w:asciiTheme="minorHAnsi" w:hAnsiTheme="minorHAnsi" w:cstheme="minorHAnsi"/>
        </w:rPr>
        <w:t xml:space="preserve">(Claeson &amp; Hanson 2021; </w:t>
      </w:r>
      <w:r w:rsidR="003D730C">
        <w:rPr>
          <w:rFonts w:asciiTheme="minorHAnsi" w:hAnsiTheme="minorHAnsi" w:cstheme="minorHAnsi"/>
        </w:rPr>
        <w:t xml:space="preserve">Duckett &amp; Mackey 2020; Franks 2020; </w:t>
      </w:r>
      <w:r>
        <w:rPr>
          <w:rFonts w:asciiTheme="minorHAnsi" w:hAnsiTheme="minorHAnsi" w:cstheme="minorHAnsi"/>
        </w:rPr>
        <w:t xml:space="preserve">LePage 2020).  </w:t>
      </w:r>
      <w:r w:rsidR="003D730C">
        <w:rPr>
          <w:rFonts w:asciiTheme="minorHAnsi" w:hAnsiTheme="minorHAnsi" w:cstheme="minorHAnsi"/>
        </w:rPr>
        <w:t xml:space="preserve">During the pandemic, </w:t>
      </w:r>
      <w:r w:rsidR="00515FBC">
        <w:rPr>
          <w:rFonts w:asciiTheme="minorHAnsi" w:hAnsiTheme="minorHAnsi" w:cstheme="minorHAnsi"/>
        </w:rPr>
        <w:t>Sweden has experienced a much greater number of cases of COVID-19 compared to Australia</w:t>
      </w:r>
      <w:r w:rsidR="00AC1D2F">
        <w:rPr>
          <w:rFonts w:asciiTheme="minorHAnsi" w:hAnsiTheme="minorHAnsi" w:cstheme="minorHAnsi"/>
        </w:rPr>
        <w:t xml:space="preserve">. </w:t>
      </w:r>
      <w:r w:rsidR="00515FBC">
        <w:rPr>
          <w:rFonts w:asciiTheme="minorHAnsi" w:hAnsiTheme="minorHAnsi" w:cstheme="minorHAnsi"/>
        </w:rPr>
        <w:t xml:space="preserve"> </w:t>
      </w:r>
      <w:r w:rsidR="00AC1D2F">
        <w:rPr>
          <w:rFonts w:asciiTheme="minorHAnsi" w:hAnsiTheme="minorHAnsi" w:cstheme="minorHAnsi"/>
        </w:rPr>
        <w:t>As of December 1</w:t>
      </w:r>
      <w:r w:rsidR="00AC1D2F" w:rsidRPr="00AC1D2F">
        <w:rPr>
          <w:rFonts w:asciiTheme="minorHAnsi" w:hAnsiTheme="minorHAnsi" w:cstheme="minorHAnsi"/>
          <w:vertAlign w:val="superscript"/>
        </w:rPr>
        <w:t>st</w:t>
      </w:r>
      <w:r w:rsidR="00AC1D2F">
        <w:rPr>
          <w:rFonts w:asciiTheme="minorHAnsi" w:hAnsiTheme="minorHAnsi" w:cstheme="minorHAnsi"/>
        </w:rPr>
        <w:t>, 2020 Sweden had</w:t>
      </w:r>
      <w:r w:rsidR="00515FBC">
        <w:rPr>
          <w:rFonts w:asciiTheme="minorHAnsi" w:hAnsiTheme="minorHAnsi" w:cstheme="minorHAnsi"/>
        </w:rPr>
        <w:t xml:space="preserve"> a total case number per million of population of 25,819</w:t>
      </w:r>
      <w:r w:rsidR="003D730C">
        <w:rPr>
          <w:rFonts w:asciiTheme="minorHAnsi" w:hAnsiTheme="minorHAnsi" w:cstheme="minorHAnsi"/>
        </w:rPr>
        <w:t xml:space="preserve"> cases</w:t>
      </w:r>
      <w:r w:rsidR="00515FBC">
        <w:rPr>
          <w:rFonts w:asciiTheme="minorHAnsi" w:hAnsiTheme="minorHAnsi" w:cstheme="minorHAnsi"/>
        </w:rPr>
        <w:t xml:space="preserve"> with population of 10.09 million</w:t>
      </w:r>
      <w:r w:rsidR="003D730C">
        <w:rPr>
          <w:rFonts w:asciiTheme="minorHAnsi" w:hAnsiTheme="minorHAnsi" w:cstheme="minorHAnsi"/>
        </w:rPr>
        <w:t xml:space="preserve"> people</w:t>
      </w:r>
      <w:r w:rsidR="00515FBC">
        <w:rPr>
          <w:rFonts w:asciiTheme="minorHAnsi" w:hAnsiTheme="minorHAnsi" w:cstheme="minorHAnsi"/>
        </w:rPr>
        <w:t xml:space="preserve">.  Australia had a total case number of 1095 cases per million of population </w:t>
      </w:r>
      <w:r w:rsidR="00AC1D2F">
        <w:rPr>
          <w:rFonts w:asciiTheme="minorHAnsi" w:hAnsiTheme="minorHAnsi" w:cstheme="minorHAnsi"/>
        </w:rPr>
        <w:t xml:space="preserve">by that time </w:t>
      </w:r>
      <w:r w:rsidR="00515FBC">
        <w:rPr>
          <w:rFonts w:asciiTheme="minorHAnsi" w:hAnsiTheme="minorHAnsi" w:cstheme="minorHAnsi"/>
        </w:rPr>
        <w:t>with a population of 25.49 million.</w:t>
      </w:r>
    </w:p>
    <w:p w14:paraId="63FB09A3" w14:textId="30ADA408" w:rsidR="0009670B" w:rsidRDefault="0009670B">
      <w:pPr>
        <w:rPr>
          <w:rFonts w:asciiTheme="minorHAnsi" w:hAnsiTheme="minorHAnsi" w:cstheme="minorHAnsi"/>
        </w:rPr>
      </w:pPr>
    </w:p>
    <w:p w14:paraId="15EA28C3" w14:textId="7C0E12CA" w:rsidR="0009670B" w:rsidRDefault="0009670B">
      <w:pPr>
        <w:rPr>
          <w:rFonts w:asciiTheme="minorHAnsi" w:hAnsiTheme="minorHAnsi" w:cstheme="minorHAnsi"/>
        </w:rPr>
      </w:pPr>
      <w:r>
        <w:rPr>
          <w:rFonts w:asciiTheme="minorHAnsi" w:hAnsiTheme="minorHAnsi" w:cstheme="minorHAnsi"/>
        </w:rPr>
        <w:t>The first step in</w:t>
      </w:r>
      <w:r w:rsidR="003D730C">
        <w:rPr>
          <w:rFonts w:asciiTheme="minorHAnsi" w:hAnsiTheme="minorHAnsi" w:cstheme="minorHAnsi"/>
        </w:rPr>
        <w:t xml:space="preserve"> data</w:t>
      </w:r>
      <w:r>
        <w:rPr>
          <w:rFonts w:asciiTheme="minorHAnsi" w:hAnsiTheme="minorHAnsi" w:cstheme="minorHAnsi"/>
        </w:rPr>
        <w:t xml:space="preserve"> analysis was to compare new case numbers for each nation over the prescribed time period. To compare new case numbers between the two countries</w:t>
      </w:r>
      <w:r w:rsidR="003D730C">
        <w:rPr>
          <w:rFonts w:asciiTheme="minorHAnsi" w:hAnsiTheme="minorHAnsi" w:cstheme="minorHAnsi"/>
        </w:rPr>
        <w:t>,</w:t>
      </w:r>
      <w:r>
        <w:rPr>
          <w:rFonts w:asciiTheme="minorHAnsi" w:hAnsiTheme="minorHAnsi" w:cstheme="minorHAnsi"/>
        </w:rPr>
        <w:t xml:space="preserve"> data was plotted on a logarithmic</w:t>
      </w:r>
      <w:r w:rsidR="00A957A6">
        <w:rPr>
          <w:rFonts w:asciiTheme="minorHAnsi" w:hAnsiTheme="minorHAnsi" w:cstheme="minorHAnsi"/>
        </w:rPr>
        <w:t xml:space="preserve"> (log 10)</w:t>
      </w:r>
      <w:r>
        <w:rPr>
          <w:rFonts w:asciiTheme="minorHAnsi" w:hAnsiTheme="minorHAnsi" w:cstheme="minorHAnsi"/>
        </w:rPr>
        <w:t xml:space="preserve"> scale </w:t>
      </w:r>
      <w:r w:rsidR="003D730C">
        <w:rPr>
          <w:rFonts w:asciiTheme="minorHAnsi" w:hAnsiTheme="minorHAnsi" w:cstheme="minorHAnsi"/>
        </w:rPr>
        <w:t xml:space="preserve">in an effort to better </w:t>
      </w:r>
      <w:r>
        <w:rPr>
          <w:rFonts w:asciiTheme="minorHAnsi" w:hAnsiTheme="minorHAnsi" w:cstheme="minorHAnsi"/>
        </w:rPr>
        <w:t xml:space="preserve">visualise trends in the data as shown in Figure 1 below. Plotting data on a logarithmic scale enables </w:t>
      </w:r>
      <w:r w:rsidR="003D730C">
        <w:rPr>
          <w:rFonts w:asciiTheme="minorHAnsi" w:hAnsiTheme="minorHAnsi" w:cstheme="minorHAnsi"/>
        </w:rPr>
        <w:t>a more efficient</w:t>
      </w:r>
      <w:r>
        <w:rPr>
          <w:rFonts w:asciiTheme="minorHAnsi" w:hAnsiTheme="minorHAnsi" w:cstheme="minorHAnsi"/>
        </w:rPr>
        <w:t xml:space="preserve"> compar</w:t>
      </w:r>
      <w:r w:rsidR="003D730C">
        <w:rPr>
          <w:rFonts w:asciiTheme="minorHAnsi" w:hAnsiTheme="minorHAnsi" w:cstheme="minorHAnsi"/>
        </w:rPr>
        <w:t>ison</w:t>
      </w:r>
      <w:r>
        <w:rPr>
          <w:rFonts w:asciiTheme="minorHAnsi" w:hAnsiTheme="minorHAnsi" w:cstheme="minorHAnsi"/>
        </w:rPr>
        <w:t xml:space="preserve"> </w:t>
      </w:r>
      <w:r w:rsidR="00A957A6">
        <w:rPr>
          <w:rFonts w:asciiTheme="minorHAnsi" w:hAnsiTheme="minorHAnsi" w:cstheme="minorHAnsi"/>
        </w:rPr>
        <w:t xml:space="preserve">of </w:t>
      </w:r>
      <w:r>
        <w:rPr>
          <w:rFonts w:asciiTheme="minorHAnsi" w:hAnsiTheme="minorHAnsi" w:cstheme="minorHAnsi"/>
        </w:rPr>
        <w:t>case numbers of very different magnitudes</w:t>
      </w:r>
      <w:r w:rsidR="003D730C">
        <w:rPr>
          <w:rFonts w:asciiTheme="minorHAnsi" w:hAnsiTheme="minorHAnsi" w:cstheme="minorHAnsi"/>
        </w:rPr>
        <w:t xml:space="preserve"> from different sized populations (Fleming 2020).  Furthermore it also </w:t>
      </w:r>
      <w:r>
        <w:rPr>
          <w:rFonts w:asciiTheme="minorHAnsi" w:hAnsiTheme="minorHAnsi" w:cstheme="minorHAnsi"/>
        </w:rPr>
        <w:t>allow</w:t>
      </w:r>
      <w:r w:rsidR="003D730C">
        <w:rPr>
          <w:rFonts w:asciiTheme="minorHAnsi" w:hAnsiTheme="minorHAnsi" w:cstheme="minorHAnsi"/>
        </w:rPr>
        <w:t>s</w:t>
      </w:r>
      <w:r>
        <w:rPr>
          <w:rFonts w:asciiTheme="minorHAnsi" w:hAnsiTheme="minorHAnsi" w:cstheme="minorHAnsi"/>
        </w:rPr>
        <w:t xml:space="preserve"> </w:t>
      </w:r>
      <w:r w:rsidR="00AC1D2F">
        <w:rPr>
          <w:rFonts w:asciiTheme="minorHAnsi" w:hAnsiTheme="minorHAnsi" w:cstheme="minorHAnsi"/>
        </w:rPr>
        <w:t xml:space="preserve">for </w:t>
      </w:r>
      <w:r>
        <w:rPr>
          <w:rFonts w:asciiTheme="minorHAnsi" w:hAnsiTheme="minorHAnsi" w:cstheme="minorHAnsi"/>
        </w:rPr>
        <w:t>better assessment of the rates of change in new case numbers when compared to plotting on a linear scale</w:t>
      </w:r>
      <w:r w:rsidR="003D730C">
        <w:rPr>
          <w:rFonts w:asciiTheme="minorHAnsi" w:hAnsiTheme="minorHAnsi" w:cstheme="minorHAnsi"/>
        </w:rPr>
        <w:t xml:space="preserve"> which </w:t>
      </w:r>
      <w:r w:rsidR="00A957A6">
        <w:rPr>
          <w:rFonts w:asciiTheme="minorHAnsi" w:hAnsiTheme="minorHAnsi" w:cstheme="minorHAnsi"/>
        </w:rPr>
        <w:t>is</w:t>
      </w:r>
      <w:r w:rsidR="003D730C">
        <w:rPr>
          <w:rFonts w:asciiTheme="minorHAnsi" w:hAnsiTheme="minorHAnsi" w:cstheme="minorHAnsi"/>
        </w:rPr>
        <w:t xml:space="preserve"> </w:t>
      </w:r>
      <w:r w:rsidR="00AC1D2F">
        <w:rPr>
          <w:rFonts w:asciiTheme="minorHAnsi" w:hAnsiTheme="minorHAnsi" w:cstheme="minorHAnsi"/>
        </w:rPr>
        <w:t>useful</w:t>
      </w:r>
      <w:r w:rsidR="003D730C">
        <w:rPr>
          <w:rFonts w:asciiTheme="minorHAnsi" w:hAnsiTheme="minorHAnsi" w:cstheme="minorHAnsi"/>
        </w:rPr>
        <w:t xml:space="preserve"> </w:t>
      </w:r>
      <w:r w:rsidR="00AC1D2F">
        <w:rPr>
          <w:rFonts w:asciiTheme="minorHAnsi" w:hAnsiTheme="minorHAnsi" w:cstheme="minorHAnsi"/>
        </w:rPr>
        <w:t>in</w:t>
      </w:r>
      <w:r w:rsidR="003D730C">
        <w:rPr>
          <w:rFonts w:asciiTheme="minorHAnsi" w:hAnsiTheme="minorHAnsi" w:cstheme="minorHAnsi"/>
        </w:rPr>
        <w:t xml:space="preserve"> </w:t>
      </w:r>
      <w:r w:rsidR="00AC1D2F">
        <w:rPr>
          <w:rFonts w:asciiTheme="minorHAnsi" w:hAnsiTheme="minorHAnsi" w:cstheme="minorHAnsi"/>
        </w:rPr>
        <w:t>assessing</w:t>
      </w:r>
      <w:r w:rsidR="003D730C">
        <w:rPr>
          <w:rFonts w:asciiTheme="minorHAnsi" w:hAnsiTheme="minorHAnsi" w:cstheme="minorHAnsi"/>
        </w:rPr>
        <w:t xml:space="preserve"> the effective</w:t>
      </w:r>
      <w:r w:rsidR="00A957A6">
        <w:rPr>
          <w:rFonts w:asciiTheme="minorHAnsi" w:hAnsiTheme="minorHAnsi" w:cstheme="minorHAnsi"/>
        </w:rPr>
        <w:t>ness</w:t>
      </w:r>
      <w:r w:rsidR="003D730C">
        <w:rPr>
          <w:rFonts w:asciiTheme="minorHAnsi" w:hAnsiTheme="minorHAnsi" w:cstheme="minorHAnsi"/>
        </w:rPr>
        <w:t xml:space="preserve"> of infection control measures as they are instituted (Fleming 2020)</w:t>
      </w:r>
      <w:r>
        <w:rPr>
          <w:rFonts w:asciiTheme="minorHAnsi" w:hAnsiTheme="minorHAnsi" w:cstheme="minorHAnsi"/>
        </w:rPr>
        <w:t>.</w:t>
      </w:r>
    </w:p>
    <w:p w14:paraId="42F3D07C" w14:textId="77777777" w:rsidR="00AC1D2F" w:rsidRDefault="00AC1D2F">
      <w:pPr>
        <w:rPr>
          <w:rFonts w:asciiTheme="minorHAnsi" w:hAnsiTheme="minorHAnsi" w:cstheme="minorHAnsi"/>
        </w:rPr>
      </w:pPr>
    </w:p>
    <w:p w14:paraId="4C58D034" w14:textId="2E817AED" w:rsidR="00A957A6" w:rsidRDefault="004201A2" w:rsidP="001E3AB3">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14:anchorId="02E802AB" wp14:editId="2BA9F091">
            <wp:extent cx="3079658" cy="226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556" cy="2281812"/>
                    </a:xfrm>
                    <a:prstGeom prst="rect">
                      <a:avLst/>
                    </a:prstGeom>
                    <a:noFill/>
                    <a:ln>
                      <a:noFill/>
                    </a:ln>
                  </pic:spPr>
                </pic:pic>
              </a:graphicData>
            </a:graphic>
          </wp:inline>
        </w:drawing>
      </w:r>
    </w:p>
    <w:p w14:paraId="304DD19A" w14:textId="0498EB44" w:rsidR="0009670B" w:rsidRPr="00A957A6" w:rsidRDefault="0009670B" w:rsidP="00A957A6">
      <w:pPr>
        <w:jc w:val="center"/>
        <w:rPr>
          <w:rFonts w:asciiTheme="minorHAnsi" w:hAnsiTheme="minorHAnsi" w:cstheme="minorHAnsi"/>
          <w:i/>
          <w:iCs/>
          <w:sz w:val="22"/>
          <w:szCs w:val="22"/>
        </w:rPr>
      </w:pPr>
      <w:r w:rsidRPr="00A957A6">
        <w:rPr>
          <w:rFonts w:asciiTheme="minorHAnsi" w:hAnsiTheme="minorHAnsi" w:cstheme="minorHAnsi"/>
          <w:i/>
          <w:iCs/>
          <w:sz w:val="22"/>
          <w:szCs w:val="22"/>
        </w:rPr>
        <w:t xml:space="preserve">Figure 1 – New COVID-19 case numbers </w:t>
      </w:r>
      <w:r w:rsidR="00FE0D1E">
        <w:rPr>
          <w:rFonts w:asciiTheme="minorHAnsi" w:hAnsiTheme="minorHAnsi" w:cstheme="minorHAnsi"/>
          <w:i/>
          <w:iCs/>
          <w:sz w:val="22"/>
          <w:szCs w:val="22"/>
        </w:rPr>
        <w:t xml:space="preserve">(log 10) </w:t>
      </w:r>
      <w:r w:rsidRPr="00A957A6">
        <w:rPr>
          <w:rFonts w:asciiTheme="minorHAnsi" w:hAnsiTheme="minorHAnsi" w:cstheme="minorHAnsi"/>
          <w:i/>
          <w:iCs/>
          <w:sz w:val="22"/>
          <w:szCs w:val="22"/>
        </w:rPr>
        <w:t>in Australia and Sweden from 15.2.20 – 1.12.2</w:t>
      </w:r>
      <w:r w:rsidR="00515FBC" w:rsidRPr="00A957A6">
        <w:rPr>
          <w:rFonts w:asciiTheme="minorHAnsi" w:hAnsiTheme="minorHAnsi" w:cstheme="minorHAnsi"/>
          <w:i/>
          <w:iCs/>
          <w:sz w:val="22"/>
          <w:szCs w:val="22"/>
        </w:rPr>
        <w:t>0</w:t>
      </w:r>
    </w:p>
    <w:p w14:paraId="1720587E" w14:textId="27FB82F0" w:rsidR="0009670B" w:rsidRDefault="0009670B">
      <w:pPr>
        <w:rPr>
          <w:rFonts w:asciiTheme="minorHAnsi" w:hAnsiTheme="minorHAnsi" w:cstheme="minorHAnsi"/>
        </w:rPr>
      </w:pPr>
    </w:p>
    <w:p w14:paraId="76DB0B8C" w14:textId="2241D95D" w:rsidR="0009670B" w:rsidRDefault="0009670B">
      <w:pPr>
        <w:rPr>
          <w:rFonts w:asciiTheme="minorHAnsi" w:hAnsiTheme="minorHAnsi" w:cstheme="minorHAnsi"/>
        </w:rPr>
      </w:pPr>
      <w:r>
        <w:rPr>
          <w:rFonts w:asciiTheme="minorHAnsi" w:hAnsiTheme="minorHAnsi" w:cstheme="minorHAnsi"/>
        </w:rPr>
        <w:t xml:space="preserve">When examining </w:t>
      </w:r>
      <w:r w:rsidR="00AC1D2F">
        <w:rPr>
          <w:rFonts w:asciiTheme="minorHAnsi" w:hAnsiTheme="minorHAnsi" w:cstheme="minorHAnsi"/>
        </w:rPr>
        <w:t xml:space="preserve">Figure 1 </w:t>
      </w:r>
      <w:r>
        <w:rPr>
          <w:rFonts w:asciiTheme="minorHAnsi" w:hAnsiTheme="minorHAnsi" w:cstheme="minorHAnsi"/>
        </w:rPr>
        <w:t xml:space="preserve">it is evident </w:t>
      </w:r>
      <w:r w:rsidR="00611F96">
        <w:rPr>
          <w:rFonts w:asciiTheme="minorHAnsi" w:hAnsiTheme="minorHAnsi" w:cstheme="minorHAnsi"/>
        </w:rPr>
        <w:t>that</w:t>
      </w:r>
      <w:r>
        <w:rPr>
          <w:rFonts w:asciiTheme="minorHAnsi" w:hAnsiTheme="minorHAnsi" w:cstheme="minorHAnsi"/>
        </w:rPr>
        <w:t xml:space="preserve"> both countries had a rapid rise in case numbers at the start of the pandemic.  In April </w:t>
      </w:r>
      <w:r w:rsidR="00611F96">
        <w:rPr>
          <w:rFonts w:asciiTheme="minorHAnsi" w:hAnsiTheme="minorHAnsi" w:cstheme="minorHAnsi"/>
        </w:rPr>
        <w:t xml:space="preserve">the rate of </w:t>
      </w:r>
      <w:r>
        <w:rPr>
          <w:rFonts w:asciiTheme="minorHAnsi" w:hAnsiTheme="minorHAnsi" w:cstheme="minorHAnsi"/>
        </w:rPr>
        <w:t>new case</w:t>
      </w:r>
      <w:r w:rsidR="00611F96">
        <w:rPr>
          <w:rFonts w:asciiTheme="minorHAnsi" w:hAnsiTheme="minorHAnsi" w:cstheme="minorHAnsi"/>
        </w:rPr>
        <w:t>s</w:t>
      </w:r>
      <w:r>
        <w:rPr>
          <w:rFonts w:asciiTheme="minorHAnsi" w:hAnsiTheme="minorHAnsi" w:cstheme="minorHAnsi"/>
        </w:rPr>
        <w:t xml:space="preserve"> in Australia began to fall whilst in Sweden </w:t>
      </w:r>
      <w:r w:rsidR="00AC1D2F">
        <w:rPr>
          <w:rFonts w:asciiTheme="minorHAnsi" w:hAnsiTheme="minorHAnsi" w:cstheme="minorHAnsi"/>
        </w:rPr>
        <w:t>new case numbers</w:t>
      </w:r>
      <w:r>
        <w:rPr>
          <w:rFonts w:asciiTheme="minorHAnsi" w:hAnsiTheme="minorHAnsi" w:cstheme="minorHAnsi"/>
        </w:rPr>
        <w:t xml:space="preserve"> continued at not dissimilar levels until July.  As Australia’s second wave took hold in August the rate of new cases in Australia began to rise sharply as Sweden’s level began to decline to less than that of Australia. By September however this trend had reversed with new case numbers in Sweden </w:t>
      </w:r>
      <w:r w:rsidR="00611F96">
        <w:rPr>
          <w:rFonts w:asciiTheme="minorHAnsi" w:hAnsiTheme="minorHAnsi" w:cstheme="minorHAnsi"/>
        </w:rPr>
        <w:t>increasing</w:t>
      </w:r>
      <w:r>
        <w:rPr>
          <w:rFonts w:asciiTheme="minorHAnsi" w:hAnsiTheme="minorHAnsi" w:cstheme="minorHAnsi"/>
        </w:rPr>
        <w:t xml:space="preserve"> rapidly with the second wave o</w:t>
      </w:r>
      <w:r w:rsidR="00AC1D2F">
        <w:rPr>
          <w:rFonts w:asciiTheme="minorHAnsi" w:hAnsiTheme="minorHAnsi" w:cstheme="minorHAnsi"/>
        </w:rPr>
        <w:t>f</w:t>
      </w:r>
      <w:r>
        <w:rPr>
          <w:rFonts w:asciiTheme="minorHAnsi" w:hAnsiTheme="minorHAnsi" w:cstheme="minorHAnsi"/>
        </w:rPr>
        <w:t xml:space="preserve"> infection in Europe</w:t>
      </w:r>
      <w:r w:rsidR="00611F96">
        <w:rPr>
          <w:rFonts w:asciiTheme="minorHAnsi" w:hAnsiTheme="minorHAnsi" w:cstheme="minorHAnsi"/>
        </w:rPr>
        <w:t xml:space="preserve"> to the highest levels the country had seen.</w:t>
      </w:r>
      <w:r>
        <w:rPr>
          <w:rFonts w:asciiTheme="minorHAnsi" w:hAnsiTheme="minorHAnsi" w:cstheme="minorHAnsi"/>
        </w:rPr>
        <w:t xml:space="preserve"> </w:t>
      </w:r>
      <w:r w:rsidR="00611F96">
        <w:rPr>
          <w:rFonts w:asciiTheme="minorHAnsi" w:hAnsiTheme="minorHAnsi" w:cstheme="minorHAnsi"/>
        </w:rPr>
        <w:t xml:space="preserve"> R</w:t>
      </w:r>
      <w:r>
        <w:rPr>
          <w:rFonts w:asciiTheme="minorHAnsi" w:hAnsiTheme="minorHAnsi" w:cstheme="minorHAnsi"/>
        </w:rPr>
        <w:t xml:space="preserve">ates of new cases in Australia </w:t>
      </w:r>
      <w:r w:rsidR="00611F96">
        <w:rPr>
          <w:rFonts w:asciiTheme="minorHAnsi" w:hAnsiTheme="minorHAnsi" w:cstheme="minorHAnsi"/>
        </w:rPr>
        <w:t>have continued</w:t>
      </w:r>
      <w:r>
        <w:rPr>
          <w:rFonts w:asciiTheme="minorHAnsi" w:hAnsiTheme="minorHAnsi" w:cstheme="minorHAnsi"/>
        </w:rPr>
        <w:t xml:space="preserve"> decline</w:t>
      </w:r>
      <w:r w:rsidR="00611F96">
        <w:rPr>
          <w:rFonts w:asciiTheme="minorHAnsi" w:hAnsiTheme="minorHAnsi" w:cstheme="minorHAnsi"/>
        </w:rPr>
        <w:t xml:space="preserve"> since August</w:t>
      </w:r>
      <w:r>
        <w:rPr>
          <w:rFonts w:asciiTheme="minorHAnsi" w:hAnsiTheme="minorHAnsi" w:cstheme="minorHAnsi"/>
        </w:rPr>
        <w:t xml:space="preserve"> with a large disparity between new case numbers </w:t>
      </w:r>
      <w:r w:rsidR="00AC1D2F">
        <w:rPr>
          <w:rFonts w:asciiTheme="minorHAnsi" w:hAnsiTheme="minorHAnsi" w:cstheme="minorHAnsi"/>
        </w:rPr>
        <w:t>of</w:t>
      </w:r>
      <w:r>
        <w:rPr>
          <w:rFonts w:asciiTheme="minorHAnsi" w:hAnsiTheme="minorHAnsi" w:cstheme="minorHAnsi"/>
        </w:rPr>
        <w:t xml:space="preserve"> the two countries </w:t>
      </w:r>
      <w:r w:rsidR="00611F96">
        <w:rPr>
          <w:rFonts w:asciiTheme="minorHAnsi" w:hAnsiTheme="minorHAnsi" w:cstheme="minorHAnsi"/>
        </w:rPr>
        <w:t xml:space="preserve">clearly evident </w:t>
      </w:r>
      <w:r>
        <w:rPr>
          <w:rFonts w:asciiTheme="minorHAnsi" w:hAnsiTheme="minorHAnsi" w:cstheme="minorHAnsi"/>
        </w:rPr>
        <w:t>just before Christmas.</w:t>
      </w:r>
    </w:p>
    <w:p w14:paraId="59C687B8" w14:textId="30517CA1" w:rsidR="0009670B" w:rsidRDefault="0009670B">
      <w:pPr>
        <w:rPr>
          <w:rFonts w:asciiTheme="minorHAnsi" w:hAnsiTheme="minorHAnsi" w:cstheme="minorHAnsi"/>
        </w:rPr>
      </w:pPr>
    </w:p>
    <w:p w14:paraId="4126FDB6" w14:textId="3387C255" w:rsidR="0009670B" w:rsidRDefault="0009670B">
      <w:pPr>
        <w:rPr>
          <w:rFonts w:asciiTheme="minorHAnsi" w:hAnsiTheme="minorHAnsi" w:cstheme="minorHAnsi"/>
        </w:rPr>
      </w:pPr>
      <w:r>
        <w:rPr>
          <w:rFonts w:asciiTheme="minorHAnsi" w:hAnsiTheme="minorHAnsi" w:cstheme="minorHAnsi"/>
        </w:rPr>
        <w:t xml:space="preserve">The </w:t>
      </w:r>
      <w:r w:rsidR="00AC1D2F">
        <w:rPr>
          <w:rFonts w:asciiTheme="minorHAnsi" w:hAnsiTheme="minorHAnsi" w:cstheme="minorHAnsi"/>
        </w:rPr>
        <w:t xml:space="preserve">data from the </w:t>
      </w:r>
      <w:r>
        <w:rPr>
          <w:rFonts w:asciiTheme="minorHAnsi" w:hAnsiTheme="minorHAnsi" w:cstheme="minorHAnsi"/>
        </w:rPr>
        <w:t xml:space="preserve">six categories of mobility measured in the Google COVID-19 mobility data set </w:t>
      </w:r>
      <w:r w:rsidR="00AC1D2F">
        <w:rPr>
          <w:rFonts w:asciiTheme="minorHAnsi" w:hAnsiTheme="minorHAnsi" w:cstheme="minorHAnsi"/>
        </w:rPr>
        <w:t>was</w:t>
      </w:r>
      <w:r>
        <w:rPr>
          <w:rFonts w:asciiTheme="minorHAnsi" w:hAnsiTheme="minorHAnsi" w:cstheme="minorHAnsi"/>
        </w:rPr>
        <w:t xml:space="preserve"> then </w:t>
      </w:r>
      <w:r w:rsidR="00FC1905">
        <w:rPr>
          <w:rFonts w:asciiTheme="minorHAnsi" w:hAnsiTheme="minorHAnsi" w:cstheme="minorHAnsi"/>
        </w:rPr>
        <w:t>examined</w:t>
      </w:r>
      <w:r w:rsidR="00515FBC">
        <w:rPr>
          <w:rFonts w:asciiTheme="minorHAnsi" w:hAnsiTheme="minorHAnsi" w:cstheme="minorHAnsi"/>
        </w:rPr>
        <w:t xml:space="preserve">.  Figure 2 below </w:t>
      </w:r>
      <w:r w:rsidR="00FC1905">
        <w:rPr>
          <w:rFonts w:asciiTheme="minorHAnsi" w:hAnsiTheme="minorHAnsi" w:cstheme="minorHAnsi"/>
        </w:rPr>
        <w:t>illustrate</w:t>
      </w:r>
      <w:r w:rsidR="00AC1D2F">
        <w:rPr>
          <w:rFonts w:asciiTheme="minorHAnsi" w:hAnsiTheme="minorHAnsi" w:cstheme="minorHAnsi"/>
        </w:rPr>
        <w:t>s</w:t>
      </w:r>
      <w:r w:rsidR="00515FBC">
        <w:rPr>
          <w:rFonts w:asciiTheme="minorHAnsi" w:hAnsiTheme="minorHAnsi" w:cstheme="minorHAnsi"/>
        </w:rPr>
        <w:t xml:space="preserve"> the change in mobility between the populations of Australia and Sweden</w:t>
      </w:r>
      <w:r w:rsidR="00FC1905">
        <w:rPr>
          <w:rFonts w:asciiTheme="minorHAnsi" w:hAnsiTheme="minorHAnsi" w:cstheme="minorHAnsi"/>
        </w:rPr>
        <w:t xml:space="preserve"> from places of residence</w:t>
      </w:r>
      <w:r w:rsidR="00515FBC">
        <w:rPr>
          <w:rFonts w:asciiTheme="minorHAnsi" w:hAnsiTheme="minorHAnsi" w:cstheme="minorHAnsi"/>
        </w:rPr>
        <w:t>.</w:t>
      </w:r>
    </w:p>
    <w:p w14:paraId="7579DE11" w14:textId="36D059BF" w:rsidR="00515FBC" w:rsidRDefault="00515FBC">
      <w:pPr>
        <w:rPr>
          <w:rFonts w:asciiTheme="minorHAnsi" w:hAnsiTheme="minorHAnsi" w:cstheme="minorHAnsi"/>
        </w:rPr>
      </w:pPr>
    </w:p>
    <w:p w14:paraId="58F38B5E" w14:textId="33FEDD23" w:rsidR="0030300C" w:rsidRDefault="0030300C" w:rsidP="0030300C">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14:anchorId="7471604D" wp14:editId="1C434BBC">
            <wp:extent cx="2781519" cy="2048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797" cy="2103318"/>
                    </a:xfrm>
                    <a:prstGeom prst="rect">
                      <a:avLst/>
                    </a:prstGeom>
                    <a:noFill/>
                    <a:ln>
                      <a:noFill/>
                    </a:ln>
                  </pic:spPr>
                </pic:pic>
              </a:graphicData>
            </a:graphic>
          </wp:inline>
        </w:drawing>
      </w:r>
    </w:p>
    <w:p w14:paraId="14FC3220" w14:textId="138EEB64" w:rsidR="00515FBC" w:rsidRDefault="00515FBC" w:rsidP="00053F6C">
      <w:pPr>
        <w:jc w:val="center"/>
        <w:rPr>
          <w:rFonts w:asciiTheme="minorHAnsi" w:hAnsiTheme="minorHAnsi" w:cstheme="minorHAnsi"/>
          <w:i/>
          <w:iCs/>
          <w:sz w:val="22"/>
          <w:szCs w:val="22"/>
        </w:rPr>
      </w:pPr>
      <w:r w:rsidRPr="00FC1905">
        <w:rPr>
          <w:rFonts w:asciiTheme="minorHAnsi" w:hAnsiTheme="minorHAnsi" w:cstheme="minorHAnsi"/>
          <w:i/>
          <w:iCs/>
          <w:sz w:val="22"/>
          <w:szCs w:val="22"/>
        </w:rPr>
        <w:t xml:space="preserve">Figure 2 – </w:t>
      </w:r>
      <w:r w:rsidR="00FE0D1E">
        <w:rPr>
          <w:rFonts w:asciiTheme="minorHAnsi" w:hAnsiTheme="minorHAnsi" w:cstheme="minorHAnsi"/>
          <w:i/>
          <w:iCs/>
          <w:sz w:val="22"/>
          <w:szCs w:val="22"/>
        </w:rPr>
        <w:t>Percentage c</w:t>
      </w:r>
      <w:r w:rsidRPr="00FC1905">
        <w:rPr>
          <w:rFonts w:asciiTheme="minorHAnsi" w:hAnsiTheme="minorHAnsi" w:cstheme="minorHAnsi"/>
          <w:i/>
          <w:iCs/>
          <w:sz w:val="22"/>
          <w:szCs w:val="22"/>
        </w:rPr>
        <w:t xml:space="preserve">hange in mobility to </w:t>
      </w:r>
      <w:r w:rsidR="00FC1905" w:rsidRPr="00FC1905">
        <w:rPr>
          <w:rFonts w:asciiTheme="minorHAnsi" w:hAnsiTheme="minorHAnsi" w:cstheme="minorHAnsi"/>
          <w:i/>
          <w:iCs/>
          <w:sz w:val="22"/>
          <w:szCs w:val="22"/>
        </w:rPr>
        <w:t xml:space="preserve">places of residence </w:t>
      </w:r>
      <w:r w:rsidRPr="00FC1905">
        <w:rPr>
          <w:rFonts w:asciiTheme="minorHAnsi" w:hAnsiTheme="minorHAnsi" w:cstheme="minorHAnsi"/>
          <w:i/>
          <w:iCs/>
          <w:sz w:val="22"/>
          <w:szCs w:val="22"/>
        </w:rPr>
        <w:t>in Australia and Sweden from 15.2.20 – 1.12.20</w:t>
      </w:r>
    </w:p>
    <w:p w14:paraId="2F337C99" w14:textId="77777777" w:rsidR="009E2BFE" w:rsidRPr="00FC1905" w:rsidRDefault="009E2BFE" w:rsidP="00FC1905">
      <w:pPr>
        <w:jc w:val="center"/>
        <w:rPr>
          <w:rFonts w:asciiTheme="minorHAnsi" w:hAnsiTheme="minorHAnsi" w:cstheme="minorHAnsi"/>
          <w:i/>
          <w:iCs/>
          <w:sz w:val="22"/>
          <w:szCs w:val="22"/>
        </w:rPr>
      </w:pPr>
    </w:p>
    <w:p w14:paraId="035B2ECD" w14:textId="4F6113C1" w:rsidR="00515FBC" w:rsidRDefault="00D6067C">
      <w:pPr>
        <w:rPr>
          <w:rFonts w:asciiTheme="minorHAnsi" w:hAnsiTheme="minorHAnsi" w:cstheme="minorHAnsi"/>
        </w:rPr>
      </w:pPr>
      <w:r>
        <w:rPr>
          <w:rFonts w:asciiTheme="minorHAnsi" w:hAnsiTheme="minorHAnsi" w:cstheme="minorHAnsi"/>
        </w:rPr>
        <w:t>As</w:t>
      </w:r>
      <w:r w:rsidR="00515FBC">
        <w:rPr>
          <w:rFonts w:asciiTheme="minorHAnsi" w:hAnsiTheme="minorHAnsi" w:cstheme="minorHAnsi"/>
        </w:rPr>
        <w:t xml:space="preserve"> is evident in </w:t>
      </w:r>
      <w:r w:rsidR="00AC1D2F">
        <w:rPr>
          <w:rFonts w:asciiTheme="minorHAnsi" w:hAnsiTheme="minorHAnsi" w:cstheme="minorHAnsi"/>
        </w:rPr>
        <w:t>Figure 2</w:t>
      </w:r>
      <w:r>
        <w:rPr>
          <w:rFonts w:asciiTheme="minorHAnsi" w:hAnsiTheme="minorHAnsi" w:cstheme="minorHAnsi"/>
        </w:rPr>
        <w:t xml:space="preserve"> above,</w:t>
      </w:r>
      <w:r w:rsidR="00515FBC">
        <w:rPr>
          <w:rFonts w:asciiTheme="minorHAnsi" w:hAnsiTheme="minorHAnsi" w:cstheme="minorHAnsi"/>
        </w:rPr>
        <w:t xml:space="preserve"> Australia had a general increase in time spent at home compared to Sweden across the year.  Australia had an average increase in the time spent at home of 8.9% with a standard deviation of 5.36% slightly higher than that of Sweden at 5.35% with a standard deviation of 4.41%.  Both countries experienced a peak increase in time spent at home in April likely due to Easter.  </w:t>
      </w:r>
      <w:r>
        <w:rPr>
          <w:rFonts w:asciiTheme="minorHAnsi" w:hAnsiTheme="minorHAnsi" w:cstheme="minorHAnsi"/>
        </w:rPr>
        <w:t>Sweden also experience</w:t>
      </w:r>
      <w:r w:rsidR="00AC1D2F">
        <w:rPr>
          <w:rFonts w:asciiTheme="minorHAnsi" w:hAnsiTheme="minorHAnsi" w:cstheme="minorHAnsi"/>
        </w:rPr>
        <w:t>d</w:t>
      </w:r>
      <w:r>
        <w:rPr>
          <w:rFonts w:asciiTheme="minorHAnsi" w:hAnsiTheme="minorHAnsi" w:cstheme="minorHAnsi"/>
        </w:rPr>
        <w:t xml:space="preserve"> peaks in May and June likely associated with the public holidays May Day and Ascension Day (Tomlin 2019).  </w:t>
      </w:r>
      <w:r w:rsidR="00515FBC">
        <w:rPr>
          <w:rFonts w:asciiTheme="minorHAnsi" w:hAnsiTheme="minorHAnsi" w:cstheme="minorHAnsi"/>
        </w:rPr>
        <w:t>However in November</w:t>
      </w:r>
      <w:r w:rsidR="00FE0D1E">
        <w:rPr>
          <w:rFonts w:asciiTheme="minorHAnsi" w:hAnsiTheme="minorHAnsi" w:cstheme="minorHAnsi"/>
        </w:rPr>
        <w:t>,</w:t>
      </w:r>
      <w:r w:rsidR="00515FBC">
        <w:rPr>
          <w:rFonts w:asciiTheme="minorHAnsi" w:hAnsiTheme="minorHAnsi" w:cstheme="minorHAnsi"/>
        </w:rPr>
        <w:t xml:space="preserve"> time spent at home in Sweden increased to greater than that in Australia likely secondary to start of the second wave of infections in Europe in conjunction </w:t>
      </w:r>
      <w:r w:rsidR="00FE0D1E">
        <w:rPr>
          <w:rFonts w:asciiTheme="minorHAnsi" w:hAnsiTheme="minorHAnsi" w:cstheme="minorHAnsi"/>
        </w:rPr>
        <w:t>with the</w:t>
      </w:r>
      <w:r w:rsidR="00515FBC">
        <w:rPr>
          <w:rFonts w:asciiTheme="minorHAnsi" w:hAnsiTheme="minorHAnsi" w:cstheme="minorHAnsi"/>
        </w:rPr>
        <w:t xml:space="preserve"> relaxation of lockdown restrictions in Australia.</w:t>
      </w:r>
    </w:p>
    <w:p w14:paraId="0207DBFF" w14:textId="77777777" w:rsidR="00AD7818" w:rsidRDefault="00AD7818">
      <w:pPr>
        <w:rPr>
          <w:rFonts w:asciiTheme="minorHAnsi" w:hAnsiTheme="minorHAnsi" w:cstheme="minorHAnsi"/>
        </w:rPr>
      </w:pPr>
    </w:p>
    <w:p w14:paraId="19D45821" w14:textId="517F97EF" w:rsidR="0030300C" w:rsidRPr="004201A2" w:rsidRDefault="00515FBC" w:rsidP="004201A2">
      <w:pPr>
        <w:rPr>
          <w:rFonts w:asciiTheme="minorHAnsi" w:hAnsiTheme="minorHAnsi" w:cstheme="minorHAnsi"/>
        </w:rPr>
      </w:pPr>
      <w:r>
        <w:rPr>
          <w:rFonts w:asciiTheme="minorHAnsi" w:hAnsiTheme="minorHAnsi" w:cstheme="minorHAnsi"/>
        </w:rPr>
        <w:t xml:space="preserve">The </w:t>
      </w:r>
      <w:r w:rsidR="00AD7818">
        <w:rPr>
          <w:rFonts w:asciiTheme="minorHAnsi" w:hAnsiTheme="minorHAnsi" w:cstheme="minorHAnsi"/>
        </w:rPr>
        <w:t xml:space="preserve">next </w:t>
      </w:r>
      <w:r>
        <w:rPr>
          <w:rFonts w:asciiTheme="minorHAnsi" w:hAnsiTheme="minorHAnsi" w:cstheme="minorHAnsi"/>
        </w:rPr>
        <w:t xml:space="preserve">mobility category assessed was movement to the workplace. As is evident in </w:t>
      </w:r>
      <w:r w:rsidR="00AC1D2F">
        <w:rPr>
          <w:rFonts w:asciiTheme="minorHAnsi" w:hAnsiTheme="minorHAnsi" w:cstheme="minorHAnsi"/>
        </w:rPr>
        <w:t>F</w:t>
      </w:r>
      <w:r>
        <w:rPr>
          <w:rFonts w:asciiTheme="minorHAnsi" w:hAnsiTheme="minorHAnsi" w:cstheme="minorHAnsi"/>
        </w:rPr>
        <w:t xml:space="preserve">igure 3 below both Australians and Swedes spent less time in the workplace with movement to the </w:t>
      </w:r>
      <w:r w:rsidR="00D6067C">
        <w:rPr>
          <w:rFonts w:asciiTheme="minorHAnsi" w:hAnsiTheme="minorHAnsi" w:cstheme="minorHAnsi"/>
        </w:rPr>
        <w:t>places of work</w:t>
      </w:r>
      <w:r>
        <w:rPr>
          <w:rFonts w:asciiTheme="minorHAnsi" w:hAnsiTheme="minorHAnsi" w:cstheme="minorHAnsi"/>
        </w:rPr>
        <w:t xml:space="preserve"> generally below 0%.  Sweden had a much greater variation in movement to the workplace compared to</w:t>
      </w:r>
      <w:r w:rsidR="00AD7818">
        <w:rPr>
          <w:rFonts w:asciiTheme="minorHAnsi" w:hAnsiTheme="minorHAnsi" w:cstheme="minorHAnsi"/>
        </w:rPr>
        <w:t xml:space="preserve"> Australia</w:t>
      </w:r>
      <w:r>
        <w:rPr>
          <w:rFonts w:asciiTheme="minorHAnsi" w:hAnsiTheme="minorHAnsi" w:cstheme="minorHAnsi"/>
        </w:rPr>
        <w:t xml:space="preserve"> however the mean change in mobility to the work place was actually greater than that of Australia at -22% compared to -17%.</w:t>
      </w:r>
      <w:r w:rsidR="00D6067C">
        <w:rPr>
          <w:rFonts w:asciiTheme="minorHAnsi" w:hAnsiTheme="minorHAnsi" w:cstheme="minorHAnsi"/>
        </w:rPr>
        <w:t xml:space="preserve"> Sharp decreases in workplace movement in April in both countries are likely the result of Easter. The declines in Sweden for May and June all coincide with public holidays for May Day, Ascension Day and the Midsummer celebrations (Tomlin 2019).  Australia experienced another sharp decline in October likely secondary to the Queen’s </w:t>
      </w:r>
      <w:r w:rsidR="00AC1D2F">
        <w:rPr>
          <w:rFonts w:asciiTheme="minorHAnsi" w:hAnsiTheme="minorHAnsi" w:cstheme="minorHAnsi"/>
        </w:rPr>
        <w:t>Bi</w:t>
      </w:r>
      <w:r w:rsidR="00D6067C">
        <w:rPr>
          <w:rFonts w:asciiTheme="minorHAnsi" w:hAnsiTheme="minorHAnsi" w:cstheme="minorHAnsi"/>
        </w:rPr>
        <w:t xml:space="preserve">rthday holiday and Thank </w:t>
      </w:r>
      <w:r w:rsidR="00AC1D2F">
        <w:rPr>
          <w:rFonts w:asciiTheme="minorHAnsi" w:hAnsiTheme="minorHAnsi" w:cstheme="minorHAnsi"/>
        </w:rPr>
        <w:t>Y</w:t>
      </w:r>
      <w:r w:rsidR="00D6067C">
        <w:rPr>
          <w:rFonts w:asciiTheme="minorHAnsi" w:hAnsiTheme="minorHAnsi" w:cstheme="minorHAnsi"/>
        </w:rPr>
        <w:t>ou day holiday in some states.</w:t>
      </w:r>
    </w:p>
    <w:p w14:paraId="216F37B1" w14:textId="2C15EA12" w:rsidR="00D6067C" w:rsidRPr="0030300C" w:rsidRDefault="0030300C" w:rsidP="0030300C">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14:anchorId="5DD3BDC6" wp14:editId="2EB73E02">
            <wp:extent cx="2912533" cy="21166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852" cy="2125636"/>
                    </a:xfrm>
                    <a:prstGeom prst="rect">
                      <a:avLst/>
                    </a:prstGeom>
                    <a:noFill/>
                    <a:ln>
                      <a:noFill/>
                    </a:ln>
                  </pic:spPr>
                </pic:pic>
              </a:graphicData>
            </a:graphic>
          </wp:inline>
        </w:drawing>
      </w:r>
    </w:p>
    <w:p w14:paraId="54150B7F" w14:textId="5CBD3852" w:rsidR="00AD7818" w:rsidRPr="00D6067C" w:rsidRDefault="00AD7818" w:rsidP="00D6067C">
      <w:pPr>
        <w:jc w:val="center"/>
        <w:rPr>
          <w:rFonts w:asciiTheme="minorHAnsi" w:hAnsiTheme="minorHAnsi" w:cstheme="minorHAnsi"/>
          <w:i/>
          <w:iCs/>
          <w:sz w:val="22"/>
          <w:szCs w:val="22"/>
        </w:rPr>
      </w:pPr>
      <w:r w:rsidRPr="00D6067C">
        <w:rPr>
          <w:rFonts w:asciiTheme="minorHAnsi" w:hAnsiTheme="minorHAnsi" w:cstheme="minorHAnsi"/>
          <w:i/>
          <w:iCs/>
          <w:sz w:val="22"/>
          <w:szCs w:val="22"/>
        </w:rPr>
        <w:t xml:space="preserve">Figure 3 – </w:t>
      </w:r>
      <w:r w:rsidR="00FE0D1E">
        <w:rPr>
          <w:rFonts w:asciiTheme="minorHAnsi" w:hAnsiTheme="minorHAnsi" w:cstheme="minorHAnsi"/>
          <w:i/>
          <w:iCs/>
          <w:sz w:val="22"/>
          <w:szCs w:val="22"/>
        </w:rPr>
        <w:t>Percentage c</w:t>
      </w:r>
      <w:r w:rsidRPr="00D6067C">
        <w:rPr>
          <w:rFonts w:asciiTheme="minorHAnsi" w:hAnsiTheme="minorHAnsi" w:cstheme="minorHAnsi"/>
          <w:i/>
          <w:iCs/>
          <w:sz w:val="22"/>
          <w:szCs w:val="22"/>
        </w:rPr>
        <w:t>hange in mobility to workplace</w:t>
      </w:r>
      <w:r w:rsidR="00AC1D2F">
        <w:rPr>
          <w:rFonts w:asciiTheme="minorHAnsi" w:hAnsiTheme="minorHAnsi" w:cstheme="minorHAnsi"/>
          <w:i/>
          <w:iCs/>
          <w:sz w:val="22"/>
          <w:szCs w:val="22"/>
        </w:rPr>
        <w:t>s</w:t>
      </w:r>
      <w:r w:rsidRPr="00D6067C">
        <w:rPr>
          <w:rFonts w:asciiTheme="minorHAnsi" w:hAnsiTheme="minorHAnsi" w:cstheme="minorHAnsi"/>
          <w:i/>
          <w:iCs/>
          <w:sz w:val="22"/>
          <w:szCs w:val="22"/>
        </w:rPr>
        <w:t xml:space="preserve"> in Australia and Sweden from 15.2.20 – 1.12.20</w:t>
      </w:r>
    </w:p>
    <w:p w14:paraId="29A418A2" w14:textId="094F595C" w:rsidR="00D6067C" w:rsidRDefault="00AD7818">
      <w:pPr>
        <w:rPr>
          <w:rFonts w:asciiTheme="minorHAnsi" w:hAnsiTheme="minorHAnsi" w:cstheme="minorHAnsi"/>
        </w:rPr>
      </w:pPr>
      <w:r>
        <w:rPr>
          <w:rFonts w:asciiTheme="minorHAnsi" w:hAnsiTheme="minorHAnsi" w:cstheme="minorHAnsi"/>
        </w:rPr>
        <w:lastRenderedPageBreak/>
        <w:t>The third mobility category examined was movement to re</w:t>
      </w:r>
      <w:r w:rsidR="00D6067C">
        <w:rPr>
          <w:rFonts w:asciiTheme="minorHAnsi" w:hAnsiTheme="minorHAnsi" w:cstheme="minorHAnsi"/>
        </w:rPr>
        <w:t>crea</w:t>
      </w:r>
      <w:r>
        <w:rPr>
          <w:rFonts w:asciiTheme="minorHAnsi" w:hAnsiTheme="minorHAnsi" w:cstheme="minorHAnsi"/>
        </w:rPr>
        <w:t xml:space="preserve">tional and retail areas.  </w:t>
      </w:r>
      <w:r w:rsidR="00D6067C">
        <w:rPr>
          <w:rFonts w:asciiTheme="minorHAnsi" w:hAnsiTheme="minorHAnsi" w:cstheme="minorHAnsi"/>
        </w:rPr>
        <w:t>This category also includes movement to restaurants and cafes.  As is evident in Figure 4, movement</w:t>
      </w:r>
      <w:r>
        <w:rPr>
          <w:rFonts w:asciiTheme="minorHAnsi" w:hAnsiTheme="minorHAnsi" w:cstheme="minorHAnsi"/>
        </w:rPr>
        <w:t xml:space="preserve"> to these areas was greater in Sweden compared with Australia until November at the commencement of the second wave</w:t>
      </w:r>
      <w:r w:rsidR="00D6067C">
        <w:rPr>
          <w:rFonts w:asciiTheme="minorHAnsi" w:hAnsiTheme="minorHAnsi" w:cstheme="minorHAnsi"/>
        </w:rPr>
        <w:t xml:space="preserve"> in Europe</w:t>
      </w:r>
      <w:r>
        <w:rPr>
          <w:rFonts w:asciiTheme="minorHAnsi" w:hAnsiTheme="minorHAnsi" w:cstheme="minorHAnsi"/>
        </w:rPr>
        <w:t>.  Australia had a mean decrease in mobility of -18.6%</w:t>
      </w:r>
      <w:r w:rsidR="00D6067C">
        <w:rPr>
          <w:rFonts w:asciiTheme="minorHAnsi" w:hAnsiTheme="minorHAnsi" w:cstheme="minorHAnsi"/>
        </w:rPr>
        <w:t xml:space="preserve"> to retail and recreation areas</w:t>
      </w:r>
      <w:r>
        <w:rPr>
          <w:rFonts w:asciiTheme="minorHAnsi" w:hAnsiTheme="minorHAnsi" w:cstheme="minorHAnsi"/>
        </w:rPr>
        <w:t xml:space="preserve"> compared to that of Sweden at -8.5%.  While both countries generally had mobility of less tha</w:t>
      </w:r>
      <w:r w:rsidR="00AC1D2F">
        <w:rPr>
          <w:rFonts w:asciiTheme="minorHAnsi" w:hAnsiTheme="minorHAnsi" w:cstheme="minorHAnsi"/>
        </w:rPr>
        <w:t>n</w:t>
      </w:r>
      <w:r>
        <w:rPr>
          <w:rFonts w:asciiTheme="minorHAnsi" w:hAnsiTheme="minorHAnsi" w:cstheme="minorHAnsi"/>
        </w:rPr>
        <w:t xml:space="preserve"> 0% this was </w:t>
      </w:r>
      <w:r w:rsidR="00D6067C">
        <w:rPr>
          <w:rFonts w:asciiTheme="minorHAnsi" w:hAnsiTheme="minorHAnsi" w:cstheme="minorHAnsi"/>
        </w:rPr>
        <w:t>not</w:t>
      </w:r>
      <w:r>
        <w:rPr>
          <w:rFonts w:asciiTheme="minorHAnsi" w:hAnsiTheme="minorHAnsi" w:cstheme="minorHAnsi"/>
        </w:rPr>
        <w:t xml:space="preserve"> the case for Sweden during the summer months where mobility percentages were greater than baseline.</w:t>
      </w:r>
      <w:r w:rsidR="00D6067C">
        <w:rPr>
          <w:rFonts w:asciiTheme="minorHAnsi" w:hAnsiTheme="minorHAnsi" w:cstheme="minorHAnsi"/>
        </w:rPr>
        <w:t xml:space="preserve">  Sharp declines were seen in both countries around Easter and in Sweden around the time of midsummer </w:t>
      </w:r>
      <w:r w:rsidR="002E53DD">
        <w:rPr>
          <w:rFonts w:asciiTheme="minorHAnsi" w:hAnsiTheme="minorHAnsi" w:cstheme="minorHAnsi"/>
        </w:rPr>
        <w:t xml:space="preserve">and summer solstice </w:t>
      </w:r>
      <w:r w:rsidR="00D6067C">
        <w:rPr>
          <w:rFonts w:asciiTheme="minorHAnsi" w:hAnsiTheme="minorHAnsi" w:cstheme="minorHAnsi"/>
        </w:rPr>
        <w:t>celebrations (Tomlin 2019).</w:t>
      </w:r>
    </w:p>
    <w:p w14:paraId="0A4C0622" w14:textId="40A695E8" w:rsidR="002F7F2F" w:rsidRDefault="002F7F2F" w:rsidP="002F7F2F">
      <w:pPr>
        <w:pStyle w:val="HTMLPreformatted"/>
        <w:shd w:val="clear" w:color="auto" w:fill="FFFFFF"/>
        <w:rPr>
          <w:color w:val="212121"/>
        </w:rPr>
      </w:pPr>
    </w:p>
    <w:p w14:paraId="22C55516" w14:textId="68708D4E" w:rsidR="00AD7818" w:rsidRPr="00D6067C" w:rsidRDefault="002F7F2F" w:rsidP="002F7F2F">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14:anchorId="5110BDBE" wp14:editId="2C0F77B8">
            <wp:extent cx="3014133" cy="2120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119" cy="2123537"/>
                    </a:xfrm>
                    <a:prstGeom prst="rect">
                      <a:avLst/>
                    </a:prstGeom>
                    <a:noFill/>
                    <a:ln>
                      <a:noFill/>
                    </a:ln>
                  </pic:spPr>
                </pic:pic>
              </a:graphicData>
            </a:graphic>
          </wp:inline>
        </w:drawing>
      </w:r>
    </w:p>
    <w:p w14:paraId="4463AA12" w14:textId="55903AE5" w:rsidR="00AD7818" w:rsidRPr="00D6067C" w:rsidRDefault="00AD7818" w:rsidP="00D6067C">
      <w:pPr>
        <w:jc w:val="center"/>
        <w:rPr>
          <w:rFonts w:asciiTheme="minorHAnsi" w:hAnsiTheme="minorHAnsi" w:cstheme="minorHAnsi"/>
          <w:i/>
          <w:iCs/>
          <w:sz w:val="22"/>
          <w:szCs w:val="22"/>
        </w:rPr>
      </w:pPr>
      <w:r w:rsidRPr="00D6067C">
        <w:rPr>
          <w:rFonts w:asciiTheme="minorHAnsi" w:hAnsiTheme="minorHAnsi" w:cstheme="minorHAnsi"/>
          <w:i/>
          <w:iCs/>
          <w:sz w:val="22"/>
          <w:szCs w:val="22"/>
        </w:rPr>
        <w:t xml:space="preserve">Figure 4 – </w:t>
      </w:r>
      <w:r w:rsidR="00FE0D1E">
        <w:rPr>
          <w:rFonts w:asciiTheme="minorHAnsi" w:hAnsiTheme="minorHAnsi" w:cstheme="minorHAnsi"/>
          <w:i/>
          <w:iCs/>
          <w:sz w:val="22"/>
          <w:szCs w:val="22"/>
        </w:rPr>
        <w:t>Percentage c</w:t>
      </w:r>
      <w:r w:rsidRPr="00D6067C">
        <w:rPr>
          <w:rFonts w:asciiTheme="minorHAnsi" w:hAnsiTheme="minorHAnsi" w:cstheme="minorHAnsi"/>
          <w:i/>
          <w:iCs/>
          <w:sz w:val="22"/>
          <w:szCs w:val="22"/>
        </w:rPr>
        <w:t xml:space="preserve">hange in mobility to retail and </w:t>
      </w:r>
      <w:r w:rsidR="002F7F2F">
        <w:rPr>
          <w:rFonts w:asciiTheme="minorHAnsi" w:hAnsiTheme="minorHAnsi" w:cstheme="minorHAnsi"/>
          <w:i/>
          <w:iCs/>
          <w:sz w:val="22"/>
          <w:szCs w:val="22"/>
        </w:rPr>
        <w:t>recreational</w:t>
      </w:r>
      <w:r w:rsidRPr="00D6067C">
        <w:rPr>
          <w:rFonts w:asciiTheme="minorHAnsi" w:hAnsiTheme="minorHAnsi" w:cstheme="minorHAnsi"/>
          <w:i/>
          <w:iCs/>
          <w:sz w:val="22"/>
          <w:szCs w:val="22"/>
        </w:rPr>
        <w:t xml:space="preserve"> </w:t>
      </w:r>
      <w:r w:rsidR="00AC1D2F">
        <w:rPr>
          <w:rFonts w:asciiTheme="minorHAnsi" w:hAnsiTheme="minorHAnsi" w:cstheme="minorHAnsi"/>
          <w:i/>
          <w:iCs/>
          <w:sz w:val="22"/>
          <w:szCs w:val="22"/>
        </w:rPr>
        <w:t xml:space="preserve">areas </w:t>
      </w:r>
      <w:r w:rsidRPr="00D6067C">
        <w:rPr>
          <w:rFonts w:asciiTheme="minorHAnsi" w:hAnsiTheme="minorHAnsi" w:cstheme="minorHAnsi"/>
          <w:i/>
          <w:iCs/>
          <w:sz w:val="22"/>
          <w:szCs w:val="22"/>
        </w:rPr>
        <w:t>in Australia and Sweden from 15.2.20 – 1.12.20</w:t>
      </w:r>
    </w:p>
    <w:p w14:paraId="1D3DC3B9" w14:textId="77777777" w:rsidR="009E2BFE" w:rsidRDefault="009E2BFE">
      <w:pPr>
        <w:rPr>
          <w:rFonts w:asciiTheme="minorHAnsi" w:hAnsiTheme="minorHAnsi" w:cstheme="minorHAnsi"/>
        </w:rPr>
      </w:pPr>
    </w:p>
    <w:p w14:paraId="34F74763" w14:textId="0349E72E" w:rsidR="002F7F2F" w:rsidRDefault="00AD7818">
      <w:pPr>
        <w:rPr>
          <w:rFonts w:asciiTheme="minorHAnsi" w:hAnsiTheme="minorHAnsi" w:cstheme="minorHAnsi"/>
        </w:rPr>
      </w:pPr>
      <w:r>
        <w:rPr>
          <w:rFonts w:asciiTheme="minorHAnsi" w:hAnsiTheme="minorHAnsi" w:cstheme="minorHAnsi"/>
        </w:rPr>
        <w:t xml:space="preserve">Movement </w:t>
      </w:r>
      <w:r w:rsidR="00AC1D2F">
        <w:rPr>
          <w:rFonts w:asciiTheme="minorHAnsi" w:hAnsiTheme="minorHAnsi" w:cstheme="minorHAnsi"/>
        </w:rPr>
        <w:t>for</w:t>
      </w:r>
      <w:r>
        <w:rPr>
          <w:rFonts w:asciiTheme="minorHAnsi" w:hAnsiTheme="minorHAnsi" w:cstheme="minorHAnsi"/>
        </w:rPr>
        <w:t xml:space="preserve"> groceries and pharmacies was similar in both countries which is not unexpected given the need for these essential items.  The mean change in mobility to grocery and pharmacy for Australia was -1.65% and for Sweden -0.93%.  Australia had a spike in mobility for grocery and pharmacy in March in conjunction with panic buying experienced in </w:t>
      </w:r>
      <w:r w:rsidR="00AC1D2F">
        <w:rPr>
          <w:rFonts w:asciiTheme="minorHAnsi" w:hAnsiTheme="minorHAnsi" w:cstheme="minorHAnsi"/>
        </w:rPr>
        <w:t>the country</w:t>
      </w:r>
      <w:r w:rsidR="00D6067C">
        <w:rPr>
          <w:rFonts w:asciiTheme="minorHAnsi" w:hAnsiTheme="minorHAnsi" w:cstheme="minorHAnsi"/>
        </w:rPr>
        <w:t xml:space="preserve"> at the start of the pandemic</w:t>
      </w:r>
      <w:r>
        <w:rPr>
          <w:rFonts w:asciiTheme="minorHAnsi" w:hAnsiTheme="minorHAnsi" w:cstheme="minorHAnsi"/>
        </w:rPr>
        <w:t xml:space="preserve">.  Sweden had </w:t>
      </w:r>
      <w:r w:rsidR="00D6067C">
        <w:rPr>
          <w:rFonts w:asciiTheme="minorHAnsi" w:hAnsiTheme="minorHAnsi" w:cstheme="minorHAnsi"/>
        </w:rPr>
        <w:t xml:space="preserve">a sharp decrease </w:t>
      </w:r>
      <w:r w:rsidR="00AC1D2F">
        <w:rPr>
          <w:rFonts w:asciiTheme="minorHAnsi" w:hAnsiTheme="minorHAnsi" w:cstheme="minorHAnsi"/>
        </w:rPr>
        <w:t>in</w:t>
      </w:r>
      <w:r>
        <w:rPr>
          <w:rFonts w:asciiTheme="minorHAnsi" w:hAnsiTheme="minorHAnsi" w:cstheme="minorHAnsi"/>
        </w:rPr>
        <w:t xml:space="preserve"> mobility </w:t>
      </w:r>
      <w:r w:rsidR="00AC1D2F">
        <w:rPr>
          <w:rFonts w:asciiTheme="minorHAnsi" w:hAnsiTheme="minorHAnsi" w:cstheme="minorHAnsi"/>
        </w:rPr>
        <w:t>for</w:t>
      </w:r>
      <w:r>
        <w:rPr>
          <w:rFonts w:asciiTheme="minorHAnsi" w:hAnsiTheme="minorHAnsi" w:cstheme="minorHAnsi"/>
        </w:rPr>
        <w:t xml:space="preserve"> grocery and pharmacy at the end of June which may be in conjunction with the large celebrations experienced for midsummer and the summer solstice, a major event</w:t>
      </w:r>
      <w:r w:rsidR="002E53DD">
        <w:rPr>
          <w:rFonts w:asciiTheme="minorHAnsi" w:hAnsiTheme="minorHAnsi" w:cstheme="minorHAnsi"/>
        </w:rPr>
        <w:t xml:space="preserve"> and holiday</w:t>
      </w:r>
      <w:r>
        <w:rPr>
          <w:rFonts w:asciiTheme="minorHAnsi" w:hAnsiTheme="minorHAnsi" w:cstheme="minorHAnsi"/>
        </w:rPr>
        <w:t xml:space="preserve"> in the country (Tomlin, 2019).</w:t>
      </w:r>
    </w:p>
    <w:p w14:paraId="45367866" w14:textId="77777777" w:rsidR="002F7F2F" w:rsidRDefault="002F7F2F">
      <w:pPr>
        <w:rPr>
          <w:rFonts w:asciiTheme="minorHAnsi" w:hAnsiTheme="minorHAnsi" w:cstheme="minorHAnsi"/>
        </w:rPr>
      </w:pPr>
    </w:p>
    <w:p w14:paraId="0C676BEA" w14:textId="6B8CC4A7" w:rsidR="00D6067C" w:rsidRDefault="002F7F2F" w:rsidP="002F7F2F">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14:anchorId="0E4D7535" wp14:editId="7C772EC3">
            <wp:extent cx="3005667" cy="20938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5667" cy="2093811"/>
                    </a:xfrm>
                    <a:prstGeom prst="rect">
                      <a:avLst/>
                    </a:prstGeom>
                    <a:noFill/>
                    <a:ln>
                      <a:noFill/>
                    </a:ln>
                  </pic:spPr>
                </pic:pic>
              </a:graphicData>
            </a:graphic>
          </wp:inline>
        </w:drawing>
      </w:r>
    </w:p>
    <w:p w14:paraId="436156CD" w14:textId="4572BBCC" w:rsidR="00AD7818" w:rsidRPr="00D6067C" w:rsidRDefault="00AD7818" w:rsidP="00D6067C">
      <w:pPr>
        <w:jc w:val="center"/>
        <w:rPr>
          <w:rFonts w:asciiTheme="minorHAnsi" w:hAnsiTheme="minorHAnsi" w:cstheme="minorHAnsi"/>
          <w:i/>
          <w:iCs/>
          <w:sz w:val="22"/>
          <w:szCs w:val="22"/>
        </w:rPr>
      </w:pPr>
      <w:r w:rsidRPr="00D6067C">
        <w:rPr>
          <w:rFonts w:asciiTheme="minorHAnsi" w:hAnsiTheme="minorHAnsi" w:cstheme="minorHAnsi"/>
          <w:i/>
          <w:iCs/>
          <w:sz w:val="22"/>
          <w:szCs w:val="22"/>
        </w:rPr>
        <w:t xml:space="preserve">Figure 5 – </w:t>
      </w:r>
      <w:r w:rsidR="00FE0D1E">
        <w:rPr>
          <w:rFonts w:asciiTheme="minorHAnsi" w:hAnsiTheme="minorHAnsi" w:cstheme="minorHAnsi"/>
          <w:i/>
          <w:iCs/>
          <w:sz w:val="22"/>
          <w:szCs w:val="22"/>
        </w:rPr>
        <w:t>Percentage c</w:t>
      </w:r>
      <w:r w:rsidRPr="00D6067C">
        <w:rPr>
          <w:rFonts w:asciiTheme="minorHAnsi" w:hAnsiTheme="minorHAnsi" w:cstheme="minorHAnsi"/>
          <w:i/>
          <w:iCs/>
          <w:sz w:val="22"/>
          <w:szCs w:val="22"/>
        </w:rPr>
        <w:t xml:space="preserve">hange in mobility </w:t>
      </w:r>
      <w:r w:rsidR="00AC1D2F">
        <w:rPr>
          <w:rFonts w:asciiTheme="minorHAnsi" w:hAnsiTheme="minorHAnsi" w:cstheme="minorHAnsi"/>
          <w:i/>
          <w:iCs/>
          <w:sz w:val="22"/>
          <w:szCs w:val="22"/>
        </w:rPr>
        <w:t>for</w:t>
      </w:r>
      <w:r w:rsidRPr="00D6067C">
        <w:rPr>
          <w:rFonts w:asciiTheme="minorHAnsi" w:hAnsiTheme="minorHAnsi" w:cstheme="minorHAnsi"/>
          <w:i/>
          <w:iCs/>
          <w:sz w:val="22"/>
          <w:szCs w:val="22"/>
        </w:rPr>
        <w:t xml:space="preserve"> grocery and pharmacy in Australia and Sweden from 15.2.20 – 1.12.20</w:t>
      </w:r>
    </w:p>
    <w:p w14:paraId="598F28C0" w14:textId="0635BEDC" w:rsidR="00AD7818" w:rsidRDefault="00AD7818">
      <w:pPr>
        <w:rPr>
          <w:rFonts w:asciiTheme="minorHAnsi" w:hAnsiTheme="minorHAnsi" w:cstheme="minorHAnsi"/>
        </w:rPr>
      </w:pPr>
      <w:r>
        <w:rPr>
          <w:rFonts w:asciiTheme="minorHAnsi" w:hAnsiTheme="minorHAnsi" w:cstheme="minorHAnsi"/>
        </w:rPr>
        <w:lastRenderedPageBreak/>
        <w:t>Movement to public transit stations was reduced for both countries compared to baseline often significantly however this reduction was greater for Australia</w:t>
      </w:r>
      <w:r w:rsidR="00D6067C">
        <w:rPr>
          <w:rFonts w:asciiTheme="minorHAnsi" w:hAnsiTheme="minorHAnsi" w:cstheme="minorHAnsi"/>
        </w:rPr>
        <w:t xml:space="preserve"> when</w:t>
      </w:r>
      <w:r>
        <w:rPr>
          <w:rFonts w:asciiTheme="minorHAnsi" w:hAnsiTheme="minorHAnsi" w:cstheme="minorHAnsi"/>
        </w:rPr>
        <w:t xml:space="preserve"> compared to Sweden.  Australia had a mean reduction of -39.06% and Sweden of -25.51%.  Sweden had a greater variation in movement, particularly over the summer months when people </w:t>
      </w:r>
      <w:r w:rsidR="00D6067C">
        <w:rPr>
          <w:rFonts w:asciiTheme="minorHAnsi" w:hAnsiTheme="minorHAnsi" w:cstheme="minorHAnsi"/>
        </w:rPr>
        <w:t>are likely to</w:t>
      </w:r>
      <w:r>
        <w:rPr>
          <w:rFonts w:asciiTheme="minorHAnsi" w:hAnsiTheme="minorHAnsi" w:cstheme="minorHAnsi"/>
        </w:rPr>
        <w:t xml:space="preserve"> venture out </w:t>
      </w:r>
      <w:r w:rsidR="002E53DD">
        <w:rPr>
          <w:rFonts w:asciiTheme="minorHAnsi" w:hAnsiTheme="minorHAnsi" w:cstheme="minorHAnsi"/>
        </w:rPr>
        <w:t>and when restrictions in Europe were more relaxed.  H</w:t>
      </w:r>
      <w:r>
        <w:rPr>
          <w:rFonts w:asciiTheme="minorHAnsi" w:hAnsiTheme="minorHAnsi" w:cstheme="minorHAnsi"/>
        </w:rPr>
        <w:t>owever movement in Sweden then reduce</w:t>
      </w:r>
      <w:r w:rsidR="002E53DD">
        <w:rPr>
          <w:rFonts w:asciiTheme="minorHAnsi" w:hAnsiTheme="minorHAnsi" w:cstheme="minorHAnsi"/>
        </w:rPr>
        <w:t>d</w:t>
      </w:r>
      <w:r>
        <w:rPr>
          <w:rFonts w:asciiTheme="minorHAnsi" w:hAnsiTheme="minorHAnsi" w:cstheme="minorHAnsi"/>
        </w:rPr>
        <w:t xml:space="preserve"> to less than that of Australia</w:t>
      </w:r>
      <w:r w:rsidR="002E53DD">
        <w:rPr>
          <w:rFonts w:asciiTheme="minorHAnsi" w:hAnsiTheme="minorHAnsi" w:cstheme="minorHAnsi"/>
        </w:rPr>
        <w:t xml:space="preserve"> in November coinciding with</w:t>
      </w:r>
      <w:r w:rsidR="00AC1D2F">
        <w:rPr>
          <w:rFonts w:asciiTheme="minorHAnsi" w:hAnsiTheme="minorHAnsi" w:cstheme="minorHAnsi"/>
        </w:rPr>
        <w:t xml:space="preserve"> winter and</w:t>
      </w:r>
      <w:r w:rsidR="002E53DD">
        <w:rPr>
          <w:rFonts w:asciiTheme="minorHAnsi" w:hAnsiTheme="minorHAnsi" w:cstheme="minorHAnsi"/>
        </w:rPr>
        <w:t xml:space="preserve"> </w:t>
      </w:r>
      <w:r>
        <w:rPr>
          <w:rFonts w:asciiTheme="minorHAnsi" w:hAnsiTheme="minorHAnsi" w:cstheme="minorHAnsi"/>
        </w:rPr>
        <w:t>the second wave</w:t>
      </w:r>
      <w:r w:rsidR="002E53DD">
        <w:rPr>
          <w:rFonts w:asciiTheme="minorHAnsi" w:hAnsiTheme="minorHAnsi" w:cstheme="minorHAnsi"/>
        </w:rPr>
        <w:t xml:space="preserve"> on infection in Europe</w:t>
      </w:r>
      <w:r>
        <w:rPr>
          <w:rFonts w:asciiTheme="minorHAnsi" w:hAnsiTheme="minorHAnsi" w:cstheme="minorHAnsi"/>
        </w:rPr>
        <w:t xml:space="preserve"> where restrictions were increased</w:t>
      </w:r>
      <w:r w:rsidR="00AC1D2F">
        <w:rPr>
          <w:rFonts w:asciiTheme="minorHAnsi" w:hAnsiTheme="minorHAnsi" w:cstheme="minorHAnsi"/>
        </w:rPr>
        <w:t>.</w:t>
      </w:r>
    </w:p>
    <w:p w14:paraId="56E7A256" w14:textId="77777777" w:rsidR="00AC1D2F" w:rsidRDefault="00AC1D2F">
      <w:pPr>
        <w:rPr>
          <w:rFonts w:asciiTheme="minorHAnsi" w:hAnsiTheme="minorHAnsi" w:cstheme="minorHAnsi"/>
        </w:rPr>
      </w:pPr>
    </w:p>
    <w:p w14:paraId="66ED16EA" w14:textId="00509A36" w:rsidR="00D6067C" w:rsidRDefault="00C01352" w:rsidP="00C01352">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14:anchorId="62931119" wp14:editId="07AB4D4A">
            <wp:extent cx="2921000" cy="2122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0185" cy="2129512"/>
                    </a:xfrm>
                    <a:prstGeom prst="rect">
                      <a:avLst/>
                    </a:prstGeom>
                    <a:noFill/>
                    <a:ln>
                      <a:noFill/>
                    </a:ln>
                  </pic:spPr>
                </pic:pic>
              </a:graphicData>
            </a:graphic>
          </wp:inline>
        </w:drawing>
      </w:r>
    </w:p>
    <w:p w14:paraId="252C2699" w14:textId="69B4430C" w:rsidR="00AD7818" w:rsidRPr="00D6067C" w:rsidRDefault="00AD7818" w:rsidP="00D6067C">
      <w:pPr>
        <w:jc w:val="center"/>
        <w:rPr>
          <w:rFonts w:asciiTheme="minorHAnsi" w:hAnsiTheme="minorHAnsi" w:cstheme="minorHAnsi"/>
          <w:i/>
          <w:iCs/>
          <w:sz w:val="22"/>
          <w:szCs w:val="22"/>
        </w:rPr>
      </w:pPr>
      <w:r w:rsidRPr="00D6067C">
        <w:rPr>
          <w:rFonts w:asciiTheme="minorHAnsi" w:hAnsiTheme="minorHAnsi" w:cstheme="minorHAnsi"/>
          <w:i/>
          <w:iCs/>
          <w:sz w:val="22"/>
          <w:szCs w:val="22"/>
        </w:rPr>
        <w:t xml:space="preserve">Figure 6 – </w:t>
      </w:r>
      <w:r w:rsidR="00FE0D1E">
        <w:rPr>
          <w:rFonts w:asciiTheme="minorHAnsi" w:hAnsiTheme="minorHAnsi" w:cstheme="minorHAnsi"/>
          <w:i/>
          <w:iCs/>
          <w:sz w:val="22"/>
          <w:szCs w:val="22"/>
        </w:rPr>
        <w:t>Percentage c</w:t>
      </w:r>
      <w:r w:rsidRPr="00D6067C">
        <w:rPr>
          <w:rFonts w:asciiTheme="minorHAnsi" w:hAnsiTheme="minorHAnsi" w:cstheme="minorHAnsi"/>
          <w:i/>
          <w:iCs/>
          <w:sz w:val="22"/>
          <w:szCs w:val="22"/>
        </w:rPr>
        <w:t>hange in mobility to public transit stations in Australia and Sweden from 15.2.20 – 1.12.20</w:t>
      </w:r>
    </w:p>
    <w:p w14:paraId="25C53F7D" w14:textId="77777777" w:rsidR="00AD7818" w:rsidRDefault="00AD7818">
      <w:pPr>
        <w:rPr>
          <w:rFonts w:asciiTheme="minorHAnsi" w:hAnsiTheme="minorHAnsi" w:cstheme="minorHAnsi"/>
        </w:rPr>
      </w:pPr>
    </w:p>
    <w:p w14:paraId="304AB991" w14:textId="320C6585" w:rsidR="009E2BFE" w:rsidRDefault="00AD7818">
      <w:pPr>
        <w:rPr>
          <w:rFonts w:asciiTheme="minorHAnsi" w:hAnsiTheme="minorHAnsi" w:cstheme="minorHAnsi"/>
        </w:rPr>
      </w:pPr>
      <w:r>
        <w:rPr>
          <w:rFonts w:asciiTheme="minorHAnsi" w:hAnsiTheme="minorHAnsi" w:cstheme="minorHAnsi"/>
        </w:rPr>
        <w:t>The final mobility category examined was movement to parks which include</w:t>
      </w:r>
      <w:r w:rsidR="00FE0D1E">
        <w:rPr>
          <w:rFonts w:asciiTheme="minorHAnsi" w:hAnsiTheme="minorHAnsi" w:cstheme="minorHAnsi"/>
        </w:rPr>
        <w:t>s</w:t>
      </w:r>
      <w:r>
        <w:rPr>
          <w:rFonts w:asciiTheme="minorHAnsi" w:hAnsiTheme="minorHAnsi" w:cstheme="minorHAnsi"/>
        </w:rPr>
        <w:t xml:space="preserve"> city and national parks as well as beach areas.  Some significant differences were seen in mobility to these areas between the two countries.  Movement to parks in Australia decreased by an average of -14.86% across the year with a maximum increase of 20%.  Sweden however had a marked increase in movement to parks from baseline.  The country experienced an average of 102% increase from baseline with a maximum increase of 380%.  It should be noted that these increases were predominantly noted in the summer months</w:t>
      </w:r>
      <w:r w:rsidR="002E53DD">
        <w:rPr>
          <w:rFonts w:asciiTheme="minorHAnsi" w:hAnsiTheme="minorHAnsi" w:cstheme="minorHAnsi"/>
        </w:rPr>
        <w:t>.  During this time better weather conditions will encourage people to venture out compared to the cold winters experienced in Europe and furthermore restrictions were generally more relaxed in Europe during the summer. However is should also be noted</w:t>
      </w:r>
      <w:r>
        <w:rPr>
          <w:rFonts w:asciiTheme="minorHAnsi" w:hAnsiTheme="minorHAnsi" w:cstheme="minorHAnsi"/>
        </w:rPr>
        <w:t xml:space="preserve"> that the baseline mobility level for the Google mobility data was calculated during winter.  Given the significant differences in weather between Swedish summers and winters this may in turn affect results.</w:t>
      </w:r>
    </w:p>
    <w:p w14:paraId="192B9064" w14:textId="77777777" w:rsidR="00AC1D2F" w:rsidRDefault="00AC1D2F">
      <w:pPr>
        <w:rPr>
          <w:rFonts w:asciiTheme="minorHAnsi" w:hAnsiTheme="minorHAnsi" w:cstheme="minorHAnsi"/>
        </w:rPr>
      </w:pPr>
    </w:p>
    <w:p w14:paraId="6479F8C9" w14:textId="6A5C6DBD" w:rsidR="00AD7818" w:rsidRPr="00D6067C" w:rsidRDefault="00C01352" w:rsidP="00C01352">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14:anchorId="3FCDEAD0" wp14:editId="6BDD06B9">
            <wp:extent cx="2844800" cy="20741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509" cy="2082736"/>
                    </a:xfrm>
                    <a:prstGeom prst="rect">
                      <a:avLst/>
                    </a:prstGeom>
                    <a:noFill/>
                    <a:ln>
                      <a:noFill/>
                    </a:ln>
                  </pic:spPr>
                </pic:pic>
              </a:graphicData>
            </a:graphic>
          </wp:inline>
        </w:drawing>
      </w:r>
    </w:p>
    <w:p w14:paraId="2CFF5F61" w14:textId="26CBD157" w:rsidR="00AD7818" w:rsidRPr="00D6067C" w:rsidRDefault="00AD7818" w:rsidP="00D6067C">
      <w:pPr>
        <w:jc w:val="center"/>
        <w:rPr>
          <w:rFonts w:asciiTheme="minorHAnsi" w:hAnsiTheme="minorHAnsi" w:cstheme="minorHAnsi"/>
          <w:i/>
          <w:iCs/>
          <w:sz w:val="22"/>
          <w:szCs w:val="22"/>
        </w:rPr>
      </w:pPr>
      <w:r w:rsidRPr="00D6067C">
        <w:rPr>
          <w:rFonts w:asciiTheme="minorHAnsi" w:hAnsiTheme="minorHAnsi" w:cstheme="minorHAnsi"/>
          <w:i/>
          <w:iCs/>
          <w:sz w:val="22"/>
          <w:szCs w:val="22"/>
        </w:rPr>
        <w:t xml:space="preserve">Figure 7 – </w:t>
      </w:r>
      <w:r w:rsidR="00FE0D1E">
        <w:rPr>
          <w:rFonts w:asciiTheme="minorHAnsi" w:hAnsiTheme="minorHAnsi" w:cstheme="minorHAnsi"/>
          <w:i/>
          <w:iCs/>
          <w:sz w:val="22"/>
          <w:szCs w:val="22"/>
        </w:rPr>
        <w:t>Percentage c</w:t>
      </w:r>
      <w:r w:rsidRPr="00D6067C">
        <w:rPr>
          <w:rFonts w:asciiTheme="minorHAnsi" w:hAnsiTheme="minorHAnsi" w:cstheme="minorHAnsi"/>
          <w:i/>
          <w:iCs/>
          <w:sz w:val="22"/>
          <w:szCs w:val="22"/>
        </w:rPr>
        <w:t>hange in mobility to the parks in Australia and Sweden from 15.2.20 – 1.12.20</w:t>
      </w:r>
    </w:p>
    <w:p w14:paraId="4A44CBC9" w14:textId="3309B290" w:rsidR="002E6653" w:rsidRDefault="00B83A55">
      <w:pPr>
        <w:rPr>
          <w:rFonts w:asciiTheme="minorHAnsi" w:hAnsiTheme="minorHAnsi" w:cstheme="minorHAnsi"/>
        </w:rPr>
      </w:pPr>
      <w:r>
        <w:rPr>
          <w:rFonts w:asciiTheme="minorHAnsi" w:hAnsiTheme="minorHAnsi" w:cstheme="minorHAnsi"/>
        </w:rPr>
        <w:lastRenderedPageBreak/>
        <w:t>When examining the COVID-19 case data between Australia and Sweden up until December 1</w:t>
      </w:r>
      <w:r w:rsidRPr="00B83A55">
        <w:rPr>
          <w:rFonts w:asciiTheme="minorHAnsi" w:hAnsiTheme="minorHAnsi" w:cstheme="minorHAnsi"/>
          <w:vertAlign w:val="superscript"/>
        </w:rPr>
        <w:t>st</w:t>
      </w:r>
      <w:r>
        <w:rPr>
          <w:rFonts w:asciiTheme="minorHAnsi" w:hAnsiTheme="minorHAnsi" w:cstheme="minorHAnsi"/>
        </w:rPr>
        <w:t xml:space="preserve">, 2020, </w:t>
      </w:r>
      <w:r w:rsidR="00AC1D2F">
        <w:rPr>
          <w:rFonts w:asciiTheme="minorHAnsi" w:hAnsiTheme="minorHAnsi" w:cstheme="minorHAnsi"/>
        </w:rPr>
        <w:t xml:space="preserve">it is clear that </w:t>
      </w:r>
      <w:r>
        <w:rPr>
          <w:rFonts w:asciiTheme="minorHAnsi" w:hAnsiTheme="minorHAnsi" w:cstheme="minorHAnsi"/>
        </w:rPr>
        <w:t>Australia has been more successful at managing</w:t>
      </w:r>
      <w:r w:rsidR="00AC1D2F">
        <w:rPr>
          <w:rFonts w:asciiTheme="minorHAnsi" w:hAnsiTheme="minorHAnsi" w:cstheme="minorHAnsi"/>
        </w:rPr>
        <w:t xml:space="preserve"> the rate of</w:t>
      </w:r>
      <w:r>
        <w:rPr>
          <w:rFonts w:asciiTheme="minorHAnsi" w:hAnsiTheme="minorHAnsi" w:cstheme="minorHAnsi"/>
        </w:rPr>
        <w:t xml:space="preserve"> COVID-19 infections.  The total number of cases in Australia at that time had reached 27,923 cases with a total cases per million of population of 1095.03</w:t>
      </w:r>
      <w:r w:rsidR="00AC1D2F">
        <w:rPr>
          <w:rFonts w:asciiTheme="minorHAnsi" w:hAnsiTheme="minorHAnsi" w:cstheme="minorHAnsi"/>
        </w:rPr>
        <w:t>.</w:t>
      </w:r>
      <w:r>
        <w:rPr>
          <w:rFonts w:asciiTheme="minorHAnsi" w:hAnsiTheme="minorHAnsi" w:cstheme="minorHAnsi"/>
        </w:rPr>
        <w:t xml:space="preserve"> </w:t>
      </w:r>
      <w:r w:rsidR="00AC1D2F">
        <w:rPr>
          <w:rFonts w:asciiTheme="minorHAnsi" w:hAnsiTheme="minorHAnsi" w:cstheme="minorHAnsi"/>
        </w:rPr>
        <w:t>Sweden however had a</w:t>
      </w:r>
      <w:r>
        <w:rPr>
          <w:rFonts w:asciiTheme="minorHAnsi" w:hAnsiTheme="minorHAnsi" w:cstheme="minorHAnsi"/>
        </w:rPr>
        <w:t xml:space="preserve"> total </w:t>
      </w:r>
      <w:r w:rsidR="002E53DD">
        <w:rPr>
          <w:rFonts w:asciiTheme="minorHAnsi" w:hAnsiTheme="minorHAnsi" w:cstheme="minorHAnsi"/>
        </w:rPr>
        <w:t xml:space="preserve">case </w:t>
      </w:r>
      <w:r>
        <w:rPr>
          <w:rFonts w:asciiTheme="minorHAnsi" w:hAnsiTheme="minorHAnsi" w:cstheme="minorHAnsi"/>
        </w:rPr>
        <w:t>number of 260,758 with total cases per million of 25,819.49.  Australia in turn has a population o</w:t>
      </w:r>
      <w:r w:rsidR="00AC1D2F">
        <w:rPr>
          <w:rFonts w:asciiTheme="minorHAnsi" w:hAnsiTheme="minorHAnsi" w:cstheme="minorHAnsi"/>
        </w:rPr>
        <w:t xml:space="preserve">f around </w:t>
      </w:r>
      <w:r>
        <w:rPr>
          <w:rFonts w:asciiTheme="minorHAnsi" w:hAnsiTheme="minorHAnsi" w:cstheme="minorHAnsi"/>
        </w:rPr>
        <w:t xml:space="preserve">2.5 times that of Sweden at approximately 26 million compared to Sweden at 10 million however it </w:t>
      </w:r>
      <w:r w:rsidR="002E53DD">
        <w:rPr>
          <w:rFonts w:asciiTheme="minorHAnsi" w:hAnsiTheme="minorHAnsi" w:cstheme="minorHAnsi"/>
        </w:rPr>
        <w:t>is</w:t>
      </w:r>
      <w:r>
        <w:rPr>
          <w:rFonts w:asciiTheme="minorHAnsi" w:hAnsiTheme="minorHAnsi" w:cstheme="minorHAnsi"/>
        </w:rPr>
        <w:t xml:space="preserve"> important to remember than Australia’s population </w:t>
      </w:r>
      <w:r w:rsidR="002E53DD">
        <w:rPr>
          <w:rFonts w:asciiTheme="minorHAnsi" w:hAnsiTheme="minorHAnsi" w:cstheme="minorHAnsi"/>
        </w:rPr>
        <w:t>i</w:t>
      </w:r>
      <w:r>
        <w:rPr>
          <w:rFonts w:asciiTheme="minorHAnsi" w:hAnsiTheme="minorHAnsi" w:cstheme="minorHAnsi"/>
        </w:rPr>
        <w:t>s spread widely over a large land mass when considering its</w:t>
      </w:r>
      <w:r w:rsidR="002E53DD">
        <w:rPr>
          <w:rFonts w:asciiTheme="minorHAnsi" w:hAnsiTheme="minorHAnsi" w:cstheme="minorHAnsi"/>
        </w:rPr>
        <w:t xml:space="preserve"> average</w:t>
      </w:r>
      <w:r>
        <w:rPr>
          <w:rFonts w:asciiTheme="minorHAnsi" w:hAnsiTheme="minorHAnsi" w:cstheme="minorHAnsi"/>
        </w:rPr>
        <w:t xml:space="preserve"> population density of</w:t>
      </w:r>
      <w:r w:rsidR="002E53DD">
        <w:rPr>
          <w:rFonts w:asciiTheme="minorHAnsi" w:hAnsiTheme="minorHAnsi" w:cstheme="minorHAnsi"/>
        </w:rPr>
        <w:t xml:space="preserve"> 3.202 people per square kilometre</w:t>
      </w:r>
      <w:r>
        <w:rPr>
          <w:rFonts w:asciiTheme="minorHAnsi" w:hAnsiTheme="minorHAnsi" w:cstheme="minorHAnsi"/>
        </w:rPr>
        <w:t xml:space="preserve"> compared with Sweden of </w:t>
      </w:r>
      <w:r w:rsidR="002E53DD">
        <w:rPr>
          <w:rFonts w:asciiTheme="minorHAnsi" w:hAnsiTheme="minorHAnsi" w:cstheme="minorHAnsi"/>
        </w:rPr>
        <w:t xml:space="preserve">24.178 </w:t>
      </w:r>
      <w:r>
        <w:rPr>
          <w:rFonts w:asciiTheme="minorHAnsi" w:hAnsiTheme="minorHAnsi" w:cstheme="minorHAnsi"/>
        </w:rPr>
        <w:t xml:space="preserve">which will affect management of the spread of COVID-19.  The data </w:t>
      </w:r>
      <w:r w:rsidR="002E53DD">
        <w:rPr>
          <w:rFonts w:asciiTheme="minorHAnsi" w:hAnsiTheme="minorHAnsi" w:cstheme="minorHAnsi"/>
        </w:rPr>
        <w:t>also</w:t>
      </w:r>
      <w:r>
        <w:rPr>
          <w:rFonts w:asciiTheme="minorHAnsi" w:hAnsiTheme="minorHAnsi" w:cstheme="minorHAnsi"/>
        </w:rPr>
        <w:t xml:space="preserve"> highlights that despite</w:t>
      </w:r>
      <w:r w:rsidR="00AC1D2F">
        <w:rPr>
          <w:rFonts w:asciiTheme="minorHAnsi" w:hAnsiTheme="minorHAnsi" w:cstheme="minorHAnsi"/>
        </w:rPr>
        <w:t xml:space="preserve"> Sweden having</w:t>
      </w:r>
      <w:r>
        <w:rPr>
          <w:rFonts w:asciiTheme="minorHAnsi" w:hAnsiTheme="minorHAnsi" w:cstheme="minorHAnsi"/>
        </w:rPr>
        <w:t xml:space="preserve"> some restrictions which in turn did lead to voluntary lockdowns as a result of public compliance to recommendations</w:t>
      </w:r>
      <w:r w:rsidR="002E6653">
        <w:rPr>
          <w:rFonts w:asciiTheme="minorHAnsi" w:hAnsiTheme="minorHAnsi" w:cstheme="minorHAnsi"/>
        </w:rPr>
        <w:t>,</w:t>
      </w:r>
      <w:r>
        <w:rPr>
          <w:rFonts w:asciiTheme="minorHAnsi" w:hAnsiTheme="minorHAnsi" w:cstheme="minorHAnsi"/>
        </w:rPr>
        <w:t xml:space="preserve"> </w:t>
      </w:r>
      <w:r w:rsidR="002E53DD">
        <w:rPr>
          <w:rFonts w:asciiTheme="minorHAnsi" w:hAnsiTheme="minorHAnsi" w:cstheme="minorHAnsi"/>
        </w:rPr>
        <w:t xml:space="preserve">more of the population in Australia were staying at home when compared to Sweden and </w:t>
      </w:r>
      <w:r>
        <w:rPr>
          <w:rFonts w:asciiTheme="minorHAnsi" w:hAnsiTheme="minorHAnsi" w:cstheme="minorHAnsi"/>
        </w:rPr>
        <w:t>mobility</w:t>
      </w:r>
      <w:r w:rsidR="002E53DD">
        <w:rPr>
          <w:rFonts w:asciiTheme="minorHAnsi" w:hAnsiTheme="minorHAnsi" w:cstheme="minorHAnsi"/>
        </w:rPr>
        <w:t xml:space="preserve"> outside the home</w:t>
      </w:r>
      <w:r>
        <w:rPr>
          <w:rFonts w:asciiTheme="minorHAnsi" w:hAnsiTheme="minorHAnsi" w:cstheme="minorHAnsi"/>
        </w:rPr>
        <w:t xml:space="preserve"> in Sweden was greater tha</w:t>
      </w:r>
      <w:r w:rsidR="002E6653">
        <w:rPr>
          <w:rFonts w:asciiTheme="minorHAnsi" w:hAnsiTheme="minorHAnsi" w:cstheme="minorHAnsi"/>
        </w:rPr>
        <w:t>n</w:t>
      </w:r>
      <w:r>
        <w:rPr>
          <w:rFonts w:asciiTheme="minorHAnsi" w:hAnsiTheme="minorHAnsi" w:cstheme="minorHAnsi"/>
        </w:rPr>
        <w:t xml:space="preserve"> that of Australia.</w:t>
      </w:r>
    </w:p>
    <w:p w14:paraId="6BB84ADB" w14:textId="77777777" w:rsidR="002E6653" w:rsidRDefault="002E6653">
      <w:pPr>
        <w:rPr>
          <w:rFonts w:asciiTheme="minorHAnsi" w:hAnsiTheme="minorHAnsi" w:cstheme="minorHAnsi"/>
        </w:rPr>
      </w:pPr>
    </w:p>
    <w:p w14:paraId="586E4757" w14:textId="72032BE2" w:rsidR="002E6653" w:rsidRDefault="002E6653" w:rsidP="002E6653">
      <w:pPr>
        <w:rPr>
          <w:rFonts w:asciiTheme="minorHAnsi" w:hAnsiTheme="minorHAnsi" w:cstheme="minorHAnsi"/>
        </w:rPr>
      </w:pPr>
      <w:r>
        <w:rPr>
          <w:rFonts w:asciiTheme="minorHAnsi" w:hAnsiTheme="minorHAnsi" w:cstheme="minorHAnsi"/>
        </w:rPr>
        <w:t>Experts acknowledge that</w:t>
      </w:r>
      <w:r w:rsidR="00B83A55">
        <w:rPr>
          <w:rFonts w:asciiTheme="minorHAnsi" w:hAnsiTheme="minorHAnsi" w:cstheme="minorHAnsi"/>
        </w:rPr>
        <w:t xml:space="preserve"> limiting mobility will have a positive effect on </w:t>
      </w:r>
      <w:r>
        <w:rPr>
          <w:rFonts w:asciiTheme="minorHAnsi" w:hAnsiTheme="minorHAnsi" w:cstheme="minorHAnsi"/>
        </w:rPr>
        <w:t>reducing</w:t>
      </w:r>
      <w:r w:rsidR="00B83A55">
        <w:rPr>
          <w:rFonts w:asciiTheme="minorHAnsi" w:hAnsiTheme="minorHAnsi" w:cstheme="minorHAnsi"/>
        </w:rPr>
        <w:t xml:space="preserve"> the spread of COVID-19 and Australia’s ability to achieve thi</w:t>
      </w:r>
      <w:r>
        <w:rPr>
          <w:rFonts w:asciiTheme="minorHAnsi" w:hAnsiTheme="minorHAnsi" w:cstheme="minorHAnsi"/>
        </w:rPr>
        <w:t xml:space="preserve">s is evident in the reduction of new case numbers.  When examining data from Sweden, </w:t>
      </w:r>
      <w:r w:rsidR="00B83A55">
        <w:rPr>
          <w:rFonts w:asciiTheme="minorHAnsi" w:hAnsiTheme="minorHAnsi" w:cstheme="minorHAnsi"/>
        </w:rPr>
        <w:t>more relaxed restrictions</w:t>
      </w:r>
      <w:r>
        <w:rPr>
          <w:rFonts w:asciiTheme="minorHAnsi" w:hAnsiTheme="minorHAnsi" w:cstheme="minorHAnsi"/>
        </w:rPr>
        <w:t xml:space="preserve"> resulted in greater population movement and higher rates of new case numbers when compared to Australia.  Despite the presence of some restrictions in Sweden and other public health recommendations this less stringent approach coincides with higher rates of new COVID-19 cases with levels being at their highest by the start of December.  These results favour a </w:t>
      </w:r>
      <w:r w:rsidR="00FE0D1E">
        <w:rPr>
          <w:rFonts w:asciiTheme="minorHAnsi" w:hAnsiTheme="minorHAnsi" w:cstheme="minorHAnsi"/>
        </w:rPr>
        <w:t>stricter</w:t>
      </w:r>
      <w:r>
        <w:rPr>
          <w:rFonts w:asciiTheme="minorHAnsi" w:hAnsiTheme="minorHAnsi" w:cstheme="minorHAnsi"/>
        </w:rPr>
        <w:t xml:space="preserve"> approach with respect to</w:t>
      </w:r>
      <w:r w:rsidR="00AC1D2F">
        <w:rPr>
          <w:rFonts w:asciiTheme="minorHAnsi" w:hAnsiTheme="minorHAnsi" w:cstheme="minorHAnsi"/>
        </w:rPr>
        <w:t xml:space="preserve"> movement</w:t>
      </w:r>
      <w:r>
        <w:rPr>
          <w:rFonts w:asciiTheme="minorHAnsi" w:hAnsiTheme="minorHAnsi" w:cstheme="minorHAnsi"/>
        </w:rPr>
        <w:t xml:space="preserve"> restrictions in managing the spread of COVID-19</w:t>
      </w:r>
      <w:r w:rsidR="00AC1D2F">
        <w:rPr>
          <w:rFonts w:asciiTheme="minorHAnsi" w:hAnsiTheme="minorHAnsi" w:cstheme="minorHAnsi"/>
        </w:rPr>
        <w:t>. I</w:t>
      </w:r>
      <w:r>
        <w:rPr>
          <w:rFonts w:asciiTheme="minorHAnsi" w:hAnsiTheme="minorHAnsi" w:cstheme="minorHAnsi"/>
        </w:rPr>
        <w:t xml:space="preserve">t is also important to note that other recommendations with regards to managing the spread of infection including social distancing, hygiene </w:t>
      </w:r>
      <w:r w:rsidR="00AC1D2F">
        <w:rPr>
          <w:rFonts w:asciiTheme="minorHAnsi" w:hAnsiTheme="minorHAnsi" w:cstheme="minorHAnsi"/>
        </w:rPr>
        <w:t xml:space="preserve">recommendations </w:t>
      </w:r>
      <w:r>
        <w:rPr>
          <w:rFonts w:asciiTheme="minorHAnsi" w:hAnsiTheme="minorHAnsi" w:cstheme="minorHAnsi"/>
        </w:rPr>
        <w:t>and mask wearing also have a positive effect on the prevention of COVID-19 infections</w:t>
      </w:r>
      <w:r w:rsidR="00AC1D2F">
        <w:rPr>
          <w:rFonts w:asciiTheme="minorHAnsi" w:hAnsiTheme="minorHAnsi" w:cstheme="minorHAnsi"/>
        </w:rPr>
        <w:t xml:space="preserve"> in addition to mobility restrictions (Wang et al 2020).  </w:t>
      </w:r>
    </w:p>
    <w:p w14:paraId="1DFA266E" w14:textId="77777777" w:rsidR="00AD7818" w:rsidRDefault="00AD7818">
      <w:pPr>
        <w:rPr>
          <w:rFonts w:asciiTheme="minorHAnsi" w:hAnsiTheme="minorHAnsi" w:cstheme="minorHAnsi"/>
        </w:rPr>
      </w:pPr>
    </w:p>
    <w:p w14:paraId="071BE160" w14:textId="1116600D" w:rsidR="00E75293" w:rsidRPr="00E75293" w:rsidRDefault="00E75293">
      <w:pPr>
        <w:rPr>
          <w:rFonts w:asciiTheme="minorHAnsi" w:hAnsiTheme="minorHAnsi" w:cstheme="minorHAnsi"/>
          <w:u w:val="single"/>
        </w:rPr>
      </w:pPr>
      <w:r w:rsidRPr="00E75293">
        <w:rPr>
          <w:rFonts w:asciiTheme="minorHAnsi" w:hAnsiTheme="minorHAnsi" w:cstheme="minorHAnsi"/>
          <w:u w:val="single"/>
        </w:rPr>
        <w:t>viii) Findings</w:t>
      </w:r>
    </w:p>
    <w:p w14:paraId="2C4EE1F5" w14:textId="6CF1C434" w:rsidR="00496C1D" w:rsidRDefault="00496C1D">
      <w:pPr>
        <w:rPr>
          <w:rFonts w:asciiTheme="minorHAnsi" w:hAnsiTheme="minorHAnsi" w:cstheme="minorHAnsi"/>
        </w:rPr>
      </w:pPr>
      <w:r>
        <w:rPr>
          <w:rFonts w:asciiTheme="minorHAnsi" w:hAnsiTheme="minorHAnsi" w:cstheme="minorHAnsi"/>
        </w:rPr>
        <w:t xml:space="preserve">The Google COVID-19 mobility data set and the Our World in Data COVID-19 cases data set were used to </w:t>
      </w:r>
      <w:r w:rsidR="00AC1D2F">
        <w:rPr>
          <w:rFonts w:asciiTheme="minorHAnsi" w:hAnsiTheme="minorHAnsi" w:cstheme="minorHAnsi"/>
        </w:rPr>
        <w:t>investigate</w:t>
      </w:r>
      <w:r>
        <w:rPr>
          <w:rFonts w:asciiTheme="minorHAnsi" w:hAnsiTheme="minorHAnsi" w:cstheme="minorHAnsi"/>
        </w:rPr>
        <w:t xml:space="preserve"> patterns and differences between </w:t>
      </w:r>
      <w:r w:rsidR="002E6653">
        <w:rPr>
          <w:rFonts w:asciiTheme="minorHAnsi" w:hAnsiTheme="minorHAnsi" w:cstheme="minorHAnsi"/>
        </w:rPr>
        <w:t>new cases</w:t>
      </w:r>
      <w:r>
        <w:rPr>
          <w:rFonts w:asciiTheme="minorHAnsi" w:hAnsiTheme="minorHAnsi" w:cstheme="minorHAnsi"/>
        </w:rPr>
        <w:t xml:space="preserve"> of COVID-19 infection and changes in mobility for Australia and Sweden.  Australia and Sweden adopted different policies in their management of the COVID-19 pandemic with Sweden adopting a less stringent approach with regard to restrictions compared with Australia.  Australia has been more successful compared to Sweden with managing the spread of COVID-19 and differences in mobility were seen in several areas. In both countries</w:t>
      </w:r>
      <w:r w:rsidR="002E6653">
        <w:rPr>
          <w:rFonts w:asciiTheme="minorHAnsi" w:hAnsiTheme="minorHAnsi" w:cstheme="minorHAnsi"/>
        </w:rPr>
        <w:t>,</w:t>
      </w:r>
      <w:r>
        <w:rPr>
          <w:rFonts w:asciiTheme="minorHAnsi" w:hAnsiTheme="minorHAnsi" w:cstheme="minorHAnsi"/>
        </w:rPr>
        <w:t xml:space="preserve"> mobility was generally reduced with the exception of parks in Sweden.  </w:t>
      </w:r>
      <w:r w:rsidR="002E6653">
        <w:rPr>
          <w:rFonts w:asciiTheme="minorHAnsi" w:hAnsiTheme="minorHAnsi" w:cstheme="minorHAnsi"/>
        </w:rPr>
        <w:t>Population</w:t>
      </w:r>
      <w:r>
        <w:rPr>
          <w:rFonts w:asciiTheme="minorHAnsi" w:hAnsiTheme="minorHAnsi" w:cstheme="minorHAnsi"/>
        </w:rPr>
        <w:t xml:space="preserve"> mobility however was reduced to a greater extent in Australia compared to Sweden with Australians generally spending more time at home.  This has like</w:t>
      </w:r>
      <w:r w:rsidR="002E6653">
        <w:rPr>
          <w:rFonts w:asciiTheme="minorHAnsi" w:hAnsiTheme="minorHAnsi" w:cstheme="minorHAnsi"/>
        </w:rPr>
        <w:t>ly</w:t>
      </w:r>
      <w:r>
        <w:rPr>
          <w:rFonts w:asciiTheme="minorHAnsi" w:hAnsiTheme="minorHAnsi" w:cstheme="minorHAnsi"/>
        </w:rPr>
        <w:t xml:space="preserve"> influenced Australia’s success in managing COVID-19 </w:t>
      </w:r>
      <w:r w:rsidR="00AC1D2F">
        <w:rPr>
          <w:rFonts w:asciiTheme="minorHAnsi" w:hAnsiTheme="minorHAnsi" w:cstheme="minorHAnsi"/>
        </w:rPr>
        <w:t>highlighting that reducing population movement is important in managing the spread of  COVID-19.  O</w:t>
      </w:r>
      <w:r>
        <w:rPr>
          <w:rFonts w:asciiTheme="minorHAnsi" w:hAnsiTheme="minorHAnsi" w:cstheme="minorHAnsi"/>
        </w:rPr>
        <w:t xml:space="preserve">ther measures </w:t>
      </w:r>
      <w:r w:rsidR="00AC1D2F">
        <w:rPr>
          <w:rFonts w:asciiTheme="minorHAnsi" w:hAnsiTheme="minorHAnsi" w:cstheme="minorHAnsi"/>
        </w:rPr>
        <w:t xml:space="preserve">however </w:t>
      </w:r>
      <w:r>
        <w:rPr>
          <w:rFonts w:asciiTheme="minorHAnsi" w:hAnsiTheme="minorHAnsi" w:cstheme="minorHAnsi"/>
        </w:rPr>
        <w:t xml:space="preserve">including hygiene, masking wearing, social distancing and other factors </w:t>
      </w:r>
      <w:r w:rsidR="00AC1D2F">
        <w:rPr>
          <w:rFonts w:asciiTheme="minorHAnsi" w:hAnsiTheme="minorHAnsi" w:cstheme="minorHAnsi"/>
        </w:rPr>
        <w:t>are likely to</w:t>
      </w:r>
      <w:r>
        <w:rPr>
          <w:rFonts w:asciiTheme="minorHAnsi" w:hAnsiTheme="minorHAnsi" w:cstheme="minorHAnsi"/>
        </w:rPr>
        <w:t xml:space="preserve"> also have</w:t>
      </w:r>
      <w:r w:rsidR="00AC1D2F">
        <w:rPr>
          <w:rFonts w:asciiTheme="minorHAnsi" w:hAnsiTheme="minorHAnsi" w:cstheme="minorHAnsi"/>
        </w:rPr>
        <w:t xml:space="preserve"> also</w:t>
      </w:r>
      <w:r>
        <w:rPr>
          <w:rFonts w:asciiTheme="minorHAnsi" w:hAnsiTheme="minorHAnsi" w:cstheme="minorHAnsi"/>
        </w:rPr>
        <w:t xml:space="preserve"> influenced this result</w:t>
      </w:r>
      <w:r w:rsidR="00AC1D2F">
        <w:rPr>
          <w:rFonts w:asciiTheme="minorHAnsi" w:hAnsiTheme="minorHAnsi" w:cstheme="minorHAnsi"/>
        </w:rPr>
        <w:t xml:space="preserve"> (Wang et al 2020)</w:t>
      </w:r>
      <w:r>
        <w:rPr>
          <w:rFonts w:asciiTheme="minorHAnsi" w:hAnsiTheme="minorHAnsi" w:cstheme="minorHAnsi"/>
        </w:rPr>
        <w:t>.</w:t>
      </w:r>
    </w:p>
    <w:p w14:paraId="28048C0C" w14:textId="77777777" w:rsidR="00E75293" w:rsidRDefault="00E75293">
      <w:pPr>
        <w:rPr>
          <w:rFonts w:asciiTheme="minorHAnsi" w:hAnsiTheme="minorHAnsi" w:cstheme="minorHAnsi"/>
        </w:rPr>
      </w:pPr>
    </w:p>
    <w:p w14:paraId="2120968C" w14:textId="44755997" w:rsidR="00E75293" w:rsidRPr="00E75293" w:rsidRDefault="00E75293">
      <w:pPr>
        <w:rPr>
          <w:rFonts w:asciiTheme="minorHAnsi" w:hAnsiTheme="minorHAnsi" w:cstheme="minorHAnsi"/>
          <w:u w:val="single"/>
        </w:rPr>
      </w:pPr>
      <w:r w:rsidRPr="00E75293">
        <w:rPr>
          <w:rFonts w:asciiTheme="minorHAnsi" w:hAnsiTheme="minorHAnsi" w:cstheme="minorHAnsi"/>
          <w:u w:val="single"/>
        </w:rPr>
        <w:t>ix) Ethics and Privacy</w:t>
      </w:r>
    </w:p>
    <w:p w14:paraId="0A7F8E4B" w14:textId="77777777" w:rsidR="00E75293" w:rsidRDefault="00E75293" w:rsidP="00E75293">
      <w:pPr>
        <w:rPr>
          <w:rFonts w:asciiTheme="minorHAnsi" w:hAnsiTheme="minorHAnsi" w:cstheme="minorHAnsi"/>
        </w:rPr>
      </w:pPr>
      <w:r>
        <w:rPr>
          <w:rFonts w:asciiTheme="minorHAnsi" w:hAnsiTheme="minorHAnsi" w:cstheme="minorHAnsi"/>
        </w:rPr>
        <w:t xml:space="preserve">With the explosion of information available to us from data, we have an abundance of material from which we can gain beneficial knowledge that can aid decision making.  However maintaining user privacy and utilising this information ethically is of paramount </w:t>
      </w:r>
      <w:r>
        <w:rPr>
          <w:rFonts w:asciiTheme="minorHAnsi" w:hAnsiTheme="minorHAnsi" w:cstheme="minorHAnsi"/>
        </w:rPr>
        <w:lastRenderedPageBreak/>
        <w:t xml:space="preserve">importance (Lee et al 2016).  Data usage is also governed by standards and legislation and it is imperative that these guidelines are adhered to (Lee et al 2016).  When using the Google COVID-19 mobility data set considerations in relation to both privacy and ethics whilst using this information are imperative.  Data collection is legislated by Australian Privacy Law. Australian privacy law dictates that an organisation can only collect data that is directly in relation to its activities, the identification of a person must be protected, a person must consent to having data collected and the information must be collected lawfully and directly from that person (Australian Government, 2018).  In permitted health situations the law does account for exemptions for collecting data that may be necessary for public health and safety without an individual’s consent (Australian Government, 2018). </w:t>
      </w:r>
    </w:p>
    <w:p w14:paraId="5A8279AF" w14:textId="77777777" w:rsidR="00E75293" w:rsidRDefault="00E75293" w:rsidP="00E75293">
      <w:pPr>
        <w:rPr>
          <w:rFonts w:asciiTheme="minorHAnsi" w:hAnsiTheme="minorHAnsi" w:cstheme="minorHAnsi"/>
        </w:rPr>
      </w:pPr>
    </w:p>
    <w:p w14:paraId="5A830F61" w14:textId="77777777" w:rsidR="00E75293" w:rsidRDefault="00E75293" w:rsidP="00E75293">
      <w:pPr>
        <w:rPr>
          <w:rFonts w:asciiTheme="minorHAnsi" w:hAnsiTheme="minorHAnsi" w:cstheme="minorHAnsi"/>
        </w:rPr>
      </w:pPr>
      <w:r>
        <w:rPr>
          <w:rFonts w:asciiTheme="minorHAnsi" w:hAnsiTheme="minorHAnsi" w:cstheme="minorHAnsi"/>
        </w:rPr>
        <w:t>The Google COVID-19 mobility data set was created from data stored in the location history of personal mobile devices (Google 2020).  Location data is collected by Google for various services including Google Maps (Google 2020). This data was obtained anonymously and combined so as no personal individual information is disclosed and to limit any identifiable data.  Google (2020) utilises differential privacy techniques to prevent identification of individuals from collected data.  Furthermore Google (2020) also acknowledges if low levels information were obtained from particular location areas, this information was excluded from the data set to reduce the risk of individuals being identified.  Data was also collected with consent of the user given through turning on location services on a device (Google 2020).  Google also acknowledges that the default setting for location services is off, therefore the user has to actively give consent for data usage by turning on location services.  The user also has the option to clear or delete their location history at any time (Google, 2020)</w:t>
      </w:r>
    </w:p>
    <w:p w14:paraId="70F1F026" w14:textId="141787BB" w:rsidR="00E75293" w:rsidRDefault="00E75293" w:rsidP="00E75293">
      <w:pPr>
        <w:rPr>
          <w:rFonts w:asciiTheme="minorHAnsi" w:hAnsiTheme="minorHAnsi" w:cstheme="minorHAnsi"/>
        </w:rPr>
      </w:pPr>
    </w:p>
    <w:p w14:paraId="65BEBEDD" w14:textId="123E3C8F" w:rsidR="008C4B93" w:rsidRDefault="008C4B93" w:rsidP="00E75293">
      <w:pPr>
        <w:rPr>
          <w:rFonts w:asciiTheme="minorHAnsi" w:hAnsiTheme="minorHAnsi" w:cstheme="minorHAnsi"/>
        </w:rPr>
      </w:pPr>
      <w:r>
        <w:rPr>
          <w:rFonts w:asciiTheme="minorHAnsi" w:hAnsiTheme="minorHAnsi" w:cstheme="minorHAnsi"/>
        </w:rPr>
        <w:t>The Our World in Data COVID-19 cases data set is comprised of publicly reported data supplied by governments and other validated sources (Hassel et al, 2020).  Data is being collected for its primary purpose of managing the pandemic.  Data is reported anonymously so as to not identify individuals and</w:t>
      </w:r>
      <w:r w:rsidR="00AC1D2F">
        <w:rPr>
          <w:rFonts w:asciiTheme="minorHAnsi" w:hAnsiTheme="minorHAnsi" w:cstheme="minorHAnsi"/>
        </w:rPr>
        <w:t xml:space="preserve"> collected</w:t>
      </w:r>
      <w:r>
        <w:rPr>
          <w:rFonts w:asciiTheme="minorHAnsi" w:hAnsiTheme="minorHAnsi" w:cstheme="minorHAnsi"/>
        </w:rPr>
        <w:t xml:space="preserve"> from countries as a whole so further limiting individual identification through location (Australian Government, 2018).  Australian Law </w:t>
      </w:r>
      <w:r w:rsidR="00AC1D2F">
        <w:rPr>
          <w:rFonts w:asciiTheme="minorHAnsi" w:hAnsiTheme="minorHAnsi" w:cstheme="minorHAnsi"/>
        </w:rPr>
        <w:t>dictates</w:t>
      </w:r>
      <w:r>
        <w:rPr>
          <w:rFonts w:asciiTheme="minorHAnsi" w:hAnsiTheme="minorHAnsi" w:cstheme="minorHAnsi"/>
        </w:rPr>
        <w:t xml:space="preserve"> that data can be collected without an individual’s consent </w:t>
      </w:r>
      <w:r w:rsidR="00AC1D2F">
        <w:rPr>
          <w:rFonts w:asciiTheme="minorHAnsi" w:hAnsiTheme="minorHAnsi" w:cstheme="minorHAnsi"/>
        </w:rPr>
        <w:t xml:space="preserve">if required for a public health emergency </w:t>
      </w:r>
      <w:r>
        <w:rPr>
          <w:rFonts w:asciiTheme="minorHAnsi" w:hAnsiTheme="minorHAnsi" w:cstheme="minorHAnsi"/>
        </w:rPr>
        <w:t>(Australian Government, 2018).</w:t>
      </w:r>
      <w:r w:rsidR="00AC1D2F">
        <w:rPr>
          <w:rFonts w:asciiTheme="minorHAnsi" w:hAnsiTheme="minorHAnsi" w:cstheme="minorHAnsi"/>
        </w:rPr>
        <w:t xml:space="preserve"> Given the public health crisis of COVID-19 this legislation would apply in this case (Australian Government, 2018).</w:t>
      </w:r>
    </w:p>
    <w:p w14:paraId="213AA61E" w14:textId="3D96FB12" w:rsidR="008C4B93" w:rsidRDefault="008C4B93" w:rsidP="00E75293">
      <w:pPr>
        <w:rPr>
          <w:rFonts w:asciiTheme="minorHAnsi" w:hAnsiTheme="minorHAnsi" w:cstheme="minorHAnsi"/>
        </w:rPr>
      </w:pPr>
    </w:p>
    <w:p w14:paraId="0C96E1EF" w14:textId="77777777" w:rsidR="00E75293" w:rsidRDefault="00E75293" w:rsidP="00E75293">
      <w:pPr>
        <w:rPr>
          <w:rFonts w:asciiTheme="minorHAnsi" w:hAnsiTheme="minorHAnsi" w:cstheme="minorHAnsi"/>
        </w:rPr>
      </w:pPr>
      <w:r>
        <w:rPr>
          <w:rFonts w:asciiTheme="minorHAnsi" w:hAnsiTheme="minorHAnsi" w:cstheme="minorHAnsi"/>
        </w:rPr>
        <w:t>Using data ethically is also of huge importance, information must be used in an honourable way and the effect of using data must be considered for all parties involved (Lawler, 2019).  Given that individuals are giving consent for data to be collected through Google location services and that data is being used for an important cause and not maliciously is essential in ensuring this information is used in a proper way (Lawler, 2019).</w:t>
      </w:r>
    </w:p>
    <w:p w14:paraId="7FD0DB72" w14:textId="77777777" w:rsidR="00E75293" w:rsidRDefault="00E75293">
      <w:pPr>
        <w:rPr>
          <w:rFonts w:asciiTheme="minorHAnsi" w:hAnsiTheme="minorHAnsi" w:cstheme="minorHAnsi"/>
        </w:rPr>
      </w:pPr>
    </w:p>
    <w:p w14:paraId="0238B149" w14:textId="38B30786" w:rsidR="00E75293" w:rsidRPr="00E75293" w:rsidRDefault="00E75293">
      <w:pPr>
        <w:rPr>
          <w:rFonts w:asciiTheme="minorHAnsi" w:hAnsiTheme="minorHAnsi" w:cstheme="minorHAnsi"/>
          <w:u w:val="single"/>
        </w:rPr>
      </w:pPr>
      <w:r w:rsidRPr="00E75293">
        <w:rPr>
          <w:rFonts w:asciiTheme="minorHAnsi" w:hAnsiTheme="minorHAnsi" w:cstheme="minorHAnsi"/>
          <w:u w:val="single"/>
        </w:rPr>
        <w:t>x) References</w:t>
      </w:r>
    </w:p>
    <w:p w14:paraId="712721D7" w14:textId="56AFF550" w:rsidR="00E75293" w:rsidRPr="009E2BFE" w:rsidRDefault="00E75293"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Australian Government</w:t>
      </w:r>
      <w:r w:rsidR="003D730C" w:rsidRPr="009E2BFE">
        <w:rPr>
          <w:rFonts w:asciiTheme="minorHAnsi" w:hAnsiTheme="minorHAnsi" w:cstheme="minorHAnsi"/>
        </w:rPr>
        <w:t>,</w:t>
      </w:r>
      <w:r w:rsidRPr="009E2BFE">
        <w:rPr>
          <w:rFonts w:asciiTheme="minorHAnsi" w:hAnsiTheme="minorHAnsi" w:cstheme="minorHAnsi"/>
        </w:rPr>
        <w:t xml:space="preserve"> 2020, ‘</w:t>
      </w:r>
      <w:r w:rsidRPr="009E2BFE">
        <w:rPr>
          <w:rFonts w:asciiTheme="minorHAnsi" w:hAnsiTheme="minorHAnsi" w:cstheme="minorHAnsi"/>
          <w:i/>
          <w:iCs/>
        </w:rPr>
        <w:t>Guide to Data Analytics and the Australian Privacy Principles’</w:t>
      </w:r>
      <w:r w:rsidRPr="009E2BFE">
        <w:rPr>
          <w:rFonts w:asciiTheme="minorHAnsi" w:hAnsiTheme="minorHAnsi" w:cstheme="minorHAnsi"/>
        </w:rPr>
        <w:t xml:space="preserve"> web article, 21</w:t>
      </w:r>
      <w:r w:rsidRPr="009E2BFE">
        <w:rPr>
          <w:rFonts w:asciiTheme="minorHAnsi" w:hAnsiTheme="minorHAnsi" w:cstheme="minorHAnsi"/>
          <w:vertAlign w:val="superscript"/>
        </w:rPr>
        <w:t>st</w:t>
      </w:r>
      <w:r w:rsidRPr="009E2BFE">
        <w:rPr>
          <w:rFonts w:asciiTheme="minorHAnsi" w:hAnsiTheme="minorHAnsi" w:cstheme="minorHAnsi"/>
        </w:rPr>
        <w:t xml:space="preserve"> March, Office of the Australian Information Commissioner - Australian Government, Sydney, Australia, viewed 14</w:t>
      </w:r>
      <w:r w:rsidRPr="009E2BFE">
        <w:rPr>
          <w:rFonts w:asciiTheme="minorHAnsi" w:hAnsiTheme="minorHAnsi" w:cstheme="minorHAnsi"/>
          <w:vertAlign w:val="superscript"/>
        </w:rPr>
        <w:t>th</w:t>
      </w:r>
      <w:r w:rsidRPr="009E2BFE">
        <w:rPr>
          <w:rFonts w:asciiTheme="minorHAnsi" w:hAnsiTheme="minorHAnsi" w:cstheme="minorHAnsi"/>
        </w:rPr>
        <w:t xml:space="preserve"> January 2020, </w:t>
      </w:r>
      <w:hyperlink r:id="rId16" w:anchor="s2-2-collection-of-personal-information-app-3" w:history="1">
        <w:r w:rsidRPr="009E2BFE">
          <w:rPr>
            <w:rStyle w:val="Hyperlink"/>
            <w:rFonts w:asciiTheme="minorHAnsi" w:hAnsiTheme="minorHAnsi" w:cstheme="minorHAnsi"/>
          </w:rPr>
          <w:t>https://www.oaic.gov.au/privacy/guidance-and-advice/guide-to-data-analytics-and-the-australian-privacy-principles/#s2-2-collection-of-personal-information-app-3</w:t>
        </w:r>
      </w:hyperlink>
    </w:p>
    <w:p w14:paraId="34F316BB" w14:textId="724F434A" w:rsidR="00B974D0" w:rsidRPr="009E2BFE" w:rsidRDefault="00B974D0"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lastRenderedPageBreak/>
        <w:t xml:space="preserve">Bhandari A 2020 ‘Introduction to Hadoop Ecosystem for Big Data and Data Engineering’, </w:t>
      </w:r>
      <w:r w:rsidRPr="009E2BFE">
        <w:rPr>
          <w:rFonts w:asciiTheme="minorHAnsi" w:hAnsiTheme="minorHAnsi" w:cstheme="minorHAnsi"/>
          <w:i/>
          <w:iCs/>
        </w:rPr>
        <w:t>Analytics Vidhya</w:t>
      </w:r>
      <w:r w:rsidRPr="009E2BFE">
        <w:rPr>
          <w:rFonts w:asciiTheme="minorHAnsi" w:hAnsiTheme="minorHAnsi" w:cstheme="minorHAnsi"/>
        </w:rPr>
        <w:t>, weblog, October 23</w:t>
      </w:r>
      <w:r w:rsidRPr="009E2BFE">
        <w:rPr>
          <w:rFonts w:asciiTheme="minorHAnsi" w:hAnsiTheme="minorHAnsi" w:cstheme="minorHAnsi"/>
          <w:vertAlign w:val="superscript"/>
        </w:rPr>
        <w:t>rd</w:t>
      </w:r>
      <w:r w:rsidRPr="009E2BFE">
        <w:rPr>
          <w:rFonts w:asciiTheme="minorHAnsi" w:hAnsiTheme="minorHAnsi" w:cstheme="minorHAnsi"/>
        </w:rPr>
        <w:t>, viewed February 7</w:t>
      </w:r>
      <w:r w:rsidRPr="009E2BFE">
        <w:rPr>
          <w:rFonts w:asciiTheme="minorHAnsi" w:hAnsiTheme="minorHAnsi" w:cstheme="minorHAnsi"/>
          <w:vertAlign w:val="superscript"/>
        </w:rPr>
        <w:t>th</w:t>
      </w:r>
      <w:r w:rsidRPr="009E2BFE">
        <w:rPr>
          <w:rFonts w:asciiTheme="minorHAnsi" w:hAnsiTheme="minorHAnsi" w:cstheme="minorHAnsi"/>
        </w:rPr>
        <w:t xml:space="preserve"> 2021, </w:t>
      </w:r>
      <w:hyperlink r:id="rId17" w:history="1">
        <w:r w:rsidRPr="009E2BFE">
          <w:rPr>
            <w:rStyle w:val="Hyperlink"/>
            <w:rFonts w:asciiTheme="minorHAnsi" w:hAnsiTheme="minorHAnsi" w:cstheme="minorHAnsi"/>
          </w:rPr>
          <w:t>https://www.analyticsvidhya.com/blog/2020/10/introduction-hadoop-ecosystem/</w:t>
        </w:r>
      </w:hyperlink>
    </w:p>
    <w:p w14:paraId="6EF41FDB" w14:textId="47C8087B" w:rsidR="002978BD" w:rsidRPr="009E2BFE" w:rsidRDefault="002978BD"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Cao Y, Hiyoshi A, Montgomery S, 2020 ‘COVID-19 case fatality rate and demographic and socioeconomic influencers: worldwide spatial regression analysis based on country-level data’, </w:t>
      </w:r>
      <w:r w:rsidRPr="009E2BFE">
        <w:rPr>
          <w:rFonts w:asciiTheme="minorHAnsi" w:hAnsiTheme="minorHAnsi" w:cstheme="minorHAnsi"/>
          <w:i/>
          <w:iCs/>
        </w:rPr>
        <w:t>BMJ Open</w:t>
      </w:r>
      <w:r w:rsidRPr="009E2BFE">
        <w:rPr>
          <w:rFonts w:asciiTheme="minorHAnsi" w:hAnsiTheme="minorHAnsi" w:cstheme="minorHAnsi"/>
        </w:rPr>
        <w:t xml:space="preserve">, Vol 10, No e043560, </w:t>
      </w:r>
      <w:hyperlink r:id="rId18" w:history="1">
        <w:r w:rsidRPr="009E2BFE">
          <w:rPr>
            <w:rStyle w:val="Hyperlink"/>
            <w:rFonts w:asciiTheme="minorHAnsi" w:hAnsiTheme="minorHAnsi" w:cstheme="minorHAnsi"/>
          </w:rPr>
          <w:t>https://bmjopen.bmj.com/content/10/11/e043560</w:t>
        </w:r>
      </w:hyperlink>
    </w:p>
    <w:p w14:paraId="49F1A641" w14:textId="1B816037" w:rsidR="00A632FE" w:rsidRPr="009E2BFE" w:rsidRDefault="00A632FE"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Claeson M, Hanson S 2021, ‘COVID-19 and the Swedish Enigma’, </w:t>
      </w:r>
      <w:r w:rsidRPr="009E2BFE">
        <w:rPr>
          <w:rFonts w:asciiTheme="minorHAnsi" w:hAnsiTheme="minorHAnsi" w:cstheme="minorHAnsi"/>
          <w:i/>
          <w:iCs/>
        </w:rPr>
        <w:t>The Lancet</w:t>
      </w:r>
      <w:r w:rsidRPr="009E2BFE">
        <w:rPr>
          <w:rFonts w:asciiTheme="minorHAnsi" w:hAnsiTheme="minorHAnsi" w:cstheme="minorHAnsi"/>
        </w:rPr>
        <w:t>, Vol 397, No 10271, pp 259-261</w:t>
      </w:r>
    </w:p>
    <w:p w14:paraId="036C6DD4" w14:textId="22D861B1" w:rsidR="00E75293" w:rsidRPr="009E2BFE" w:rsidRDefault="00E75293"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Covidlive 2020, ‘</w:t>
      </w:r>
      <w:r w:rsidRPr="009E2BFE">
        <w:rPr>
          <w:rFonts w:asciiTheme="minorHAnsi" w:hAnsiTheme="minorHAnsi" w:cstheme="minorHAnsi"/>
          <w:i/>
          <w:iCs/>
        </w:rPr>
        <w:t>Covidlive’,</w:t>
      </w:r>
      <w:r w:rsidRPr="009E2BFE">
        <w:rPr>
          <w:rFonts w:asciiTheme="minorHAnsi" w:hAnsiTheme="minorHAnsi" w:cstheme="minorHAnsi"/>
        </w:rPr>
        <w:t xml:space="preserve"> Australia, viewed 19</w:t>
      </w:r>
      <w:r w:rsidRPr="009E2BFE">
        <w:rPr>
          <w:rFonts w:asciiTheme="minorHAnsi" w:hAnsiTheme="minorHAnsi" w:cstheme="minorHAnsi"/>
          <w:vertAlign w:val="superscript"/>
        </w:rPr>
        <w:t>th</w:t>
      </w:r>
      <w:r w:rsidRPr="009E2BFE">
        <w:rPr>
          <w:rFonts w:asciiTheme="minorHAnsi" w:hAnsiTheme="minorHAnsi" w:cstheme="minorHAnsi"/>
        </w:rPr>
        <w:t xml:space="preserve"> December 2020, </w:t>
      </w:r>
      <w:hyperlink r:id="rId19" w:history="1">
        <w:r w:rsidR="00B974D0" w:rsidRPr="009E2BFE">
          <w:rPr>
            <w:rStyle w:val="Hyperlink"/>
            <w:rFonts w:asciiTheme="minorHAnsi" w:hAnsiTheme="minorHAnsi" w:cstheme="minorHAnsi"/>
          </w:rPr>
          <w:t>https://covidlive.com.au</w:t>
        </w:r>
      </w:hyperlink>
    </w:p>
    <w:p w14:paraId="664F7929" w14:textId="5D6308D6" w:rsidR="00EE4AB9" w:rsidRPr="009E2BFE" w:rsidRDefault="00EE4AB9"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Duckett S, Mackey W </w:t>
      </w:r>
      <w:r w:rsidR="003D730C" w:rsidRPr="009E2BFE">
        <w:rPr>
          <w:rFonts w:asciiTheme="minorHAnsi" w:hAnsiTheme="minorHAnsi" w:cstheme="minorHAnsi"/>
        </w:rPr>
        <w:t>2</w:t>
      </w:r>
      <w:r w:rsidRPr="009E2BFE">
        <w:rPr>
          <w:rFonts w:asciiTheme="minorHAnsi" w:hAnsiTheme="minorHAnsi" w:cstheme="minorHAnsi"/>
        </w:rPr>
        <w:t xml:space="preserve">020, ‘No, Australia should not follow Sweden’s approach to Coronavirus’, </w:t>
      </w:r>
      <w:r w:rsidRPr="009E2BFE">
        <w:rPr>
          <w:rFonts w:asciiTheme="minorHAnsi" w:hAnsiTheme="minorHAnsi" w:cstheme="minorHAnsi"/>
          <w:i/>
          <w:iCs/>
        </w:rPr>
        <w:t>The Conversation</w:t>
      </w:r>
      <w:r w:rsidRPr="009E2BFE">
        <w:rPr>
          <w:rFonts w:asciiTheme="minorHAnsi" w:hAnsiTheme="minorHAnsi" w:cstheme="minorHAnsi"/>
        </w:rPr>
        <w:t>, weblog post, July 29</w:t>
      </w:r>
      <w:r w:rsidRPr="009E2BFE">
        <w:rPr>
          <w:rFonts w:asciiTheme="minorHAnsi" w:hAnsiTheme="minorHAnsi" w:cstheme="minorHAnsi"/>
          <w:vertAlign w:val="superscript"/>
        </w:rPr>
        <w:t>th</w:t>
      </w:r>
      <w:r w:rsidRPr="009E2BFE">
        <w:rPr>
          <w:rFonts w:asciiTheme="minorHAnsi" w:hAnsiTheme="minorHAnsi" w:cstheme="minorHAnsi"/>
        </w:rPr>
        <w:t>, viewed February 14</w:t>
      </w:r>
      <w:r w:rsidRPr="009E2BFE">
        <w:rPr>
          <w:rFonts w:asciiTheme="minorHAnsi" w:hAnsiTheme="minorHAnsi" w:cstheme="minorHAnsi"/>
          <w:vertAlign w:val="superscript"/>
        </w:rPr>
        <w:t>th</w:t>
      </w:r>
      <w:r w:rsidRPr="009E2BFE">
        <w:rPr>
          <w:rFonts w:asciiTheme="minorHAnsi" w:hAnsiTheme="minorHAnsi" w:cstheme="minorHAnsi"/>
        </w:rPr>
        <w:t xml:space="preserve">, 2021, </w:t>
      </w:r>
      <w:hyperlink r:id="rId20" w:history="1">
        <w:r w:rsidRPr="009E2BFE">
          <w:rPr>
            <w:rStyle w:val="Hyperlink"/>
            <w:rFonts w:asciiTheme="minorHAnsi" w:hAnsiTheme="minorHAnsi" w:cstheme="minorHAnsi"/>
          </w:rPr>
          <w:t>https://theconversation.com/no-australia-should-not-follow-swedens-approach-to-coronavirus-143540</w:t>
        </w:r>
      </w:hyperlink>
    </w:p>
    <w:p w14:paraId="5D8879C7" w14:textId="1DC41248" w:rsidR="00EE4AB9" w:rsidRPr="009E2BFE" w:rsidRDefault="00EE4AB9"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Franks P 2020</w:t>
      </w:r>
      <w:r w:rsidR="003D730C" w:rsidRPr="009E2BFE">
        <w:rPr>
          <w:rFonts w:asciiTheme="minorHAnsi" w:hAnsiTheme="minorHAnsi" w:cstheme="minorHAnsi"/>
        </w:rPr>
        <w:t>,</w:t>
      </w:r>
      <w:r w:rsidRPr="009E2BFE">
        <w:rPr>
          <w:rFonts w:asciiTheme="minorHAnsi" w:hAnsiTheme="minorHAnsi" w:cstheme="minorHAnsi"/>
        </w:rPr>
        <w:t xml:space="preserve"> ‘Coronavirus: Why the Nordics are the best for comparing out strategies’ </w:t>
      </w:r>
      <w:r w:rsidRPr="009E2BFE">
        <w:rPr>
          <w:rFonts w:asciiTheme="minorHAnsi" w:hAnsiTheme="minorHAnsi" w:cstheme="minorHAnsi"/>
          <w:i/>
          <w:iCs/>
        </w:rPr>
        <w:t>The Conversation</w:t>
      </w:r>
      <w:r w:rsidRPr="009E2BFE">
        <w:rPr>
          <w:rFonts w:asciiTheme="minorHAnsi" w:hAnsiTheme="minorHAnsi" w:cstheme="minorHAnsi"/>
        </w:rPr>
        <w:t>, weblog post, April 4</w:t>
      </w:r>
      <w:r w:rsidRPr="009E2BFE">
        <w:rPr>
          <w:rFonts w:asciiTheme="minorHAnsi" w:hAnsiTheme="minorHAnsi" w:cstheme="minorHAnsi"/>
          <w:vertAlign w:val="superscript"/>
        </w:rPr>
        <w:t>th</w:t>
      </w:r>
      <w:r w:rsidRPr="009E2BFE">
        <w:rPr>
          <w:rFonts w:asciiTheme="minorHAnsi" w:hAnsiTheme="minorHAnsi" w:cstheme="minorHAnsi"/>
        </w:rPr>
        <w:t>, viewed February 14</w:t>
      </w:r>
      <w:r w:rsidRPr="009E2BFE">
        <w:rPr>
          <w:rFonts w:asciiTheme="minorHAnsi" w:hAnsiTheme="minorHAnsi" w:cstheme="minorHAnsi"/>
          <w:vertAlign w:val="superscript"/>
        </w:rPr>
        <w:t>th</w:t>
      </w:r>
      <w:r w:rsidRPr="009E2BFE">
        <w:rPr>
          <w:rFonts w:asciiTheme="minorHAnsi" w:hAnsiTheme="minorHAnsi" w:cstheme="minorHAnsi"/>
        </w:rPr>
        <w:t xml:space="preserve"> 2021, </w:t>
      </w:r>
      <w:hyperlink r:id="rId21" w:history="1">
        <w:r w:rsidRPr="009E2BFE">
          <w:rPr>
            <w:rStyle w:val="Hyperlink"/>
            <w:rFonts w:asciiTheme="minorHAnsi" w:hAnsiTheme="minorHAnsi" w:cstheme="minorHAnsi"/>
          </w:rPr>
          <w:t>https://theconversation.com/coronavirus-why-the-nordics-are-our-best-bet-for-comparing-strategies-135344</w:t>
        </w:r>
      </w:hyperlink>
    </w:p>
    <w:p w14:paraId="77B2831E" w14:textId="505E1F2B" w:rsidR="003D730C" w:rsidRPr="009E2BFE" w:rsidRDefault="003D730C"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Fleming S 2020, ‘What’s a logarithmic graph and how does it help explain the spread on COVID-19?’, </w:t>
      </w:r>
      <w:r w:rsidRPr="009E2BFE">
        <w:rPr>
          <w:rFonts w:asciiTheme="minorHAnsi" w:hAnsiTheme="minorHAnsi" w:cstheme="minorHAnsi"/>
          <w:i/>
          <w:iCs/>
        </w:rPr>
        <w:t>World Economic Forum</w:t>
      </w:r>
      <w:r w:rsidRPr="009E2BFE">
        <w:rPr>
          <w:rFonts w:asciiTheme="minorHAnsi" w:hAnsiTheme="minorHAnsi" w:cstheme="minorHAnsi"/>
        </w:rPr>
        <w:t>, weblog post, April 3</w:t>
      </w:r>
      <w:r w:rsidRPr="009E2BFE">
        <w:rPr>
          <w:rFonts w:asciiTheme="minorHAnsi" w:hAnsiTheme="minorHAnsi" w:cstheme="minorHAnsi"/>
          <w:vertAlign w:val="superscript"/>
        </w:rPr>
        <w:t>rd</w:t>
      </w:r>
      <w:r w:rsidRPr="009E2BFE">
        <w:rPr>
          <w:rFonts w:asciiTheme="minorHAnsi" w:hAnsiTheme="minorHAnsi" w:cstheme="minorHAnsi"/>
        </w:rPr>
        <w:t>, viewed February 11</w:t>
      </w:r>
      <w:r w:rsidRPr="009E2BFE">
        <w:rPr>
          <w:rFonts w:asciiTheme="minorHAnsi" w:hAnsiTheme="minorHAnsi" w:cstheme="minorHAnsi"/>
          <w:vertAlign w:val="superscript"/>
        </w:rPr>
        <w:t>th</w:t>
      </w:r>
      <w:r w:rsidRPr="009E2BFE">
        <w:rPr>
          <w:rFonts w:asciiTheme="minorHAnsi" w:hAnsiTheme="minorHAnsi" w:cstheme="minorHAnsi"/>
        </w:rPr>
        <w:t xml:space="preserve"> 2021, </w:t>
      </w:r>
      <w:hyperlink r:id="rId22" w:history="1">
        <w:r w:rsidRPr="009E2BFE">
          <w:rPr>
            <w:rStyle w:val="Hyperlink"/>
            <w:rFonts w:asciiTheme="minorHAnsi" w:hAnsiTheme="minorHAnsi" w:cstheme="minorHAnsi"/>
          </w:rPr>
          <w:t>https://www.weforum.org/agenda/2020/04/covid-19-spread-logarithmic-graph/</w:t>
        </w:r>
      </w:hyperlink>
    </w:p>
    <w:p w14:paraId="25F96632" w14:textId="0B267A16" w:rsidR="00E75293" w:rsidRPr="009E2BFE" w:rsidRDefault="00E75293"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Google 2020, </w:t>
      </w:r>
      <w:r w:rsidRPr="009E2BFE">
        <w:rPr>
          <w:rFonts w:asciiTheme="minorHAnsi" w:hAnsiTheme="minorHAnsi" w:cstheme="minorHAnsi"/>
          <w:i/>
          <w:iCs/>
        </w:rPr>
        <w:t>Community Mobility Reports Help</w:t>
      </w:r>
      <w:r w:rsidRPr="009E2BFE">
        <w:rPr>
          <w:rFonts w:asciiTheme="minorHAnsi" w:hAnsiTheme="minorHAnsi" w:cstheme="minorHAnsi"/>
        </w:rPr>
        <w:t>, Google, California USA, viewed 13</w:t>
      </w:r>
      <w:r w:rsidRPr="009E2BFE">
        <w:rPr>
          <w:rFonts w:asciiTheme="minorHAnsi" w:hAnsiTheme="minorHAnsi" w:cstheme="minorHAnsi"/>
          <w:vertAlign w:val="superscript"/>
        </w:rPr>
        <w:t>th</w:t>
      </w:r>
      <w:r w:rsidRPr="009E2BFE">
        <w:rPr>
          <w:rFonts w:asciiTheme="minorHAnsi" w:hAnsiTheme="minorHAnsi" w:cstheme="minorHAnsi"/>
        </w:rPr>
        <w:t xml:space="preserve"> December 2020, &lt;</w:t>
      </w:r>
      <w:hyperlink r:id="rId23" w:anchor="topic=9822927" w:history="1">
        <w:r w:rsidRPr="009E2BFE">
          <w:rPr>
            <w:rStyle w:val="Hyperlink"/>
            <w:rFonts w:asciiTheme="minorHAnsi" w:hAnsiTheme="minorHAnsi" w:cstheme="minorHAnsi"/>
          </w:rPr>
          <w:t>https://support.google.com/covid19-mobility#topic=9822927</w:t>
        </w:r>
      </w:hyperlink>
      <w:r w:rsidRPr="009E2BFE">
        <w:rPr>
          <w:rFonts w:asciiTheme="minorHAnsi" w:hAnsiTheme="minorHAnsi" w:cstheme="minorHAnsi"/>
        </w:rPr>
        <w:t>&gt;</w:t>
      </w:r>
    </w:p>
    <w:p w14:paraId="44057AE1" w14:textId="72530FF2" w:rsidR="00B974D0" w:rsidRPr="009E2BFE" w:rsidRDefault="00B974D0"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Gupta A 2016, ‘Comprehensive Introduce to Apache Spark, RDDs and Data Frames (using PySpark)’, </w:t>
      </w:r>
      <w:r w:rsidRPr="009E2BFE">
        <w:rPr>
          <w:rFonts w:asciiTheme="minorHAnsi" w:hAnsiTheme="minorHAnsi" w:cstheme="minorHAnsi"/>
          <w:i/>
          <w:iCs/>
        </w:rPr>
        <w:t>Analytics Vidhya</w:t>
      </w:r>
      <w:r w:rsidRPr="009E2BFE">
        <w:rPr>
          <w:rFonts w:asciiTheme="minorHAnsi" w:hAnsiTheme="minorHAnsi" w:cstheme="minorHAnsi"/>
        </w:rPr>
        <w:t>, weblog post, September 19</w:t>
      </w:r>
      <w:r w:rsidRPr="009E2BFE">
        <w:rPr>
          <w:rFonts w:asciiTheme="minorHAnsi" w:hAnsiTheme="minorHAnsi" w:cstheme="minorHAnsi"/>
          <w:vertAlign w:val="superscript"/>
        </w:rPr>
        <w:t>th</w:t>
      </w:r>
      <w:r w:rsidRPr="009E2BFE">
        <w:rPr>
          <w:rFonts w:asciiTheme="minorHAnsi" w:hAnsiTheme="minorHAnsi" w:cstheme="minorHAnsi"/>
        </w:rPr>
        <w:t>, viewed February 7</w:t>
      </w:r>
      <w:r w:rsidRPr="009E2BFE">
        <w:rPr>
          <w:rFonts w:asciiTheme="minorHAnsi" w:hAnsiTheme="minorHAnsi" w:cstheme="minorHAnsi"/>
          <w:vertAlign w:val="superscript"/>
        </w:rPr>
        <w:t>th</w:t>
      </w:r>
      <w:r w:rsidR="006511DB" w:rsidRPr="009E2BFE">
        <w:rPr>
          <w:rFonts w:asciiTheme="minorHAnsi" w:hAnsiTheme="minorHAnsi" w:cstheme="minorHAnsi"/>
        </w:rPr>
        <w:t xml:space="preserve"> 2021, </w:t>
      </w:r>
      <w:r w:rsidRPr="009E2BFE">
        <w:rPr>
          <w:rFonts w:asciiTheme="minorHAnsi" w:hAnsiTheme="minorHAnsi" w:cstheme="minorHAnsi"/>
        </w:rPr>
        <w:t xml:space="preserve"> </w:t>
      </w:r>
      <w:hyperlink r:id="rId24" w:history="1">
        <w:r w:rsidRPr="009E2BFE">
          <w:rPr>
            <w:rStyle w:val="Hyperlink"/>
            <w:rFonts w:asciiTheme="minorHAnsi" w:hAnsiTheme="minorHAnsi" w:cstheme="minorHAnsi"/>
          </w:rPr>
          <w:t>https://www.analyticsvidhya.com/blog/2016/09/comprehensive-introduction-to-apache-spark-rdds-dataframes-using-pyspark/?utm_source=blog&amp;utm_medium=hadoop-ecosystem</w:t>
        </w:r>
      </w:hyperlink>
    </w:p>
    <w:p w14:paraId="34D8EB61" w14:textId="35EC1796" w:rsidR="00316591" w:rsidRPr="009E2BFE" w:rsidRDefault="00316591"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Hassel J, Mathieu E, Beltekian D, Macdonald B, Gianttino C, Ortiz-Ospina E, Roser M, Ritchie H</w:t>
      </w:r>
      <w:r w:rsidR="003D730C" w:rsidRPr="009E2BFE">
        <w:rPr>
          <w:rFonts w:asciiTheme="minorHAnsi" w:hAnsiTheme="minorHAnsi" w:cstheme="minorHAnsi"/>
        </w:rPr>
        <w:t>,</w:t>
      </w:r>
      <w:r w:rsidRPr="009E2BFE">
        <w:rPr>
          <w:rFonts w:asciiTheme="minorHAnsi" w:hAnsiTheme="minorHAnsi" w:cstheme="minorHAnsi"/>
        </w:rPr>
        <w:t xml:space="preserve"> 2020 ‘A cross-country database of COVID-19 testing’ </w:t>
      </w:r>
      <w:r w:rsidRPr="009E2BFE">
        <w:rPr>
          <w:rFonts w:asciiTheme="minorHAnsi" w:hAnsiTheme="minorHAnsi" w:cstheme="minorHAnsi"/>
          <w:i/>
          <w:iCs/>
        </w:rPr>
        <w:t xml:space="preserve">Scientific Data, </w:t>
      </w:r>
      <w:r w:rsidRPr="009E2BFE">
        <w:rPr>
          <w:rFonts w:asciiTheme="minorHAnsi" w:hAnsiTheme="minorHAnsi" w:cstheme="minorHAnsi"/>
        </w:rPr>
        <w:t xml:space="preserve">Vol 7, No 345, pp 1-7, </w:t>
      </w:r>
      <w:hyperlink r:id="rId25" w:anchor="citeas" w:history="1">
        <w:r w:rsidRPr="009E2BFE">
          <w:rPr>
            <w:rStyle w:val="Hyperlink"/>
            <w:rFonts w:asciiTheme="minorHAnsi" w:hAnsiTheme="minorHAnsi" w:cstheme="minorHAnsi"/>
          </w:rPr>
          <w:t>https://www.nature.com/articles/s41597-020-00688-8#citeas</w:t>
        </w:r>
      </w:hyperlink>
    </w:p>
    <w:p w14:paraId="617D70BE" w14:textId="16179F2C" w:rsidR="00645255" w:rsidRPr="009E2BFE" w:rsidRDefault="00645255"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International Organisation for Standardisation</w:t>
      </w:r>
      <w:r w:rsidR="003D730C" w:rsidRPr="009E2BFE">
        <w:rPr>
          <w:rFonts w:asciiTheme="minorHAnsi" w:hAnsiTheme="minorHAnsi" w:cstheme="minorHAnsi"/>
        </w:rPr>
        <w:t>,</w:t>
      </w:r>
      <w:r w:rsidRPr="009E2BFE">
        <w:rPr>
          <w:rFonts w:asciiTheme="minorHAnsi" w:hAnsiTheme="minorHAnsi" w:cstheme="minorHAnsi"/>
        </w:rPr>
        <w:t xml:space="preserve"> 2020, </w:t>
      </w:r>
      <w:r w:rsidRPr="009E2BFE">
        <w:rPr>
          <w:rFonts w:asciiTheme="minorHAnsi" w:hAnsiTheme="minorHAnsi" w:cstheme="minorHAnsi"/>
          <w:i/>
          <w:iCs/>
        </w:rPr>
        <w:t>‘Popular Standards – ISO 3166 Country Codes’</w:t>
      </w:r>
      <w:r w:rsidRPr="009E2BFE">
        <w:rPr>
          <w:rFonts w:asciiTheme="minorHAnsi" w:hAnsiTheme="minorHAnsi" w:cstheme="minorHAnsi"/>
        </w:rPr>
        <w:t>, International Organisation for Standardisation, Geneva, Switzerland, viewed 13</w:t>
      </w:r>
      <w:r w:rsidRPr="009E2BFE">
        <w:rPr>
          <w:rFonts w:asciiTheme="minorHAnsi" w:hAnsiTheme="minorHAnsi" w:cstheme="minorHAnsi"/>
          <w:vertAlign w:val="superscript"/>
        </w:rPr>
        <w:t>th</w:t>
      </w:r>
      <w:r w:rsidRPr="009E2BFE">
        <w:rPr>
          <w:rFonts w:asciiTheme="minorHAnsi" w:hAnsiTheme="minorHAnsi" w:cstheme="minorHAnsi"/>
        </w:rPr>
        <w:t xml:space="preserve"> December 2020, </w:t>
      </w:r>
      <w:hyperlink r:id="rId26" w:history="1">
        <w:r w:rsidRPr="009E2BFE">
          <w:rPr>
            <w:rStyle w:val="Hyperlink"/>
            <w:rFonts w:asciiTheme="minorHAnsi" w:hAnsiTheme="minorHAnsi" w:cstheme="minorHAnsi"/>
          </w:rPr>
          <w:t>https://www.iso.org/iso-3166-country-codes.html</w:t>
        </w:r>
      </w:hyperlink>
    </w:p>
    <w:p w14:paraId="300AEBEF" w14:textId="4995F4DB" w:rsidR="006511DB" w:rsidRPr="009E2BFE" w:rsidRDefault="006511DB"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Kalron A, 2020, ‘How do Hadoop and Spark Stack Up?’, </w:t>
      </w:r>
      <w:r w:rsidRPr="009E2BFE">
        <w:rPr>
          <w:rFonts w:asciiTheme="minorHAnsi" w:hAnsiTheme="minorHAnsi" w:cstheme="minorHAnsi"/>
          <w:i/>
          <w:iCs/>
        </w:rPr>
        <w:t>logz.io</w:t>
      </w:r>
      <w:r w:rsidRPr="009E2BFE">
        <w:rPr>
          <w:rFonts w:asciiTheme="minorHAnsi" w:hAnsiTheme="minorHAnsi" w:cstheme="minorHAnsi"/>
        </w:rPr>
        <w:t>, weblog post, January 16</w:t>
      </w:r>
      <w:r w:rsidRPr="009E2BFE">
        <w:rPr>
          <w:rFonts w:asciiTheme="minorHAnsi" w:hAnsiTheme="minorHAnsi" w:cstheme="minorHAnsi"/>
          <w:vertAlign w:val="superscript"/>
        </w:rPr>
        <w:t>th</w:t>
      </w:r>
      <w:r w:rsidRPr="009E2BFE">
        <w:rPr>
          <w:rFonts w:asciiTheme="minorHAnsi" w:hAnsiTheme="minorHAnsi" w:cstheme="minorHAnsi"/>
        </w:rPr>
        <w:t>, view</w:t>
      </w:r>
      <w:r w:rsidR="00EE4AB9" w:rsidRPr="009E2BFE">
        <w:rPr>
          <w:rFonts w:asciiTheme="minorHAnsi" w:hAnsiTheme="minorHAnsi" w:cstheme="minorHAnsi"/>
        </w:rPr>
        <w:t>e</w:t>
      </w:r>
      <w:r w:rsidRPr="009E2BFE">
        <w:rPr>
          <w:rFonts w:asciiTheme="minorHAnsi" w:hAnsiTheme="minorHAnsi" w:cstheme="minorHAnsi"/>
        </w:rPr>
        <w:t>d February 7</w:t>
      </w:r>
      <w:r w:rsidRPr="009E2BFE">
        <w:rPr>
          <w:rFonts w:asciiTheme="minorHAnsi" w:hAnsiTheme="minorHAnsi" w:cstheme="minorHAnsi"/>
          <w:vertAlign w:val="superscript"/>
        </w:rPr>
        <w:t>th</w:t>
      </w:r>
      <w:r w:rsidRPr="009E2BFE">
        <w:rPr>
          <w:rFonts w:asciiTheme="minorHAnsi" w:hAnsiTheme="minorHAnsi" w:cstheme="minorHAnsi"/>
        </w:rPr>
        <w:t xml:space="preserve"> 2021, </w:t>
      </w:r>
      <w:hyperlink r:id="rId27" w:anchor=":~:text=It's%20also%20a%20top%2Dlevel,an%20RDD%2C%20Resilient%20Distributed%20Dataset" w:history="1">
        <w:r w:rsidRPr="009E2BFE">
          <w:rPr>
            <w:rStyle w:val="Hyperlink"/>
            <w:rFonts w:asciiTheme="minorHAnsi" w:hAnsiTheme="minorHAnsi" w:cstheme="minorHAnsi"/>
          </w:rPr>
          <w:t>https://logz.io/blog/hadoop-vs-spark/#:~:text=It's%20also%20a%20top%2Dlevel,an%20RDD%2C%20Resilient%20Distributed%20Dataset</w:t>
        </w:r>
      </w:hyperlink>
      <w:r w:rsidRPr="009E2BFE">
        <w:rPr>
          <w:rFonts w:asciiTheme="minorHAnsi" w:hAnsiTheme="minorHAnsi" w:cstheme="minorHAnsi"/>
        </w:rPr>
        <w:t>.</w:t>
      </w:r>
    </w:p>
    <w:p w14:paraId="7F084AED" w14:textId="109E134B" w:rsidR="00E75293" w:rsidRPr="009E2BFE" w:rsidRDefault="00E75293"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Lawler B, 2019 ‘Five Global Trends in Data Ethics and Privacy in 2019’ </w:t>
      </w:r>
      <w:r w:rsidRPr="009E2BFE">
        <w:rPr>
          <w:rFonts w:asciiTheme="minorHAnsi" w:hAnsiTheme="minorHAnsi" w:cstheme="minorHAnsi"/>
          <w:i/>
        </w:rPr>
        <w:t>Looker</w:t>
      </w:r>
      <w:r w:rsidRPr="009E2BFE">
        <w:rPr>
          <w:rFonts w:asciiTheme="minorHAnsi" w:hAnsiTheme="minorHAnsi" w:cstheme="minorHAnsi"/>
        </w:rPr>
        <w:t>, weblog</w:t>
      </w:r>
      <w:r w:rsidR="00B974D0" w:rsidRPr="009E2BFE">
        <w:rPr>
          <w:rFonts w:asciiTheme="minorHAnsi" w:hAnsiTheme="minorHAnsi" w:cstheme="minorHAnsi"/>
        </w:rPr>
        <w:t xml:space="preserve"> post</w:t>
      </w:r>
      <w:r w:rsidRPr="009E2BFE">
        <w:rPr>
          <w:rFonts w:asciiTheme="minorHAnsi" w:hAnsiTheme="minorHAnsi" w:cstheme="minorHAnsi"/>
        </w:rPr>
        <w:t>, 28</w:t>
      </w:r>
      <w:r w:rsidRPr="009E2BFE">
        <w:rPr>
          <w:rFonts w:asciiTheme="minorHAnsi" w:hAnsiTheme="minorHAnsi" w:cstheme="minorHAnsi"/>
          <w:vertAlign w:val="superscript"/>
        </w:rPr>
        <w:t>th</w:t>
      </w:r>
      <w:r w:rsidRPr="009E2BFE">
        <w:rPr>
          <w:rFonts w:asciiTheme="minorHAnsi" w:hAnsiTheme="minorHAnsi" w:cstheme="minorHAnsi"/>
        </w:rPr>
        <w:t xml:space="preserve"> January, viewed 19</w:t>
      </w:r>
      <w:r w:rsidRPr="009E2BFE">
        <w:rPr>
          <w:rFonts w:asciiTheme="minorHAnsi" w:hAnsiTheme="minorHAnsi" w:cstheme="minorHAnsi"/>
          <w:vertAlign w:val="superscript"/>
        </w:rPr>
        <w:t>th</w:t>
      </w:r>
      <w:r w:rsidRPr="009E2BFE">
        <w:rPr>
          <w:rFonts w:asciiTheme="minorHAnsi" w:hAnsiTheme="minorHAnsi" w:cstheme="minorHAnsi"/>
        </w:rPr>
        <w:t xml:space="preserve"> December 2020, </w:t>
      </w:r>
      <w:hyperlink r:id="rId28" w:anchor=":~:text=Data%20privacy%20is%20responsibly%20collecting,based%20on%20your%20brand%20values" w:history="1">
        <w:r w:rsidRPr="009E2BFE">
          <w:rPr>
            <w:rStyle w:val="Hyperlink"/>
            <w:rFonts w:asciiTheme="minorHAnsi" w:hAnsiTheme="minorHAnsi" w:cstheme="minorHAnsi"/>
          </w:rPr>
          <w:t>https://looker.com/blog/big-data-ethics-privacy#:~:text=Data%20privacy%20is%20responsibly%20collecting,based%20on%20your%20brand%20values</w:t>
        </w:r>
      </w:hyperlink>
    </w:p>
    <w:p w14:paraId="4A697C78" w14:textId="158042D9" w:rsidR="00E75293" w:rsidRPr="009E2BFE" w:rsidRDefault="00E75293"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Lee WW, Zanki W, Chang H, 2016 ‘An Ethical Approach to Data Privacy Protection’, </w:t>
      </w:r>
      <w:r w:rsidRPr="009E2BFE">
        <w:rPr>
          <w:rFonts w:asciiTheme="minorHAnsi" w:hAnsiTheme="minorHAnsi" w:cstheme="minorHAnsi"/>
          <w:i/>
        </w:rPr>
        <w:t xml:space="preserve">ISACA Journal, </w:t>
      </w:r>
      <w:r w:rsidRPr="009E2BFE">
        <w:rPr>
          <w:rFonts w:asciiTheme="minorHAnsi" w:hAnsiTheme="minorHAnsi" w:cstheme="minorHAnsi"/>
        </w:rPr>
        <w:t>Vol 6, pp 1-9</w:t>
      </w:r>
    </w:p>
    <w:p w14:paraId="63DA96C3" w14:textId="7291BB9D" w:rsidR="00A632FE" w:rsidRPr="009E2BFE" w:rsidRDefault="00A632FE"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lastRenderedPageBreak/>
        <w:t>LePage M</w:t>
      </w:r>
      <w:r w:rsidR="003D730C" w:rsidRPr="009E2BFE">
        <w:rPr>
          <w:rFonts w:asciiTheme="minorHAnsi" w:hAnsiTheme="minorHAnsi" w:cstheme="minorHAnsi"/>
        </w:rPr>
        <w:t>,</w:t>
      </w:r>
      <w:r w:rsidRPr="009E2BFE">
        <w:rPr>
          <w:rFonts w:asciiTheme="minorHAnsi" w:hAnsiTheme="minorHAnsi" w:cstheme="minorHAnsi"/>
        </w:rPr>
        <w:t xml:space="preserve"> 2020, ‘Is Sweden’s Coronavirus strategy a cautionary tale or a success story?’ </w:t>
      </w:r>
      <w:r w:rsidRPr="009E2BFE">
        <w:rPr>
          <w:rFonts w:asciiTheme="minorHAnsi" w:hAnsiTheme="minorHAnsi" w:cstheme="minorHAnsi"/>
          <w:i/>
          <w:iCs/>
        </w:rPr>
        <w:t xml:space="preserve">New Scientist, </w:t>
      </w:r>
      <w:r w:rsidRPr="009E2BFE">
        <w:rPr>
          <w:rFonts w:asciiTheme="minorHAnsi" w:hAnsiTheme="minorHAnsi" w:cstheme="minorHAnsi"/>
        </w:rPr>
        <w:t xml:space="preserve">No 3296, </w:t>
      </w:r>
      <w:hyperlink r:id="rId29" w:history="1">
        <w:r w:rsidRPr="009E2BFE">
          <w:rPr>
            <w:rStyle w:val="Hyperlink"/>
            <w:rFonts w:asciiTheme="minorHAnsi" w:hAnsiTheme="minorHAnsi" w:cstheme="minorHAnsi"/>
          </w:rPr>
          <w:t>https://www.newscientist.com/article/2251615-is-swedens-coronavirus-strategy-a-cautionary-tale-or-a-success-story/</w:t>
        </w:r>
      </w:hyperlink>
    </w:p>
    <w:p w14:paraId="2BE3ABD1" w14:textId="6D7EA3BB" w:rsidR="0095221D" w:rsidRPr="009E2BFE" w:rsidRDefault="0095221D"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Lowy Institute 2020, </w:t>
      </w:r>
      <w:r w:rsidRPr="009E2BFE">
        <w:rPr>
          <w:rFonts w:asciiTheme="minorHAnsi" w:hAnsiTheme="minorHAnsi" w:cstheme="minorHAnsi"/>
          <w:i/>
          <w:iCs/>
        </w:rPr>
        <w:t>‘Lowy Institute COVID Performance Index’</w:t>
      </w:r>
      <w:r w:rsidRPr="009E2BFE">
        <w:rPr>
          <w:rFonts w:asciiTheme="minorHAnsi" w:hAnsiTheme="minorHAnsi" w:cstheme="minorHAnsi"/>
        </w:rPr>
        <w:t>, Lowy Institute, Sydney Australia, viewed 11</w:t>
      </w:r>
      <w:r w:rsidRPr="009E2BFE">
        <w:rPr>
          <w:rFonts w:asciiTheme="minorHAnsi" w:hAnsiTheme="minorHAnsi" w:cstheme="minorHAnsi"/>
          <w:vertAlign w:val="superscript"/>
        </w:rPr>
        <w:t>th</w:t>
      </w:r>
      <w:r w:rsidRPr="009E2BFE">
        <w:rPr>
          <w:rFonts w:asciiTheme="minorHAnsi" w:hAnsiTheme="minorHAnsi" w:cstheme="minorHAnsi"/>
        </w:rPr>
        <w:t xml:space="preserve"> February, </w:t>
      </w:r>
      <w:hyperlink r:id="rId30" w:anchor="rankings" w:history="1">
        <w:r w:rsidRPr="009E2BFE">
          <w:rPr>
            <w:rStyle w:val="Hyperlink"/>
            <w:rFonts w:asciiTheme="minorHAnsi" w:hAnsiTheme="minorHAnsi" w:cstheme="minorHAnsi"/>
          </w:rPr>
          <w:t>https://interactives.lowyinstitute.org/features/covid-performance/#rankings</w:t>
        </w:r>
      </w:hyperlink>
    </w:p>
    <w:p w14:paraId="74FD8273" w14:textId="0C65DA6C" w:rsidR="00C82301" w:rsidRPr="009E2BFE" w:rsidRDefault="00C82301"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Phipps SJ, Grafton RQ, Kompas T, 2020, ‘Robust estimates of the true (population) infection rate of COVID-19: a backcasting approach’, </w:t>
      </w:r>
      <w:r w:rsidRPr="009E2BFE">
        <w:rPr>
          <w:rFonts w:asciiTheme="minorHAnsi" w:hAnsiTheme="minorHAnsi" w:cstheme="minorHAnsi"/>
          <w:i/>
          <w:iCs/>
        </w:rPr>
        <w:t>The Royal Society of Open Science’</w:t>
      </w:r>
      <w:r w:rsidRPr="009E2BFE">
        <w:rPr>
          <w:rFonts w:asciiTheme="minorHAnsi" w:hAnsiTheme="minorHAnsi" w:cstheme="minorHAnsi"/>
        </w:rPr>
        <w:t xml:space="preserve">, Vol 7, No 200909, pp 1-12, </w:t>
      </w:r>
      <w:hyperlink r:id="rId31" w:anchor="d1e1736" w:history="1">
        <w:r w:rsidRPr="009E2BFE">
          <w:rPr>
            <w:rStyle w:val="Hyperlink"/>
            <w:rFonts w:asciiTheme="minorHAnsi" w:hAnsiTheme="minorHAnsi" w:cstheme="minorHAnsi"/>
          </w:rPr>
          <w:t>https://royalsocietypublishing.org/doi/10.1098/rsos.200909#d1e1736</w:t>
        </w:r>
      </w:hyperlink>
    </w:p>
    <w:p w14:paraId="5312382A" w14:textId="199D0CA4" w:rsidR="006511DB" w:rsidRPr="009E2BFE" w:rsidRDefault="006511DB"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Stoica I, 2014, ‘Apache Spark and Hadoop: Working Together’, </w:t>
      </w:r>
      <w:r w:rsidRPr="009E2BFE">
        <w:rPr>
          <w:rFonts w:asciiTheme="minorHAnsi" w:hAnsiTheme="minorHAnsi" w:cstheme="minorHAnsi"/>
          <w:i/>
          <w:iCs/>
        </w:rPr>
        <w:t>Databricks</w:t>
      </w:r>
      <w:r w:rsidRPr="009E2BFE">
        <w:rPr>
          <w:rFonts w:asciiTheme="minorHAnsi" w:hAnsiTheme="minorHAnsi" w:cstheme="minorHAnsi"/>
        </w:rPr>
        <w:t>, weblog post, January 21</w:t>
      </w:r>
      <w:r w:rsidRPr="009E2BFE">
        <w:rPr>
          <w:rFonts w:asciiTheme="minorHAnsi" w:hAnsiTheme="minorHAnsi" w:cstheme="minorHAnsi"/>
          <w:vertAlign w:val="superscript"/>
        </w:rPr>
        <w:t>st</w:t>
      </w:r>
      <w:r w:rsidRPr="009E2BFE">
        <w:rPr>
          <w:rFonts w:asciiTheme="minorHAnsi" w:hAnsiTheme="minorHAnsi" w:cstheme="minorHAnsi"/>
        </w:rPr>
        <w:t>, viewed February 7</w:t>
      </w:r>
      <w:r w:rsidRPr="009E2BFE">
        <w:rPr>
          <w:rFonts w:asciiTheme="minorHAnsi" w:hAnsiTheme="minorHAnsi" w:cstheme="minorHAnsi"/>
          <w:vertAlign w:val="superscript"/>
        </w:rPr>
        <w:t>th</w:t>
      </w:r>
      <w:r w:rsidRPr="009E2BFE">
        <w:rPr>
          <w:rFonts w:asciiTheme="minorHAnsi" w:hAnsiTheme="minorHAnsi" w:cstheme="minorHAnsi"/>
        </w:rPr>
        <w:t xml:space="preserve"> 2021, </w:t>
      </w:r>
      <w:hyperlink r:id="rId32" w:history="1">
        <w:r w:rsidRPr="009E2BFE">
          <w:rPr>
            <w:rStyle w:val="Hyperlink"/>
            <w:rFonts w:asciiTheme="minorHAnsi" w:hAnsiTheme="minorHAnsi" w:cstheme="minorHAnsi"/>
          </w:rPr>
          <w:t>https://databricks.com/blog/2014/01/21/spark-and-hadoop.html</w:t>
        </w:r>
      </w:hyperlink>
    </w:p>
    <w:p w14:paraId="58D96B29" w14:textId="3CEB095A" w:rsidR="00AD7818" w:rsidRPr="009E2BFE" w:rsidRDefault="00AD7818"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Tomlin A, 2019 ‘A quick guide to Swedish holidays and traditions’, </w:t>
      </w:r>
      <w:r w:rsidRPr="009E2BFE">
        <w:rPr>
          <w:rFonts w:asciiTheme="minorHAnsi" w:hAnsiTheme="minorHAnsi" w:cstheme="minorHAnsi"/>
          <w:i/>
          <w:iCs/>
        </w:rPr>
        <w:t>Routes North</w:t>
      </w:r>
      <w:r w:rsidRPr="009E2BFE">
        <w:rPr>
          <w:rFonts w:asciiTheme="minorHAnsi" w:hAnsiTheme="minorHAnsi" w:cstheme="minorHAnsi"/>
        </w:rPr>
        <w:t>, weblog post, October 30</w:t>
      </w:r>
      <w:r w:rsidRPr="009E2BFE">
        <w:rPr>
          <w:rFonts w:asciiTheme="minorHAnsi" w:hAnsiTheme="minorHAnsi" w:cstheme="minorHAnsi"/>
          <w:vertAlign w:val="superscript"/>
        </w:rPr>
        <w:t>th</w:t>
      </w:r>
      <w:r w:rsidRPr="009E2BFE">
        <w:rPr>
          <w:rFonts w:asciiTheme="minorHAnsi" w:hAnsiTheme="minorHAnsi" w:cstheme="minorHAnsi"/>
        </w:rPr>
        <w:t xml:space="preserve"> 2019, viewed February 14</w:t>
      </w:r>
      <w:r w:rsidRPr="009E2BFE">
        <w:rPr>
          <w:rFonts w:asciiTheme="minorHAnsi" w:hAnsiTheme="minorHAnsi" w:cstheme="minorHAnsi"/>
          <w:vertAlign w:val="superscript"/>
        </w:rPr>
        <w:t>th</w:t>
      </w:r>
      <w:r w:rsidRPr="009E2BFE">
        <w:rPr>
          <w:rFonts w:asciiTheme="minorHAnsi" w:hAnsiTheme="minorHAnsi" w:cstheme="minorHAnsi"/>
        </w:rPr>
        <w:t xml:space="preserve"> 2021</w:t>
      </w:r>
    </w:p>
    <w:p w14:paraId="627F9D2A" w14:textId="18DF7C23" w:rsidR="00E75293" w:rsidRPr="009E2BFE" w:rsidRDefault="00E75293"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Wang S, Liu Y, Hu T, 2020, ‘Effect of the Change of Human Mobility Adherent to Social Restriction Policies and its Effect on COVID-19 Cases in Australia’, </w:t>
      </w:r>
      <w:r w:rsidRPr="009E2BFE">
        <w:rPr>
          <w:rFonts w:asciiTheme="minorHAnsi" w:hAnsiTheme="minorHAnsi" w:cstheme="minorHAnsi"/>
          <w:i/>
          <w:iCs/>
        </w:rPr>
        <w:t>International Journal of Environmental Research and Public Health</w:t>
      </w:r>
      <w:r w:rsidRPr="009E2BFE">
        <w:rPr>
          <w:rFonts w:asciiTheme="minorHAnsi" w:hAnsiTheme="minorHAnsi" w:cstheme="minorHAnsi"/>
        </w:rPr>
        <w:t>, Vol 17, No 21, pp 7930 - 7946</w:t>
      </w:r>
    </w:p>
    <w:p w14:paraId="685B0A45" w14:textId="295D7052" w:rsidR="0095221D" w:rsidRPr="009E2BFE" w:rsidRDefault="00E75293" w:rsidP="009E2BFE">
      <w:pPr>
        <w:pStyle w:val="ListParagraph"/>
        <w:numPr>
          <w:ilvl w:val="0"/>
          <w:numId w:val="2"/>
        </w:numPr>
        <w:ind w:left="426" w:hanging="426"/>
        <w:rPr>
          <w:rFonts w:asciiTheme="minorHAnsi" w:hAnsiTheme="minorHAnsi" w:cstheme="minorHAnsi"/>
        </w:rPr>
      </w:pPr>
      <w:r w:rsidRPr="009E2BFE">
        <w:rPr>
          <w:rFonts w:asciiTheme="minorHAnsi" w:hAnsiTheme="minorHAnsi" w:cstheme="minorHAnsi"/>
        </w:rPr>
        <w:t xml:space="preserve">Yilmazkuday H 2020 ‘Stay at Home Works to Fight Against COVID-19: International Evidence from Google Mobility Data’, </w:t>
      </w:r>
      <w:r w:rsidRPr="009E2BFE">
        <w:rPr>
          <w:rFonts w:asciiTheme="minorHAnsi" w:hAnsiTheme="minorHAnsi" w:cstheme="minorHAnsi"/>
          <w:i/>
          <w:iCs/>
        </w:rPr>
        <w:t xml:space="preserve">Journal of Human Behaviour in the Social Environment, </w:t>
      </w:r>
      <w:r w:rsidRPr="009E2BFE">
        <w:rPr>
          <w:rFonts w:asciiTheme="minorHAnsi" w:hAnsiTheme="minorHAnsi" w:cstheme="minorHAnsi"/>
        </w:rPr>
        <w:t>Forthcoming, &lt;</w:t>
      </w:r>
      <w:hyperlink r:id="rId33" w:history="1">
        <w:r w:rsidRPr="009E2BFE">
          <w:rPr>
            <w:rStyle w:val="Hyperlink"/>
            <w:rFonts w:asciiTheme="minorHAnsi" w:hAnsiTheme="minorHAnsi" w:cstheme="minorHAnsi"/>
            <w:shd w:val="clear" w:color="auto" w:fill="FFFFFF"/>
          </w:rPr>
          <w:t>http://dx.doi.org/10.2139/ssrn.3571708</w:t>
        </w:r>
      </w:hyperlink>
      <w:r w:rsidRPr="009E2BFE">
        <w:rPr>
          <w:rFonts w:asciiTheme="minorHAnsi" w:hAnsiTheme="minorHAnsi" w:cstheme="minorHAnsi"/>
          <w:color w:val="505050"/>
          <w:u w:val="single"/>
          <w:shd w:val="clear" w:color="auto" w:fill="FFFFFF"/>
        </w:rPr>
        <w:t>&gt;</w:t>
      </w:r>
    </w:p>
    <w:sectPr w:rsidR="0095221D" w:rsidRPr="009E2BFE" w:rsidSect="00FC44A2">
      <w:footerReference w:type="even" r:id="rId34"/>
      <w:footerReference w:type="default" r:id="rId3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294B" w14:textId="77777777" w:rsidR="00A33D29" w:rsidRDefault="00A33D29" w:rsidP="00FC44A2">
      <w:r>
        <w:separator/>
      </w:r>
    </w:p>
  </w:endnote>
  <w:endnote w:type="continuationSeparator" w:id="0">
    <w:p w14:paraId="71684E8F" w14:textId="77777777" w:rsidR="00A33D29" w:rsidRDefault="00A33D29" w:rsidP="00FC4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825719"/>
      <w:docPartObj>
        <w:docPartGallery w:val="Page Numbers (Bottom of Page)"/>
        <w:docPartUnique/>
      </w:docPartObj>
    </w:sdtPr>
    <w:sdtContent>
      <w:p w14:paraId="4E98F71B" w14:textId="60D2A56E" w:rsidR="00FC44A2" w:rsidRDefault="00FC44A2" w:rsidP="00937E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DF9661" w14:textId="77777777" w:rsidR="00FC44A2" w:rsidRDefault="00FC44A2" w:rsidP="00FC44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751919"/>
      <w:docPartObj>
        <w:docPartGallery w:val="Page Numbers (Bottom of Page)"/>
        <w:docPartUnique/>
      </w:docPartObj>
    </w:sdtPr>
    <w:sdtContent>
      <w:p w14:paraId="6B76A0AA" w14:textId="268540A0" w:rsidR="00FC44A2" w:rsidRDefault="00FC44A2" w:rsidP="00937E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2C02DD" w14:textId="77777777" w:rsidR="00FC44A2" w:rsidRDefault="00FC44A2" w:rsidP="00FC44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B17E7" w14:textId="77777777" w:rsidR="00A33D29" w:rsidRDefault="00A33D29" w:rsidP="00FC44A2">
      <w:r>
        <w:separator/>
      </w:r>
    </w:p>
  </w:footnote>
  <w:footnote w:type="continuationSeparator" w:id="0">
    <w:p w14:paraId="27A2C13C" w14:textId="77777777" w:rsidR="00A33D29" w:rsidRDefault="00A33D29" w:rsidP="00FC4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264F8"/>
    <w:multiLevelType w:val="hybridMultilevel"/>
    <w:tmpl w:val="A6EC3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C7475F"/>
    <w:multiLevelType w:val="hybridMultilevel"/>
    <w:tmpl w:val="AFB42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6957577">
    <w:abstractNumId w:val="1"/>
  </w:num>
  <w:num w:numId="2" w16cid:durableId="1474297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25"/>
    <w:rsid w:val="00031B95"/>
    <w:rsid w:val="000349C7"/>
    <w:rsid w:val="00053F6C"/>
    <w:rsid w:val="0009670B"/>
    <w:rsid w:val="001778FB"/>
    <w:rsid w:val="001E3AB3"/>
    <w:rsid w:val="00214D60"/>
    <w:rsid w:val="0022649C"/>
    <w:rsid w:val="002978BD"/>
    <w:rsid w:val="002E53DD"/>
    <w:rsid w:val="002E6653"/>
    <w:rsid w:val="002F007D"/>
    <w:rsid w:val="002F45FC"/>
    <w:rsid w:val="002F7F2F"/>
    <w:rsid w:val="0030300C"/>
    <w:rsid w:val="00316591"/>
    <w:rsid w:val="003640BD"/>
    <w:rsid w:val="003837BD"/>
    <w:rsid w:val="003D730C"/>
    <w:rsid w:val="004068B6"/>
    <w:rsid w:val="004201A2"/>
    <w:rsid w:val="004211DB"/>
    <w:rsid w:val="00462885"/>
    <w:rsid w:val="00496C1D"/>
    <w:rsid w:val="00515FBC"/>
    <w:rsid w:val="00595D0E"/>
    <w:rsid w:val="00604C25"/>
    <w:rsid w:val="00611F96"/>
    <w:rsid w:val="00645255"/>
    <w:rsid w:val="006511DB"/>
    <w:rsid w:val="00700AE5"/>
    <w:rsid w:val="00757E86"/>
    <w:rsid w:val="007B13C1"/>
    <w:rsid w:val="00815785"/>
    <w:rsid w:val="00872F95"/>
    <w:rsid w:val="008A1A05"/>
    <w:rsid w:val="008B19F6"/>
    <w:rsid w:val="008C4B93"/>
    <w:rsid w:val="0095221D"/>
    <w:rsid w:val="00960093"/>
    <w:rsid w:val="009E2BFE"/>
    <w:rsid w:val="00A11ECA"/>
    <w:rsid w:val="00A33D29"/>
    <w:rsid w:val="00A36807"/>
    <w:rsid w:val="00A632FE"/>
    <w:rsid w:val="00A93BE4"/>
    <w:rsid w:val="00A957A6"/>
    <w:rsid w:val="00AA29BB"/>
    <w:rsid w:val="00AC1D2F"/>
    <w:rsid w:val="00AD7818"/>
    <w:rsid w:val="00B62559"/>
    <w:rsid w:val="00B704F0"/>
    <w:rsid w:val="00B83A55"/>
    <w:rsid w:val="00B974D0"/>
    <w:rsid w:val="00BB1382"/>
    <w:rsid w:val="00C01352"/>
    <w:rsid w:val="00C76B23"/>
    <w:rsid w:val="00C82301"/>
    <w:rsid w:val="00CA52C7"/>
    <w:rsid w:val="00CE111F"/>
    <w:rsid w:val="00D125D2"/>
    <w:rsid w:val="00D403FC"/>
    <w:rsid w:val="00D6067C"/>
    <w:rsid w:val="00E15010"/>
    <w:rsid w:val="00E45236"/>
    <w:rsid w:val="00E75293"/>
    <w:rsid w:val="00E95A1D"/>
    <w:rsid w:val="00EE4AB9"/>
    <w:rsid w:val="00F3273C"/>
    <w:rsid w:val="00FC1905"/>
    <w:rsid w:val="00FC44A2"/>
    <w:rsid w:val="00FD6E6C"/>
    <w:rsid w:val="00FE0D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8756110"/>
  <w15:chartTrackingRefBased/>
  <w15:docId w15:val="{0DBEE9A1-36E7-CA43-911B-A645C3EB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1A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44A2"/>
    <w:pPr>
      <w:tabs>
        <w:tab w:val="center" w:pos="4680"/>
        <w:tab w:val="right" w:pos="9360"/>
      </w:tabs>
    </w:pPr>
  </w:style>
  <w:style w:type="character" w:customStyle="1" w:styleId="FooterChar">
    <w:name w:val="Footer Char"/>
    <w:basedOn w:val="DefaultParagraphFont"/>
    <w:link w:val="Footer"/>
    <w:uiPriority w:val="99"/>
    <w:rsid w:val="00FC44A2"/>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C44A2"/>
  </w:style>
  <w:style w:type="character" w:styleId="Hyperlink">
    <w:name w:val="Hyperlink"/>
    <w:basedOn w:val="DefaultParagraphFont"/>
    <w:uiPriority w:val="99"/>
    <w:unhideWhenUsed/>
    <w:rsid w:val="00FC44A2"/>
    <w:rPr>
      <w:color w:val="0563C1" w:themeColor="hyperlink"/>
      <w:u w:val="single"/>
    </w:rPr>
  </w:style>
  <w:style w:type="character" w:styleId="UnresolvedMention">
    <w:name w:val="Unresolved Mention"/>
    <w:basedOn w:val="DefaultParagraphFont"/>
    <w:uiPriority w:val="99"/>
    <w:semiHidden/>
    <w:unhideWhenUsed/>
    <w:rsid w:val="00316591"/>
    <w:rPr>
      <w:color w:val="605E5C"/>
      <w:shd w:val="clear" w:color="auto" w:fill="E1DFDD"/>
    </w:rPr>
  </w:style>
  <w:style w:type="character" w:styleId="FollowedHyperlink">
    <w:name w:val="FollowedHyperlink"/>
    <w:basedOn w:val="DefaultParagraphFont"/>
    <w:uiPriority w:val="99"/>
    <w:semiHidden/>
    <w:unhideWhenUsed/>
    <w:rsid w:val="00645255"/>
    <w:rPr>
      <w:color w:val="954F72" w:themeColor="followedHyperlink"/>
      <w:u w:val="single"/>
    </w:rPr>
  </w:style>
  <w:style w:type="paragraph" w:styleId="HTMLPreformatted">
    <w:name w:val="HTML Preformatted"/>
    <w:basedOn w:val="Normal"/>
    <w:link w:val="HTMLPreformattedChar"/>
    <w:uiPriority w:val="99"/>
    <w:semiHidden/>
    <w:unhideWhenUsed/>
    <w:rsid w:val="0046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2885"/>
    <w:rPr>
      <w:rFonts w:ascii="Courier New" w:eastAsia="Times New Roman" w:hAnsi="Courier New" w:cs="Courier New"/>
      <w:sz w:val="20"/>
      <w:szCs w:val="20"/>
      <w:lang w:eastAsia="en-GB"/>
    </w:rPr>
  </w:style>
  <w:style w:type="paragraph" w:styleId="ListParagraph">
    <w:name w:val="List Paragraph"/>
    <w:basedOn w:val="Normal"/>
    <w:uiPriority w:val="34"/>
    <w:qFormat/>
    <w:rsid w:val="009E2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9934">
      <w:bodyDiv w:val="1"/>
      <w:marLeft w:val="0"/>
      <w:marRight w:val="0"/>
      <w:marTop w:val="0"/>
      <w:marBottom w:val="0"/>
      <w:divBdr>
        <w:top w:val="none" w:sz="0" w:space="0" w:color="auto"/>
        <w:left w:val="none" w:sz="0" w:space="0" w:color="auto"/>
        <w:bottom w:val="none" w:sz="0" w:space="0" w:color="auto"/>
        <w:right w:val="none" w:sz="0" w:space="0" w:color="auto"/>
      </w:divBdr>
      <w:divsChild>
        <w:div w:id="1728527570">
          <w:marLeft w:val="0"/>
          <w:marRight w:val="0"/>
          <w:marTop w:val="0"/>
          <w:marBottom w:val="0"/>
          <w:divBdr>
            <w:top w:val="none" w:sz="0" w:space="0" w:color="auto"/>
            <w:left w:val="none" w:sz="0" w:space="0" w:color="auto"/>
            <w:bottom w:val="none" w:sz="0" w:space="0" w:color="auto"/>
            <w:right w:val="none" w:sz="0" w:space="0" w:color="auto"/>
          </w:divBdr>
          <w:divsChild>
            <w:div w:id="1653407940">
              <w:marLeft w:val="0"/>
              <w:marRight w:val="0"/>
              <w:marTop w:val="0"/>
              <w:marBottom w:val="0"/>
              <w:divBdr>
                <w:top w:val="none" w:sz="0" w:space="0" w:color="auto"/>
                <w:left w:val="none" w:sz="0" w:space="0" w:color="auto"/>
                <w:bottom w:val="none" w:sz="0" w:space="0" w:color="auto"/>
                <w:right w:val="none" w:sz="0" w:space="0" w:color="auto"/>
              </w:divBdr>
            </w:div>
          </w:divsChild>
        </w:div>
        <w:div w:id="498275746">
          <w:marLeft w:val="0"/>
          <w:marRight w:val="0"/>
          <w:marTop w:val="0"/>
          <w:marBottom w:val="0"/>
          <w:divBdr>
            <w:top w:val="none" w:sz="0" w:space="0" w:color="auto"/>
            <w:left w:val="none" w:sz="0" w:space="0" w:color="auto"/>
            <w:bottom w:val="none" w:sz="0" w:space="0" w:color="auto"/>
            <w:right w:val="none" w:sz="0" w:space="0" w:color="auto"/>
          </w:divBdr>
          <w:divsChild>
            <w:div w:id="13980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984">
      <w:bodyDiv w:val="1"/>
      <w:marLeft w:val="0"/>
      <w:marRight w:val="0"/>
      <w:marTop w:val="0"/>
      <w:marBottom w:val="0"/>
      <w:divBdr>
        <w:top w:val="none" w:sz="0" w:space="0" w:color="auto"/>
        <w:left w:val="none" w:sz="0" w:space="0" w:color="auto"/>
        <w:bottom w:val="none" w:sz="0" w:space="0" w:color="auto"/>
        <w:right w:val="none" w:sz="0" w:space="0" w:color="auto"/>
      </w:divBdr>
      <w:divsChild>
        <w:div w:id="660083826">
          <w:marLeft w:val="0"/>
          <w:marRight w:val="0"/>
          <w:marTop w:val="0"/>
          <w:marBottom w:val="0"/>
          <w:divBdr>
            <w:top w:val="none" w:sz="0" w:space="0" w:color="auto"/>
            <w:left w:val="none" w:sz="0" w:space="0" w:color="auto"/>
            <w:bottom w:val="none" w:sz="0" w:space="0" w:color="auto"/>
            <w:right w:val="none" w:sz="0" w:space="0" w:color="auto"/>
          </w:divBdr>
          <w:divsChild>
            <w:div w:id="402993653">
              <w:marLeft w:val="0"/>
              <w:marRight w:val="0"/>
              <w:marTop w:val="0"/>
              <w:marBottom w:val="0"/>
              <w:divBdr>
                <w:top w:val="none" w:sz="0" w:space="0" w:color="auto"/>
                <w:left w:val="none" w:sz="0" w:space="0" w:color="auto"/>
                <w:bottom w:val="none" w:sz="0" w:space="0" w:color="auto"/>
                <w:right w:val="none" w:sz="0" w:space="0" w:color="auto"/>
              </w:divBdr>
            </w:div>
          </w:divsChild>
        </w:div>
        <w:div w:id="65499654">
          <w:marLeft w:val="0"/>
          <w:marRight w:val="0"/>
          <w:marTop w:val="0"/>
          <w:marBottom w:val="0"/>
          <w:divBdr>
            <w:top w:val="none" w:sz="0" w:space="0" w:color="auto"/>
            <w:left w:val="none" w:sz="0" w:space="0" w:color="auto"/>
            <w:bottom w:val="none" w:sz="0" w:space="0" w:color="auto"/>
            <w:right w:val="none" w:sz="0" w:space="0" w:color="auto"/>
          </w:divBdr>
          <w:divsChild>
            <w:div w:id="19905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1749">
      <w:bodyDiv w:val="1"/>
      <w:marLeft w:val="0"/>
      <w:marRight w:val="0"/>
      <w:marTop w:val="0"/>
      <w:marBottom w:val="0"/>
      <w:divBdr>
        <w:top w:val="none" w:sz="0" w:space="0" w:color="auto"/>
        <w:left w:val="none" w:sz="0" w:space="0" w:color="auto"/>
        <w:bottom w:val="none" w:sz="0" w:space="0" w:color="auto"/>
        <w:right w:val="none" w:sz="0" w:space="0" w:color="auto"/>
      </w:divBdr>
      <w:divsChild>
        <w:div w:id="1014192095">
          <w:marLeft w:val="0"/>
          <w:marRight w:val="0"/>
          <w:marTop w:val="0"/>
          <w:marBottom w:val="0"/>
          <w:divBdr>
            <w:top w:val="none" w:sz="0" w:space="0" w:color="auto"/>
            <w:left w:val="none" w:sz="0" w:space="0" w:color="auto"/>
            <w:bottom w:val="none" w:sz="0" w:space="0" w:color="auto"/>
            <w:right w:val="none" w:sz="0" w:space="0" w:color="auto"/>
          </w:divBdr>
          <w:divsChild>
            <w:div w:id="1341858850">
              <w:marLeft w:val="0"/>
              <w:marRight w:val="0"/>
              <w:marTop w:val="0"/>
              <w:marBottom w:val="0"/>
              <w:divBdr>
                <w:top w:val="none" w:sz="0" w:space="0" w:color="auto"/>
                <w:left w:val="none" w:sz="0" w:space="0" w:color="auto"/>
                <w:bottom w:val="none" w:sz="0" w:space="0" w:color="auto"/>
                <w:right w:val="none" w:sz="0" w:space="0" w:color="auto"/>
              </w:divBdr>
            </w:div>
          </w:divsChild>
        </w:div>
        <w:div w:id="1682967233">
          <w:marLeft w:val="0"/>
          <w:marRight w:val="0"/>
          <w:marTop w:val="0"/>
          <w:marBottom w:val="0"/>
          <w:divBdr>
            <w:top w:val="none" w:sz="0" w:space="0" w:color="auto"/>
            <w:left w:val="none" w:sz="0" w:space="0" w:color="auto"/>
            <w:bottom w:val="none" w:sz="0" w:space="0" w:color="auto"/>
            <w:right w:val="none" w:sz="0" w:space="0" w:color="auto"/>
          </w:divBdr>
          <w:divsChild>
            <w:div w:id="6623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691">
      <w:bodyDiv w:val="1"/>
      <w:marLeft w:val="0"/>
      <w:marRight w:val="0"/>
      <w:marTop w:val="0"/>
      <w:marBottom w:val="0"/>
      <w:divBdr>
        <w:top w:val="none" w:sz="0" w:space="0" w:color="auto"/>
        <w:left w:val="none" w:sz="0" w:space="0" w:color="auto"/>
        <w:bottom w:val="none" w:sz="0" w:space="0" w:color="auto"/>
        <w:right w:val="none" w:sz="0" w:space="0" w:color="auto"/>
      </w:divBdr>
      <w:divsChild>
        <w:div w:id="1288313131">
          <w:marLeft w:val="0"/>
          <w:marRight w:val="0"/>
          <w:marTop w:val="0"/>
          <w:marBottom w:val="0"/>
          <w:divBdr>
            <w:top w:val="none" w:sz="0" w:space="0" w:color="auto"/>
            <w:left w:val="none" w:sz="0" w:space="0" w:color="auto"/>
            <w:bottom w:val="none" w:sz="0" w:space="0" w:color="auto"/>
            <w:right w:val="none" w:sz="0" w:space="0" w:color="auto"/>
          </w:divBdr>
          <w:divsChild>
            <w:div w:id="562720297">
              <w:marLeft w:val="0"/>
              <w:marRight w:val="0"/>
              <w:marTop w:val="0"/>
              <w:marBottom w:val="0"/>
              <w:divBdr>
                <w:top w:val="none" w:sz="0" w:space="0" w:color="auto"/>
                <w:left w:val="none" w:sz="0" w:space="0" w:color="auto"/>
                <w:bottom w:val="none" w:sz="0" w:space="0" w:color="auto"/>
                <w:right w:val="none" w:sz="0" w:space="0" w:color="auto"/>
              </w:divBdr>
            </w:div>
          </w:divsChild>
        </w:div>
        <w:div w:id="2129734316">
          <w:marLeft w:val="0"/>
          <w:marRight w:val="0"/>
          <w:marTop w:val="0"/>
          <w:marBottom w:val="0"/>
          <w:divBdr>
            <w:top w:val="none" w:sz="0" w:space="0" w:color="auto"/>
            <w:left w:val="none" w:sz="0" w:space="0" w:color="auto"/>
            <w:bottom w:val="none" w:sz="0" w:space="0" w:color="auto"/>
            <w:right w:val="none" w:sz="0" w:space="0" w:color="auto"/>
          </w:divBdr>
          <w:divsChild>
            <w:div w:id="1305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0404">
      <w:bodyDiv w:val="1"/>
      <w:marLeft w:val="0"/>
      <w:marRight w:val="0"/>
      <w:marTop w:val="0"/>
      <w:marBottom w:val="0"/>
      <w:divBdr>
        <w:top w:val="none" w:sz="0" w:space="0" w:color="auto"/>
        <w:left w:val="none" w:sz="0" w:space="0" w:color="auto"/>
        <w:bottom w:val="none" w:sz="0" w:space="0" w:color="auto"/>
        <w:right w:val="none" w:sz="0" w:space="0" w:color="auto"/>
      </w:divBdr>
      <w:divsChild>
        <w:div w:id="1970233809">
          <w:marLeft w:val="0"/>
          <w:marRight w:val="0"/>
          <w:marTop w:val="0"/>
          <w:marBottom w:val="0"/>
          <w:divBdr>
            <w:top w:val="none" w:sz="0" w:space="0" w:color="auto"/>
            <w:left w:val="none" w:sz="0" w:space="0" w:color="auto"/>
            <w:bottom w:val="none" w:sz="0" w:space="0" w:color="auto"/>
            <w:right w:val="none" w:sz="0" w:space="0" w:color="auto"/>
          </w:divBdr>
          <w:divsChild>
            <w:div w:id="339353939">
              <w:marLeft w:val="0"/>
              <w:marRight w:val="0"/>
              <w:marTop w:val="0"/>
              <w:marBottom w:val="0"/>
              <w:divBdr>
                <w:top w:val="none" w:sz="0" w:space="0" w:color="auto"/>
                <w:left w:val="none" w:sz="0" w:space="0" w:color="auto"/>
                <w:bottom w:val="none" w:sz="0" w:space="0" w:color="auto"/>
                <w:right w:val="none" w:sz="0" w:space="0" w:color="auto"/>
              </w:divBdr>
            </w:div>
          </w:divsChild>
        </w:div>
        <w:div w:id="758406481">
          <w:marLeft w:val="0"/>
          <w:marRight w:val="0"/>
          <w:marTop w:val="0"/>
          <w:marBottom w:val="0"/>
          <w:divBdr>
            <w:top w:val="none" w:sz="0" w:space="0" w:color="auto"/>
            <w:left w:val="none" w:sz="0" w:space="0" w:color="auto"/>
            <w:bottom w:val="none" w:sz="0" w:space="0" w:color="auto"/>
            <w:right w:val="none" w:sz="0" w:space="0" w:color="auto"/>
          </w:divBdr>
          <w:divsChild>
            <w:div w:id="5760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239">
      <w:bodyDiv w:val="1"/>
      <w:marLeft w:val="0"/>
      <w:marRight w:val="0"/>
      <w:marTop w:val="0"/>
      <w:marBottom w:val="0"/>
      <w:divBdr>
        <w:top w:val="none" w:sz="0" w:space="0" w:color="auto"/>
        <w:left w:val="none" w:sz="0" w:space="0" w:color="auto"/>
        <w:bottom w:val="none" w:sz="0" w:space="0" w:color="auto"/>
        <w:right w:val="none" w:sz="0" w:space="0" w:color="auto"/>
      </w:divBdr>
      <w:divsChild>
        <w:div w:id="997613327">
          <w:marLeft w:val="0"/>
          <w:marRight w:val="0"/>
          <w:marTop w:val="0"/>
          <w:marBottom w:val="0"/>
          <w:divBdr>
            <w:top w:val="none" w:sz="0" w:space="0" w:color="auto"/>
            <w:left w:val="none" w:sz="0" w:space="0" w:color="auto"/>
            <w:bottom w:val="none" w:sz="0" w:space="0" w:color="auto"/>
            <w:right w:val="none" w:sz="0" w:space="0" w:color="auto"/>
          </w:divBdr>
          <w:divsChild>
            <w:div w:id="570770051">
              <w:marLeft w:val="0"/>
              <w:marRight w:val="0"/>
              <w:marTop w:val="0"/>
              <w:marBottom w:val="0"/>
              <w:divBdr>
                <w:top w:val="none" w:sz="0" w:space="0" w:color="auto"/>
                <w:left w:val="none" w:sz="0" w:space="0" w:color="auto"/>
                <w:bottom w:val="none" w:sz="0" w:space="0" w:color="auto"/>
                <w:right w:val="none" w:sz="0" w:space="0" w:color="auto"/>
              </w:divBdr>
            </w:div>
          </w:divsChild>
        </w:div>
        <w:div w:id="1669674255">
          <w:marLeft w:val="0"/>
          <w:marRight w:val="0"/>
          <w:marTop w:val="0"/>
          <w:marBottom w:val="0"/>
          <w:divBdr>
            <w:top w:val="none" w:sz="0" w:space="0" w:color="auto"/>
            <w:left w:val="none" w:sz="0" w:space="0" w:color="auto"/>
            <w:bottom w:val="none" w:sz="0" w:space="0" w:color="auto"/>
            <w:right w:val="none" w:sz="0" w:space="0" w:color="auto"/>
          </w:divBdr>
          <w:divsChild>
            <w:div w:id="16610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0996">
      <w:bodyDiv w:val="1"/>
      <w:marLeft w:val="0"/>
      <w:marRight w:val="0"/>
      <w:marTop w:val="0"/>
      <w:marBottom w:val="0"/>
      <w:divBdr>
        <w:top w:val="none" w:sz="0" w:space="0" w:color="auto"/>
        <w:left w:val="none" w:sz="0" w:space="0" w:color="auto"/>
        <w:bottom w:val="none" w:sz="0" w:space="0" w:color="auto"/>
        <w:right w:val="none" w:sz="0" w:space="0" w:color="auto"/>
      </w:divBdr>
      <w:divsChild>
        <w:div w:id="346488855">
          <w:marLeft w:val="0"/>
          <w:marRight w:val="0"/>
          <w:marTop w:val="0"/>
          <w:marBottom w:val="0"/>
          <w:divBdr>
            <w:top w:val="none" w:sz="0" w:space="0" w:color="auto"/>
            <w:left w:val="none" w:sz="0" w:space="0" w:color="auto"/>
            <w:bottom w:val="none" w:sz="0" w:space="0" w:color="auto"/>
            <w:right w:val="none" w:sz="0" w:space="0" w:color="auto"/>
          </w:divBdr>
          <w:divsChild>
            <w:div w:id="1949503503">
              <w:marLeft w:val="0"/>
              <w:marRight w:val="0"/>
              <w:marTop w:val="0"/>
              <w:marBottom w:val="0"/>
              <w:divBdr>
                <w:top w:val="none" w:sz="0" w:space="0" w:color="auto"/>
                <w:left w:val="none" w:sz="0" w:space="0" w:color="auto"/>
                <w:bottom w:val="none" w:sz="0" w:space="0" w:color="auto"/>
                <w:right w:val="none" w:sz="0" w:space="0" w:color="auto"/>
              </w:divBdr>
            </w:div>
          </w:divsChild>
        </w:div>
        <w:div w:id="237134692">
          <w:marLeft w:val="0"/>
          <w:marRight w:val="0"/>
          <w:marTop w:val="0"/>
          <w:marBottom w:val="0"/>
          <w:divBdr>
            <w:top w:val="none" w:sz="0" w:space="0" w:color="auto"/>
            <w:left w:val="none" w:sz="0" w:space="0" w:color="auto"/>
            <w:bottom w:val="none" w:sz="0" w:space="0" w:color="auto"/>
            <w:right w:val="none" w:sz="0" w:space="0" w:color="auto"/>
          </w:divBdr>
          <w:divsChild>
            <w:div w:id="19979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654">
      <w:bodyDiv w:val="1"/>
      <w:marLeft w:val="0"/>
      <w:marRight w:val="0"/>
      <w:marTop w:val="0"/>
      <w:marBottom w:val="0"/>
      <w:divBdr>
        <w:top w:val="none" w:sz="0" w:space="0" w:color="auto"/>
        <w:left w:val="none" w:sz="0" w:space="0" w:color="auto"/>
        <w:bottom w:val="none" w:sz="0" w:space="0" w:color="auto"/>
        <w:right w:val="none" w:sz="0" w:space="0" w:color="auto"/>
      </w:divBdr>
      <w:divsChild>
        <w:div w:id="941646957">
          <w:marLeft w:val="0"/>
          <w:marRight w:val="0"/>
          <w:marTop w:val="0"/>
          <w:marBottom w:val="0"/>
          <w:divBdr>
            <w:top w:val="none" w:sz="0" w:space="0" w:color="auto"/>
            <w:left w:val="none" w:sz="0" w:space="0" w:color="auto"/>
            <w:bottom w:val="none" w:sz="0" w:space="0" w:color="auto"/>
            <w:right w:val="none" w:sz="0" w:space="0" w:color="auto"/>
          </w:divBdr>
          <w:divsChild>
            <w:div w:id="740098309">
              <w:marLeft w:val="0"/>
              <w:marRight w:val="0"/>
              <w:marTop w:val="0"/>
              <w:marBottom w:val="0"/>
              <w:divBdr>
                <w:top w:val="none" w:sz="0" w:space="0" w:color="auto"/>
                <w:left w:val="none" w:sz="0" w:space="0" w:color="auto"/>
                <w:bottom w:val="none" w:sz="0" w:space="0" w:color="auto"/>
                <w:right w:val="none" w:sz="0" w:space="0" w:color="auto"/>
              </w:divBdr>
            </w:div>
          </w:divsChild>
        </w:div>
        <w:div w:id="1806696459">
          <w:marLeft w:val="0"/>
          <w:marRight w:val="0"/>
          <w:marTop w:val="0"/>
          <w:marBottom w:val="0"/>
          <w:divBdr>
            <w:top w:val="none" w:sz="0" w:space="0" w:color="auto"/>
            <w:left w:val="none" w:sz="0" w:space="0" w:color="auto"/>
            <w:bottom w:val="none" w:sz="0" w:space="0" w:color="auto"/>
            <w:right w:val="none" w:sz="0" w:space="0" w:color="auto"/>
          </w:divBdr>
          <w:divsChild>
            <w:div w:id="1231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8965">
      <w:bodyDiv w:val="1"/>
      <w:marLeft w:val="0"/>
      <w:marRight w:val="0"/>
      <w:marTop w:val="0"/>
      <w:marBottom w:val="0"/>
      <w:divBdr>
        <w:top w:val="none" w:sz="0" w:space="0" w:color="auto"/>
        <w:left w:val="none" w:sz="0" w:space="0" w:color="auto"/>
        <w:bottom w:val="none" w:sz="0" w:space="0" w:color="auto"/>
        <w:right w:val="none" w:sz="0" w:space="0" w:color="auto"/>
      </w:divBdr>
      <w:divsChild>
        <w:div w:id="1348210707">
          <w:marLeft w:val="0"/>
          <w:marRight w:val="0"/>
          <w:marTop w:val="0"/>
          <w:marBottom w:val="0"/>
          <w:divBdr>
            <w:top w:val="none" w:sz="0" w:space="0" w:color="auto"/>
            <w:left w:val="none" w:sz="0" w:space="0" w:color="auto"/>
            <w:bottom w:val="none" w:sz="0" w:space="0" w:color="auto"/>
            <w:right w:val="none" w:sz="0" w:space="0" w:color="auto"/>
          </w:divBdr>
          <w:divsChild>
            <w:div w:id="928122819">
              <w:marLeft w:val="0"/>
              <w:marRight w:val="0"/>
              <w:marTop w:val="0"/>
              <w:marBottom w:val="0"/>
              <w:divBdr>
                <w:top w:val="none" w:sz="0" w:space="0" w:color="auto"/>
                <w:left w:val="none" w:sz="0" w:space="0" w:color="auto"/>
                <w:bottom w:val="none" w:sz="0" w:space="0" w:color="auto"/>
                <w:right w:val="none" w:sz="0" w:space="0" w:color="auto"/>
              </w:divBdr>
            </w:div>
          </w:divsChild>
        </w:div>
        <w:div w:id="1009723612">
          <w:marLeft w:val="0"/>
          <w:marRight w:val="0"/>
          <w:marTop w:val="0"/>
          <w:marBottom w:val="0"/>
          <w:divBdr>
            <w:top w:val="none" w:sz="0" w:space="0" w:color="auto"/>
            <w:left w:val="none" w:sz="0" w:space="0" w:color="auto"/>
            <w:bottom w:val="none" w:sz="0" w:space="0" w:color="auto"/>
            <w:right w:val="none" w:sz="0" w:space="0" w:color="auto"/>
          </w:divBdr>
          <w:divsChild>
            <w:div w:id="7047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4601">
      <w:bodyDiv w:val="1"/>
      <w:marLeft w:val="0"/>
      <w:marRight w:val="0"/>
      <w:marTop w:val="0"/>
      <w:marBottom w:val="0"/>
      <w:divBdr>
        <w:top w:val="none" w:sz="0" w:space="0" w:color="auto"/>
        <w:left w:val="none" w:sz="0" w:space="0" w:color="auto"/>
        <w:bottom w:val="none" w:sz="0" w:space="0" w:color="auto"/>
        <w:right w:val="none" w:sz="0" w:space="0" w:color="auto"/>
      </w:divBdr>
      <w:divsChild>
        <w:div w:id="2032024243">
          <w:marLeft w:val="0"/>
          <w:marRight w:val="0"/>
          <w:marTop w:val="0"/>
          <w:marBottom w:val="0"/>
          <w:divBdr>
            <w:top w:val="none" w:sz="0" w:space="0" w:color="auto"/>
            <w:left w:val="none" w:sz="0" w:space="0" w:color="auto"/>
            <w:bottom w:val="none" w:sz="0" w:space="0" w:color="auto"/>
            <w:right w:val="none" w:sz="0" w:space="0" w:color="auto"/>
          </w:divBdr>
          <w:divsChild>
            <w:div w:id="25373182">
              <w:marLeft w:val="0"/>
              <w:marRight w:val="0"/>
              <w:marTop w:val="0"/>
              <w:marBottom w:val="0"/>
              <w:divBdr>
                <w:top w:val="none" w:sz="0" w:space="0" w:color="auto"/>
                <w:left w:val="none" w:sz="0" w:space="0" w:color="auto"/>
                <w:bottom w:val="none" w:sz="0" w:space="0" w:color="auto"/>
                <w:right w:val="none" w:sz="0" w:space="0" w:color="auto"/>
              </w:divBdr>
            </w:div>
          </w:divsChild>
        </w:div>
        <w:div w:id="1488590734">
          <w:marLeft w:val="0"/>
          <w:marRight w:val="0"/>
          <w:marTop w:val="0"/>
          <w:marBottom w:val="0"/>
          <w:divBdr>
            <w:top w:val="none" w:sz="0" w:space="0" w:color="auto"/>
            <w:left w:val="none" w:sz="0" w:space="0" w:color="auto"/>
            <w:bottom w:val="none" w:sz="0" w:space="0" w:color="auto"/>
            <w:right w:val="none" w:sz="0" w:space="0" w:color="auto"/>
          </w:divBdr>
          <w:divsChild>
            <w:div w:id="2118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913">
      <w:bodyDiv w:val="1"/>
      <w:marLeft w:val="0"/>
      <w:marRight w:val="0"/>
      <w:marTop w:val="0"/>
      <w:marBottom w:val="0"/>
      <w:divBdr>
        <w:top w:val="none" w:sz="0" w:space="0" w:color="auto"/>
        <w:left w:val="none" w:sz="0" w:space="0" w:color="auto"/>
        <w:bottom w:val="none" w:sz="0" w:space="0" w:color="auto"/>
        <w:right w:val="none" w:sz="0" w:space="0" w:color="auto"/>
      </w:divBdr>
      <w:divsChild>
        <w:div w:id="803545229">
          <w:marLeft w:val="0"/>
          <w:marRight w:val="0"/>
          <w:marTop w:val="0"/>
          <w:marBottom w:val="0"/>
          <w:divBdr>
            <w:top w:val="none" w:sz="0" w:space="0" w:color="auto"/>
            <w:left w:val="none" w:sz="0" w:space="0" w:color="auto"/>
            <w:bottom w:val="none" w:sz="0" w:space="0" w:color="auto"/>
            <w:right w:val="none" w:sz="0" w:space="0" w:color="auto"/>
          </w:divBdr>
          <w:divsChild>
            <w:div w:id="494541170">
              <w:marLeft w:val="0"/>
              <w:marRight w:val="0"/>
              <w:marTop w:val="0"/>
              <w:marBottom w:val="0"/>
              <w:divBdr>
                <w:top w:val="none" w:sz="0" w:space="0" w:color="auto"/>
                <w:left w:val="none" w:sz="0" w:space="0" w:color="auto"/>
                <w:bottom w:val="none" w:sz="0" w:space="0" w:color="auto"/>
                <w:right w:val="none" w:sz="0" w:space="0" w:color="auto"/>
              </w:divBdr>
            </w:div>
          </w:divsChild>
        </w:div>
        <w:div w:id="986594019">
          <w:marLeft w:val="0"/>
          <w:marRight w:val="0"/>
          <w:marTop w:val="0"/>
          <w:marBottom w:val="0"/>
          <w:divBdr>
            <w:top w:val="none" w:sz="0" w:space="0" w:color="auto"/>
            <w:left w:val="none" w:sz="0" w:space="0" w:color="auto"/>
            <w:bottom w:val="none" w:sz="0" w:space="0" w:color="auto"/>
            <w:right w:val="none" w:sz="0" w:space="0" w:color="auto"/>
          </w:divBdr>
          <w:divsChild>
            <w:div w:id="12249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7766">
      <w:bodyDiv w:val="1"/>
      <w:marLeft w:val="0"/>
      <w:marRight w:val="0"/>
      <w:marTop w:val="0"/>
      <w:marBottom w:val="0"/>
      <w:divBdr>
        <w:top w:val="none" w:sz="0" w:space="0" w:color="auto"/>
        <w:left w:val="none" w:sz="0" w:space="0" w:color="auto"/>
        <w:bottom w:val="none" w:sz="0" w:space="0" w:color="auto"/>
        <w:right w:val="none" w:sz="0" w:space="0" w:color="auto"/>
      </w:divBdr>
      <w:divsChild>
        <w:div w:id="196086772">
          <w:marLeft w:val="0"/>
          <w:marRight w:val="0"/>
          <w:marTop w:val="0"/>
          <w:marBottom w:val="0"/>
          <w:divBdr>
            <w:top w:val="none" w:sz="0" w:space="0" w:color="auto"/>
            <w:left w:val="none" w:sz="0" w:space="0" w:color="auto"/>
            <w:bottom w:val="none" w:sz="0" w:space="0" w:color="auto"/>
            <w:right w:val="none" w:sz="0" w:space="0" w:color="auto"/>
          </w:divBdr>
          <w:divsChild>
            <w:div w:id="1098715394">
              <w:marLeft w:val="0"/>
              <w:marRight w:val="0"/>
              <w:marTop w:val="0"/>
              <w:marBottom w:val="0"/>
              <w:divBdr>
                <w:top w:val="none" w:sz="0" w:space="0" w:color="auto"/>
                <w:left w:val="none" w:sz="0" w:space="0" w:color="auto"/>
                <w:bottom w:val="none" w:sz="0" w:space="0" w:color="auto"/>
                <w:right w:val="none" w:sz="0" w:space="0" w:color="auto"/>
              </w:divBdr>
            </w:div>
          </w:divsChild>
        </w:div>
        <w:div w:id="173955400">
          <w:marLeft w:val="0"/>
          <w:marRight w:val="0"/>
          <w:marTop w:val="0"/>
          <w:marBottom w:val="0"/>
          <w:divBdr>
            <w:top w:val="none" w:sz="0" w:space="0" w:color="auto"/>
            <w:left w:val="none" w:sz="0" w:space="0" w:color="auto"/>
            <w:bottom w:val="none" w:sz="0" w:space="0" w:color="auto"/>
            <w:right w:val="none" w:sz="0" w:space="0" w:color="auto"/>
          </w:divBdr>
          <w:divsChild>
            <w:div w:id="1986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2309">
      <w:bodyDiv w:val="1"/>
      <w:marLeft w:val="0"/>
      <w:marRight w:val="0"/>
      <w:marTop w:val="0"/>
      <w:marBottom w:val="0"/>
      <w:divBdr>
        <w:top w:val="none" w:sz="0" w:space="0" w:color="auto"/>
        <w:left w:val="none" w:sz="0" w:space="0" w:color="auto"/>
        <w:bottom w:val="none" w:sz="0" w:space="0" w:color="auto"/>
        <w:right w:val="none" w:sz="0" w:space="0" w:color="auto"/>
      </w:divBdr>
      <w:divsChild>
        <w:div w:id="1278414152">
          <w:marLeft w:val="0"/>
          <w:marRight w:val="0"/>
          <w:marTop w:val="0"/>
          <w:marBottom w:val="0"/>
          <w:divBdr>
            <w:top w:val="none" w:sz="0" w:space="0" w:color="auto"/>
            <w:left w:val="none" w:sz="0" w:space="0" w:color="auto"/>
            <w:bottom w:val="none" w:sz="0" w:space="0" w:color="auto"/>
            <w:right w:val="none" w:sz="0" w:space="0" w:color="auto"/>
          </w:divBdr>
          <w:divsChild>
            <w:div w:id="410930757">
              <w:marLeft w:val="0"/>
              <w:marRight w:val="0"/>
              <w:marTop w:val="0"/>
              <w:marBottom w:val="0"/>
              <w:divBdr>
                <w:top w:val="none" w:sz="0" w:space="0" w:color="auto"/>
                <w:left w:val="none" w:sz="0" w:space="0" w:color="auto"/>
                <w:bottom w:val="none" w:sz="0" w:space="0" w:color="auto"/>
                <w:right w:val="none" w:sz="0" w:space="0" w:color="auto"/>
              </w:divBdr>
            </w:div>
          </w:divsChild>
        </w:div>
        <w:div w:id="552623352">
          <w:marLeft w:val="0"/>
          <w:marRight w:val="0"/>
          <w:marTop w:val="0"/>
          <w:marBottom w:val="0"/>
          <w:divBdr>
            <w:top w:val="none" w:sz="0" w:space="0" w:color="auto"/>
            <w:left w:val="none" w:sz="0" w:space="0" w:color="auto"/>
            <w:bottom w:val="none" w:sz="0" w:space="0" w:color="auto"/>
            <w:right w:val="none" w:sz="0" w:space="0" w:color="auto"/>
          </w:divBdr>
          <w:divsChild>
            <w:div w:id="798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434">
      <w:bodyDiv w:val="1"/>
      <w:marLeft w:val="0"/>
      <w:marRight w:val="0"/>
      <w:marTop w:val="0"/>
      <w:marBottom w:val="0"/>
      <w:divBdr>
        <w:top w:val="none" w:sz="0" w:space="0" w:color="auto"/>
        <w:left w:val="none" w:sz="0" w:space="0" w:color="auto"/>
        <w:bottom w:val="none" w:sz="0" w:space="0" w:color="auto"/>
        <w:right w:val="none" w:sz="0" w:space="0" w:color="auto"/>
      </w:divBdr>
      <w:divsChild>
        <w:div w:id="260140011">
          <w:marLeft w:val="0"/>
          <w:marRight w:val="0"/>
          <w:marTop w:val="0"/>
          <w:marBottom w:val="0"/>
          <w:divBdr>
            <w:top w:val="none" w:sz="0" w:space="0" w:color="auto"/>
            <w:left w:val="none" w:sz="0" w:space="0" w:color="auto"/>
            <w:bottom w:val="none" w:sz="0" w:space="0" w:color="auto"/>
            <w:right w:val="none" w:sz="0" w:space="0" w:color="auto"/>
          </w:divBdr>
          <w:divsChild>
            <w:div w:id="1572036818">
              <w:marLeft w:val="0"/>
              <w:marRight w:val="0"/>
              <w:marTop w:val="0"/>
              <w:marBottom w:val="0"/>
              <w:divBdr>
                <w:top w:val="none" w:sz="0" w:space="0" w:color="auto"/>
                <w:left w:val="none" w:sz="0" w:space="0" w:color="auto"/>
                <w:bottom w:val="none" w:sz="0" w:space="0" w:color="auto"/>
                <w:right w:val="none" w:sz="0" w:space="0" w:color="auto"/>
              </w:divBdr>
            </w:div>
          </w:divsChild>
        </w:div>
        <w:div w:id="579294236">
          <w:marLeft w:val="0"/>
          <w:marRight w:val="0"/>
          <w:marTop w:val="0"/>
          <w:marBottom w:val="0"/>
          <w:divBdr>
            <w:top w:val="none" w:sz="0" w:space="0" w:color="auto"/>
            <w:left w:val="none" w:sz="0" w:space="0" w:color="auto"/>
            <w:bottom w:val="none" w:sz="0" w:space="0" w:color="auto"/>
            <w:right w:val="none" w:sz="0" w:space="0" w:color="auto"/>
          </w:divBdr>
          <w:divsChild>
            <w:div w:id="13320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1169">
      <w:bodyDiv w:val="1"/>
      <w:marLeft w:val="0"/>
      <w:marRight w:val="0"/>
      <w:marTop w:val="0"/>
      <w:marBottom w:val="0"/>
      <w:divBdr>
        <w:top w:val="none" w:sz="0" w:space="0" w:color="auto"/>
        <w:left w:val="none" w:sz="0" w:space="0" w:color="auto"/>
        <w:bottom w:val="none" w:sz="0" w:space="0" w:color="auto"/>
        <w:right w:val="none" w:sz="0" w:space="0" w:color="auto"/>
      </w:divBdr>
      <w:divsChild>
        <w:div w:id="589001760">
          <w:marLeft w:val="0"/>
          <w:marRight w:val="0"/>
          <w:marTop w:val="0"/>
          <w:marBottom w:val="0"/>
          <w:divBdr>
            <w:top w:val="none" w:sz="0" w:space="0" w:color="auto"/>
            <w:left w:val="none" w:sz="0" w:space="0" w:color="auto"/>
            <w:bottom w:val="none" w:sz="0" w:space="0" w:color="auto"/>
            <w:right w:val="none" w:sz="0" w:space="0" w:color="auto"/>
          </w:divBdr>
          <w:divsChild>
            <w:div w:id="508448017">
              <w:marLeft w:val="0"/>
              <w:marRight w:val="0"/>
              <w:marTop w:val="0"/>
              <w:marBottom w:val="0"/>
              <w:divBdr>
                <w:top w:val="none" w:sz="0" w:space="0" w:color="auto"/>
                <w:left w:val="none" w:sz="0" w:space="0" w:color="auto"/>
                <w:bottom w:val="none" w:sz="0" w:space="0" w:color="auto"/>
                <w:right w:val="none" w:sz="0" w:space="0" w:color="auto"/>
              </w:divBdr>
            </w:div>
          </w:divsChild>
        </w:div>
        <w:div w:id="1528105917">
          <w:marLeft w:val="0"/>
          <w:marRight w:val="0"/>
          <w:marTop w:val="0"/>
          <w:marBottom w:val="0"/>
          <w:divBdr>
            <w:top w:val="none" w:sz="0" w:space="0" w:color="auto"/>
            <w:left w:val="none" w:sz="0" w:space="0" w:color="auto"/>
            <w:bottom w:val="none" w:sz="0" w:space="0" w:color="auto"/>
            <w:right w:val="none" w:sz="0" w:space="0" w:color="auto"/>
          </w:divBdr>
          <w:divsChild>
            <w:div w:id="6151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246">
      <w:bodyDiv w:val="1"/>
      <w:marLeft w:val="0"/>
      <w:marRight w:val="0"/>
      <w:marTop w:val="0"/>
      <w:marBottom w:val="0"/>
      <w:divBdr>
        <w:top w:val="none" w:sz="0" w:space="0" w:color="auto"/>
        <w:left w:val="none" w:sz="0" w:space="0" w:color="auto"/>
        <w:bottom w:val="none" w:sz="0" w:space="0" w:color="auto"/>
        <w:right w:val="none" w:sz="0" w:space="0" w:color="auto"/>
      </w:divBdr>
      <w:divsChild>
        <w:div w:id="1740857675">
          <w:marLeft w:val="0"/>
          <w:marRight w:val="0"/>
          <w:marTop w:val="0"/>
          <w:marBottom w:val="0"/>
          <w:divBdr>
            <w:top w:val="none" w:sz="0" w:space="0" w:color="auto"/>
            <w:left w:val="none" w:sz="0" w:space="0" w:color="auto"/>
            <w:bottom w:val="none" w:sz="0" w:space="0" w:color="auto"/>
            <w:right w:val="none" w:sz="0" w:space="0" w:color="auto"/>
          </w:divBdr>
          <w:divsChild>
            <w:div w:id="812336692">
              <w:marLeft w:val="0"/>
              <w:marRight w:val="0"/>
              <w:marTop w:val="0"/>
              <w:marBottom w:val="0"/>
              <w:divBdr>
                <w:top w:val="none" w:sz="0" w:space="0" w:color="auto"/>
                <w:left w:val="none" w:sz="0" w:space="0" w:color="auto"/>
                <w:bottom w:val="none" w:sz="0" w:space="0" w:color="auto"/>
                <w:right w:val="none" w:sz="0" w:space="0" w:color="auto"/>
              </w:divBdr>
            </w:div>
          </w:divsChild>
        </w:div>
        <w:div w:id="29916245">
          <w:marLeft w:val="0"/>
          <w:marRight w:val="0"/>
          <w:marTop w:val="0"/>
          <w:marBottom w:val="0"/>
          <w:divBdr>
            <w:top w:val="none" w:sz="0" w:space="0" w:color="auto"/>
            <w:left w:val="none" w:sz="0" w:space="0" w:color="auto"/>
            <w:bottom w:val="none" w:sz="0" w:space="0" w:color="auto"/>
            <w:right w:val="none" w:sz="0" w:space="0" w:color="auto"/>
          </w:divBdr>
          <w:divsChild>
            <w:div w:id="6323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3762">
      <w:bodyDiv w:val="1"/>
      <w:marLeft w:val="0"/>
      <w:marRight w:val="0"/>
      <w:marTop w:val="0"/>
      <w:marBottom w:val="0"/>
      <w:divBdr>
        <w:top w:val="none" w:sz="0" w:space="0" w:color="auto"/>
        <w:left w:val="none" w:sz="0" w:space="0" w:color="auto"/>
        <w:bottom w:val="none" w:sz="0" w:space="0" w:color="auto"/>
        <w:right w:val="none" w:sz="0" w:space="0" w:color="auto"/>
      </w:divBdr>
    </w:div>
    <w:div w:id="2063746826">
      <w:bodyDiv w:val="1"/>
      <w:marLeft w:val="0"/>
      <w:marRight w:val="0"/>
      <w:marTop w:val="0"/>
      <w:marBottom w:val="0"/>
      <w:divBdr>
        <w:top w:val="none" w:sz="0" w:space="0" w:color="auto"/>
        <w:left w:val="none" w:sz="0" w:space="0" w:color="auto"/>
        <w:bottom w:val="none" w:sz="0" w:space="0" w:color="auto"/>
        <w:right w:val="none" w:sz="0" w:space="0" w:color="auto"/>
      </w:divBdr>
      <w:divsChild>
        <w:div w:id="1933850391">
          <w:marLeft w:val="0"/>
          <w:marRight w:val="0"/>
          <w:marTop w:val="0"/>
          <w:marBottom w:val="0"/>
          <w:divBdr>
            <w:top w:val="none" w:sz="0" w:space="0" w:color="auto"/>
            <w:left w:val="none" w:sz="0" w:space="0" w:color="auto"/>
            <w:bottom w:val="none" w:sz="0" w:space="0" w:color="auto"/>
            <w:right w:val="none" w:sz="0" w:space="0" w:color="auto"/>
          </w:divBdr>
          <w:divsChild>
            <w:div w:id="1381974157">
              <w:marLeft w:val="0"/>
              <w:marRight w:val="0"/>
              <w:marTop w:val="0"/>
              <w:marBottom w:val="0"/>
              <w:divBdr>
                <w:top w:val="none" w:sz="0" w:space="0" w:color="auto"/>
                <w:left w:val="none" w:sz="0" w:space="0" w:color="auto"/>
                <w:bottom w:val="none" w:sz="0" w:space="0" w:color="auto"/>
                <w:right w:val="none" w:sz="0" w:space="0" w:color="auto"/>
              </w:divBdr>
            </w:div>
          </w:divsChild>
        </w:div>
        <w:div w:id="555580264">
          <w:marLeft w:val="0"/>
          <w:marRight w:val="0"/>
          <w:marTop w:val="0"/>
          <w:marBottom w:val="0"/>
          <w:divBdr>
            <w:top w:val="none" w:sz="0" w:space="0" w:color="auto"/>
            <w:left w:val="none" w:sz="0" w:space="0" w:color="auto"/>
            <w:bottom w:val="none" w:sz="0" w:space="0" w:color="auto"/>
            <w:right w:val="none" w:sz="0" w:space="0" w:color="auto"/>
          </w:divBdr>
          <w:divsChild>
            <w:div w:id="1399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mjopen.bmj.com/content/10/11/e043560" TargetMode="External"/><Relationship Id="rId26" Type="http://schemas.openxmlformats.org/officeDocument/2006/relationships/hyperlink" Target="https://www.iso.org/iso-3166-country-codes.html" TargetMode="External"/><Relationship Id="rId21" Type="http://schemas.openxmlformats.org/officeDocument/2006/relationships/hyperlink" Target="https://theconversation.com/coronavirus-why-the-nordics-are-our-best-bet-for-comparing-strategies-135344" TargetMode="External"/><Relationship Id="rId34" Type="http://schemas.openxmlformats.org/officeDocument/2006/relationships/footer" Target="footer1.xml"/><Relationship Id="rId7" Type="http://schemas.openxmlformats.org/officeDocument/2006/relationships/hyperlink" Target="https://www.google.com/covid19/mobility/" TargetMode="External"/><Relationship Id="rId12" Type="http://schemas.openxmlformats.org/officeDocument/2006/relationships/image" Target="media/image4.png"/><Relationship Id="rId17" Type="http://schemas.openxmlformats.org/officeDocument/2006/relationships/hyperlink" Target="https://www.analyticsvidhya.com/blog/2020/10/introduction-hadoop-ecosystem/" TargetMode="External"/><Relationship Id="rId25" Type="http://schemas.openxmlformats.org/officeDocument/2006/relationships/hyperlink" Target="https://www.nature.com/articles/s41597-020-00688-8" TargetMode="External"/><Relationship Id="rId33" Type="http://schemas.openxmlformats.org/officeDocument/2006/relationships/hyperlink" Target="http://dx.doi.org/10.2139/ssrn.3571708" TargetMode="External"/><Relationship Id="rId2" Type="http://schemas.openxmlformats.org/officeDocument/2006/relationships/styles" Target="styles.xml"/><Relationship Id="rId16" Type="http://schemas.openxmlformats.org/officeDocument/2006/relationships/hyperlink" Target="https://www.oaic.gov.au/privacy/guidance-and-advice/guide-to-data-analytics-and-the-australian-privacy-principles/" TargetMode="External"/><Relationship Id="rId20" Type="http://schemas.openxmlformats.org/officeDocument/2006/relationships/hyperlink" Target="https://theconversation.com/no-australia-should-not-follow-swedens-approach-to-coronavirus-143540" TargetMode="External"/><Relationship Id="rId29" Type="http://schemas.openxmlformats.org/officeDocument/2006/relationships/hyperlink" Target="https://www.newscientist.com/article/2251615-is-swedens-coronavirus-strategy-a-cautionary-tale-or-a-success-s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analyticsvidhya.com/blog/2016/09/comprehensive-introduction-to-apache-spark-rdds-dataframes-using-pyspark/?utm_source=blog&amp;utm_medium=hadoop-ecosystem" TargetMode="External"/><Relationship Id="rId32" Type="http://schemas.openxmlformats.org/officeDocument/2006/relationships/hyperlink" Target="https://databricks.com/blog/2014/01/21/spark-and-hadoop.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upport.google.com/covid19-mobility" TargetMode="External"/><Relationship Id="rId28" Type="http://schemas.openxmlformats.org/officeDocument/2006/relationships/hyperlink" Target="https://looker.com/blog/big-data-ethics-privacy"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vidlive.com.au" TargetMode="External"/><Relationship Id="rId31" Type="http://schemas.openxmlformats.org/officeDocument/2006/relationships/hyperlink" Target="https://royalsocietypublishing.org/doi/10.1098/rsos.200909"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eforum.org/agenda/2020/04/covid-19-spread-logarithmic-graph/" TargetMode="External"/><Relationship Id="rId27" Type="http://schemas.openxmlformats.org/officeDocument/2006/relationships/hyperlink" Target="https://logz.io/blog/hadoop-vs-spark/" TargetMode="External"/><Relationship Id="rId30" Type="http://schemas.openxmlformats.org/officeDocument/2006/relationships/hyperlink" Target="https://interactives.lowyinstitute.org/features/covid-performance/" TargetMode="External"/><Relationship Id="rId35" Type="http://schemas.openxmlformats.org/officeDocument/2006/relationships/footer" Target="footer2.xml"/><Relationship Id="rId8" Type="http://schemas.openxmlformats.org/officeDocument/2006/relationships/hyperlink" Target="https://ourworldindata.org/coronavirus-dat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15</Pages>
  <Words>5924</Words>
  <Characters>33768</Characters>
  <Application>Microsoft Office Word</Application>
  <DocSecurity>0</DocSecurity>
  <Lines>281</Lines>
  <Paragraphs>79</Paragraphs>
  <ScaleCrop>false</ScaleCrop>
  <Company/>
  <LinksUpToDate>false</LinksUpToDate>
  <CharactersWithSpaces>39613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Kither</dc:creator>
  <cp:keywords/>
  <dc:description/>
  <cp:lastModifiedBy>Diana Kither</cp:lastModifiedBy>
  <cp:revision>72</cp:revision>
  <dcterms:created xsi:type="dcterms:W3CDTF">2021-02-04T00:48:00Z</dcterms:created>
  <dcterms:modified xsi:type="dcterms:W3CDTF">2022-10-02T06:01:00Z</dcterms:modified>
</cp:coreProperties>
</file>