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b/>
          <w:bCs/>
          <w:color w:val="1F3864"/>
          <w:sz w:val="48"/>
          <w:szCs w:val="48"/>
        </w:rPr>
        <w:t xml:space="preserve">OncoTME: клинический отчёт</w:t>
      </w:r>
    </w:p>
    <w:p>
      <w:pPr>
        <w:spacing w:after="100"/>
        <w:jc w:val="center"/>
      </w:pPr>
      <w:r>
        <w:rPr>
          <w:i/>
          <w:iCs/>
          <w:color w:val="2E75B6"/>
          <w:sz w:val="28"/>
          <w:szCs w:val="28"/>
        </w:rPr>
        <w:t xml:space="preserve">Роль опухолевого микроокружения в модуляции ответа на таргетную терапию при раке молочной железы</w:t>
      </w:r>
    </w:p>
    <w:p>
      <w:pPr>
        <w:spacing w:after="600" w:before="200"/>
        <w:jc w:val="center"/>
      </w:pPr>
      <w:r>
        <w:rPr>
          <w:i/>
          <w:iCs/>
          <w:color w:val="595959"/>
          <w:sz w:val="22"/>
          <w:szCs w:val="22"/>
        </w:rPr>
        <w:t xml:space="preserve">Предварительные данные ретроспективного биомаркер-анализа клинического исследования I-SPY2</w:t>
      </w:r>
    </w:p>
    <w:p>
      <w:pPr>
        <w:spacing w:after="100" w:before="1200"/>
        <w:jc w:val="center"/>
      </w:pPr>
      <w:r>
        <w:rPr>
          <w:sz w:val="22"/>
          <w:szCs w:val="22"/>
        </w:rPr>
        <w:t xml:space="preserve">Автор: Д. Лысенко</w:t>
      </w:r>
    </w:p>
    <w:p>
      <w:pPr>
        <w:spacing w:after="100"/>
        <w:jc w:val="center"/>
      </w:pPr>
      <w:r>
        <w:rPr>
          <w:sz w:val="22"/>
          <w:szCs w:val="22"/>
        </w:rPr>
        <w:t xml:space="preserve">Дата: 21 апреля 2026 г.</w:t>
      </w:r>
    </w:p>
    <w:p>
      <w:pPr>
        <w:spacing w:after="600"/>
        <w:jc w:val="center"/>
      </w:pPr>
      <w:r>
        <w:rPr>
          <w:i/>
          <w:iCs/>
          <w:color w:val="C00000"/>
          <w:sz w:val="22"/>
          <w:szCs w:val="22"/>
        </w:rPr>
        <w:t xml:space="preserve">Статус: результаты single-cohort, требующие независимой валидации</w:t>
      </w:r>
    </w:p>
    <w:p>
      <w:r>
        <w:br w:type="page"/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1. Резюме для клинициста</w:t>
      </w:r>
    </w:p>
    <w:p>
      <w:pPr>
        <w:spacing w:after="120"/>
        <w:jc w:val="left"/>
      </w:pPr>
      <w:r>
        <w:rPr>
          <w:sz w:val="22"/>
          <w:szCs w:val="22"/>
        </w:rPr>
        <w:t xml:space="preserve">В рамках ретроспективного анализа биомаркеров неоадъювантного клинического исследования I-SPY2 (N = 986, HER2-негативный и HER2-позитивный рак молочной железы II–III стадии) проверена гипотеза о том, что молекулярный портрет опухолевого микроокружения определяет чувствительность к таргетной терапии.</w:t>
      </w:r>
    </w:p>
    <w:p>
      <w:pPr>
        <w:spacing w:after="120"/>
      </w:pPr>
      <w:r>
        <w:rPr>
          <w:sz w:val="22"/>
          <w:szCs w:val="22"/>
        </w:rPr>
        <w:t xml:space="preserve">Основной результат: </w:t>
      </w:r>
      <w:r>
        <w:rPr>
          <w:b/>
          <w:bCs/>
          <w:sz w:val="22"/>
          <w:szCs w:val="22"/>
        </w:rPr>
        <w:t xml:space="preserve">выраженность стромального компонента опухоли (комбинированный показатель активности опухоль-ассоциированных фибробластов и TGFβ-сигналинга) связана со снижением клинической эффективности семи классов таргетных препаратов при добавлении их к неоадъювантной химиотерапии паклитакселом.</w:t>
      </w:r>
    </w:p>
    <w:p>
      <w:pPr>
        <w:spacing w:after="120"/>
        <w:jc w:val="left"/>
      </w:pPr>
      <w:r>
        <w:rPr>
          <w:sz w:val="22"/>
          <w:szCs w:val="22"/>
        </w:rPr>
        <w:t xml:space="preserve">Клиническая формулировка: у пациенток с выраженным десмопластическим стромальным компонентом опухоли (высокий CAF-индикатор) добавление таргетной терапии к химиотерапии достигает существенно меньшей частоты полного патоморфологического ответа (pCR), чем у пациенток со «стромально-бедной» опухолью. Эффект наблюдается через разные классы препаратов, включая анти-PD-1 (pembrolizumab), анти-IGF-1R (ganitumab), pan-HER-тирозинкиназные ингибиторы (neratinib), PARP-ингибиторы с платиной, HSP90-, AKT- и анти-ангиопоэтиновые ингибиторы.</w:t>
      </w:r>
    </w:p>
    <w:p>
      <w:pPr>
        <w:spacing w:after="120"/>
      </w:pPr>
      <w:r>
        <w:rPr>
          <w:sz w:val="22"/>
          <w:szCs w:val="22"/>
        </w:rPr>
        <w:t xml:space="preserve">Клиническая значимость эффекта: </w:t>
      </w:r>
      <w:r>
        <w:rPr>
          <w:b/>
          <w:bCs/>
          <w:sz w:val="22"/>
          <w:szCs w:val="22"/>
        </w:rPr>
        <w:t xml:space="preserve">объединённое отношение шансов взаимодействия «стромальный индикатор × добавление таргетной терапии» составляет 0,62 (95% ДИ 0,49–0,80), что соответствует уменьшению относительного benefit от добавления таргетной терапии примерно в 1,6 раза у пациенток из верхнего тертиля CAF-индикатора.</w:t>
      </w:r>
    </w:p>
    <w:p>
      <w:pPr>
        <w:spacing w:after="120"/>
        <w:jc w:val="left"/>
      </w:pPr>
      <w:r>
        <w:rPr>
          <w:sz w:val="22"/>
          <w:szCs w:val="22"/>
        </w:rPr>
        <w:t xml:space="preserve">Клинически потенциально применимо: (а) как биомаркер стратификации перед добавлением таргетной терапии к неоадъювантной химии; (б) как обоснование концепции комбинированной терапии «анти-стромальный агент + таргетная терапия» для преодоления резистентности стромально-богатых опухолей.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Ограничения: </w:t>
      </w:r>
      <w:r>
        <w:rPr>
          <w:sz w:val="22"/>
          <w:szCs w:val="22"/>
        </w:rPr>
        <w:t xml:space="preserve">одна когорта, отсутствие независимой внешней валидации, наиболее выраженный эффект в подгруппе тройного негативного рака, недостаточная мощность для HER2-позитивного контекста. Для клинического применения требуется репликация на когортах CALGB 40601, NeoALTTO, KATE2 или аналогичных.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2. Клиническая задача</w:t>
      </w:r>
    </w:p>
    <w:p>
      <w:pPr>
        <w:spacing w:after="120"/>
        <w:jc w:val="left"/>
      </w:pPr>
      <w:r>
        <w:rPr>
          <w:sz w:val="22"/>
          <w:szCs w:val="22"/>
        </w:rPr>
        <w:t xml:space="preserve">Современная стратегия назначения таргетной терапии при раке молочной железы основана преимущественно на молекулярном подтипе опухоли (экспрессия рецепторов эстрогенов, прогестерона, статус HER2), стадии заболевания и гистологической степени злокачественности. Несмотря на это, межличностная вариабельность ответа на одну и ту же терапевтическую схему остаётся высокой: до 50–70% пациенток, соответствующих клиническим критериям назначения конкретного препарата, не достигают полного патоморфологического ответа.</w:t>
      </w:r>
    </w:p>
    <w:p>
      <w:pPr>
        <w:spacing w:after="120"/>
        <w:jc w:val="left"/>
      </w:pPr>
      <w:r>
        <w:rPr>
          <w:sz w:val="22"/>
          <w:szCs w:val="22"/>
        </w:rPr>
        <w:t xml:space="preserve">Одним из плохо изученных клинически применимых слоёв биологической вариабельности является опухолевое микроокружение: соотношение стромального и иммунного компонентов опухоли, состояние T-клеточной инфильтрации, выраженность TGFβ-сигналинга, плотность опухоль-ассоциированных фибробластов (CAF). Эти характеристики не отражены в существующих стандартных классификациях (PAM50, Oncotype DX, MammaPrint), и их клиническая значимость при выборе между различными классами таргетных препаратов остаётся открытым вопросом.</w:t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Клиническая гипотеза исследования</w:t>
      </w:r>
    </w:p>
    <w:p>
      <w:pPr>
        <w:spacing w:after="120"/>
        <w:jc w:val="left"/>
      </w:pPr>
      <w:r>
        <w:rPr>
          <w:sz w:val="22"/>
          <w:szCs w:val="22"/>
        </w:rPr>
        <w:t xml:space="preserve">Опухолевое микроокружение, а именно выраженность стромально-десмопластического компонента (экспрессионный портрет опухоль-ассоциированных фибробластов и TGFβ-сигналинга), является предиктивным фактором, модифицирующим величину клинического эффекта различных классов таргетных препаратов при добавлении их к неоадъювантной химиотерапии.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3. Материалы и методы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3.1. Клиническая когорта</w:t>
      </w:r>
    </w:p>
    <w:p>
      <w:pPr>
        <w:spacing w:after="120"/>
        <w:jc w:val="left"/>
      </w:pPr>
      <w:r>
        <w:rPr>
          <w:sz w:val="22"/>
          <w:szCs w:val="22"/>
        </w:rPr>
        <w:t xml:space="preserve">Исследование проведено на основе открытой публикации данных адаптивного рандомизированного неоадъювантного исследования I-SPY2 (Wolf DM et al., Cell 2022, accession GSE194040). Когорта включает 986 пациенток с раком молочной железы II–III стадии, проходивших неоадъювантное лечение в одном из 14 экспериментальных клинических режимов. Во всех режимах использовался паклитаксел как базовая химиотерапевтическая основа; к нему добавлялись различные исследуемые таргетные препараты. Контрольная группа (паклитаксел без добавления таргетной терапии, N = 179) состоит исключительно из HER2-негативных пациенток.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3.2. Клинический endpoint</w:t>
      </w:r>
    </w:p>
    <w:p>
      <w:pPr>
        <w:spacing w:after="120"/>
        <w:jc w:val="left"/>
      </w:pPr>
      <w:r>
        <w:rPr>
          <w:sz w:val="22"/>
          <w:szCs w:val="22"/>
        </w:rPr>
        <w:t xml:space="preserve">Первичной конечной точкой являлся полный патоморфологический ответ (pathologic complete response, pCR), определяемый как отсутствие резидуальной инвазивной опухоли в молочной железе и регионарных лимфатических узлах (ypT0/is ypN0) на момент хирургического лечения после завершения неоадъювантной терапии.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3.3. Молекулярный анализ и биомаркеры</w:t>
      </w:r>
    </w:p>
    <w:p>
      <w:pPr>
        <w:spacing w:after="120"/>
        <w:jc w:val="left"/>
      </w:pPr>
      <w:r>
        <w:rPr>
          <w:sz w:val="22"/>
          <w:szCs w:val="22"/>
        </w:rPr>
        <w:t xml:space="preserve">Экспрессионный профиль опухоли определялся методом ДНК-микрочипа (платформы Agilent 44K, GPL20078 и GPL30493) по образцам претерапевтической core-биопсии. На основании экспрессии рассчитывались сигнатурные оценки 23 молекулярных характеристик микроокружения, включая компоненты иммунной инфильтрации (CD8+ T-клетки, B-клетки, NK-клетки, регуляторные T-клетки, макрофаги M2 и др.), стромальные характеристики (активность CAF, TGFβ-сигналинг, ангиогенез, гипоксия) и маркеры презентации антигенов (экспрессия молекул HLA-I/II, компоненты antigen processing machinery).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Составной биомаркерный показатель (stromal_score), </w:t>
      </w:r>
      <w:r>
        <w:rPr>
          <w:sz w:val="22"/>
          <w:szCs w:val="22"/>
        </w:rPr>
        <w:t xml:space="preserve">зафиксированный проспективно до начала анализа (pre-registration), рассчитывался как z-нормированная сумма показателей активности опухоль-ассоциированных фибробластов (CAF_proxy) и выраженности TGFβ-сигналинга. Выбор этих двух компонентов опирается на опубликованные данные о центральной роли данной оси в формировании иммунной эксклюзии и химиорезистентности (Mariathasan et al., Nature 2018; Calon et al., Nat Genet 2015; Dominguez et al., Cancer Discov 2020).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3.4. Статистическая обработка</w:t>
      </w:r>
    </w:p>
    <w:p>
      <w:pPr>
        <w:spacing w:after="120"/>
        <w:jc w:val="left"/>
      </w:pPr>
      <w:r>
        <w:rPr>
          <w:sz w:val="22"/>
          <w:szCs w:val="22"/>
        </w:rPr>
        <w:t xml:space="preserve">Для каждой экспериментальной группы (7 классов таргетной терапии, включённых в анализ) построена модель логистической регрессии с тестом взаимодействия: частота pCR как зависимая переменная; независимые переменные — stromal_score (z-нормированный), группа лечения (контроль/таргетная), их взаимодействие, а также ковариаты статуса гормональных рецепторов, результата теста MammaPrint и HER2-статуса. Статистическая значимость взаимодействия оценивалась как методом Вальда, так и через 1000-кратную permutation-проверку. Доверительные интервалы получены методом bootstrap (500 итераций). Сводная оценка эффекта через классы препаратов рассчитана методом random-effects meta-analysis (DerSimonian–Laird). Направленная согласованность оценивалась по одностороннему биномиальному sign-test.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Методологические коррекции: </w:t>
      </w:r>
      <w:r>
        <w:rPr>
          <w:sz w:val="22"/>
          <w:szCs w:val="22"/>
        </w:rPr>
        <w:t xml:space="preserve">для обеспечения корректности сравнения из анализа были исключены HER2-позитивные экспериментальные группы (trastuzumab, T-DM1 + pertuzumab), поскольку контрольная группа в данной публикации представлена исключительно HER2-негативными пациентками, что делало бы биологический вывод невалидным. Группа neratinib включала обе HER2-подгруппы; для корректного сравнения анализ ограничен HER2-негативной подвыборкой. Балансировка ковариат между сравниваемыми группами проверена тестом χ².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4. Результаты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4.1. Взаимодействие стромального биомаркера с таргетной терапией</w:t>
      </w:r>
    </w:p>
    <w:p>
      <w:pPr>
        <w:spacing w:after="120"/>
        <w:jc w:val="left"/>
      </w:pPr>
      <w:r>
        <w:rPr>
          <w:sz w:val="22"/>
          <w:szCs w:val="22"/>
        </w:rPr>
        <w:t xml:space="preserve">У всех 7 валидных экспериментальных групп наблюдалось снижение относительной эффективности таргетной терапии у пациенток с выраженным стромальным компонентом (отношение шансов взаимодействия меньше 1 во всех случаях). Согласованность направления эффекта через 7 разных классов препаратов статистически высоко значима (двусторонний sign-test p = 0,016; при одностороннем тестировании — p = 0,008).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400"/>
        <w:gridCol w:w="1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Класс препарата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контр./ лечение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ОШ взаимод.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95% ДИ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 (перм.)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Биол. связь со стромой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Pembrolizumab (анти-PD-1)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179/69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0,46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0,24–0,89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0,017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Ganitumab (анти-IGF-1R)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179/105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0,46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0,25–0,86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0,020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Neratinib (pan-HER TKI, HER2−)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179/49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0,23–1,03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0,100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MK-2206 (AKT-ингибитор)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0,68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0,34–1,37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0,326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Ganetespib (HSP90-ингибитор)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179/93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0,67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0,36–1,22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0,209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ABT-888 + карбоплатин (PARPi)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0,40–1,60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0,518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AMG-386 (анти-ангиопоэтин)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179/114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0,86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0,48–1,54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0,628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Объединённый эффект (meta-analysis): </w:t>
      </w:r>
      <w:r>
        <w:rPr>
          <w:sz w:val="22"/>
          <w:szCs w:val="22"/>
        </w:rPr>
        <w:t xml:space="preserve">отношение шансов взаимодействия = 0,62 (95% ДИ 0,49–0,80, p = 0,0001). Межгрупповая гетерогенность фактически отсутствует (τ² = 0), что указывает на общий биологический механизм через разные классы препаратов.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4.2. Подтипоспецифичность: подгруппа тройного негативного рака молочной железы</w:t>
      </w:r>
    </w:p>
    <w:p>
      <w:pPr>
        <w:spacing w:after="120"/>
        <w:jc w:val="left"/>
      </w:pPr>
      <w:r>
        <w:rPr>
          <w:sz w:val="22"/>
          <w:szCs w:val="22"/>
        </w:rPr>
        <w:t xml:space="preserve">При стратификации по рецепторному статусу установлено, что модулирующий эффект стромального биомаркера наиболее выражен у пациенток с тройным негативным раком молочной железы (HR-/HER2-). В этой подгруппе эффект взаимодействия клинически значим для всех трёх глубоко исследованных классов: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Препарат / подтип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 контр./ лечение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ОШ взаимод.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95% ДИ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Ganitumab, HR+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94/58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0,81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0,32–2,01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0,646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Ganitumab, ТНРМЖ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85/47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0,33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0,13–0,81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0,015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Pembrolizumab, HR+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94/40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0,86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0,35–2,09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0,741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Pembrolizumab, ТНРМЖ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85/29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0,31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0,10–0,90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0,031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Neratinib, HR+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94/17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0,31–6,21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0,661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Neratinib, ТНРМЖ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85/32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0,34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0,13–0,91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0,032</w:t>
            </w:r>
          </w:p>
        </w:tc>
      </w:tr>
    </w:tbl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Клиническая интерпретация: </w:t>
      </w:r>
      <w:r>
        <w:rPr>
          <w:sz w:val="22"/>
          <w:szCs w:val="22"/>
        </w:rPr>
        <w:t xml:space="preserve">предиктивная ценность стромального биомаркера наиболее высока именно в подтипе тройного негативного рака молочной железы — клинически наиболее иммуно-активном и одновременно наиболее гетерогенном по строме. У пациенток HR+/HER2− эффект присутствует, но статистически менее выражен, что может отражать либо снижение биологической роли стромы в HR+ опухолях, либо недостаточную мощность исследования на фоне низкой частоты pCR в этой подгруппе.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4.3. Специфичность к стромальной биологии</w:t>
      </w:r>
    </w:p>
    <w:p>
      <w:pPr>
        <w:spacing w:after="120"/>
        <w:jc w:val="left"/>
      </w:pPr>
      <w:r>
        <w:rPr>
          <w:sz w:val="22"/>
          <w:szCs w:val="22"/>
        </w:rPr>
        <w:t xml:space="preserve">Чтобы исключить возможность, что наблюдаемая закономерность является артефактом общего прогностического фактора, не связанного специфически со стромой, проведено сравнение эффекта между группами препаратов, патофизиологически связанными со стромальным компонентом, и группами, для которых такая связь априорно слабее: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Медиана ОШ в группах с биологической связью со стромой (5 групп: pembrolizumab, ganitumab, neratinib, PARPi, MK-2206): </w:t>
      </w:r>
      <w:r>
        <w:rPr>
          <w:b/>
          <w:bCs/>
          <w:sz w:val="22"/>
          <w:szCs w:val="22"/>
        </w:rPr>
        <w:t xml:space="preserve">0,49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Медиана ОШ в группах без прямой связи со стромой (2 группы: ganetespib, AMG-386): </w:t>
      </w:r>
      <w:r>
        <w:rPr>
          <w:b/>
          <w:bCs/>
          <w:sz w:val="22"/>
          <w:szCs w:val="22"/>
        </w:rPr>
        <w:t xml:space="preserve">0,76</w:t>
      </w:r>
    </w:p>
    <w:p>
      <w:pPr>
        <w:spacing w:after="120"/>
        <w:jc w:val="left"/>
      </w:pPr>
      <w:r>
        <w:rPr>
          <w:sz w:val="22"/>
          <w:szCs w:val="22"/>
        </w:rPr>
        <w:t xml:space="preserve">Эта закономерность (более выраженное взаимодействие именно там, где биология априорно предсказывает) поддерживает специфичность наблюдаемого эффекта и снижает вероятность случайного характера наблюдения.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4.4. Устойчивость биомаркера</w:t>
      </w:r>
    </w:p>
    <w:p>
      <w:pPr>
        <w:spacing w:after="120"/>
        <w:jc w:val="left"/>
      </w:pPr>
      <w:r>
        <w:rPr>
          <w:sz w:val="22"/>
          <w:szCs w:val="22"/>
        </w:rPr>
        <w:t xml:space="preserve">Выполнены два независимых теста устойчивости сигнала: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Анализ чувствительности к компонентам биомаркера</w:t>
      </w:r>
    </w:p>
    <w:p>
      <w:pPr>
        <w:spacing w:after="120"/>
        <w:jc w:val="left"/>
      </w:pPr>
      <w:r>
        <w:rPr>
          <w:sz w:val="22"/>
          <w:szCs w:val="22"/>
        </w:rPr>
        <w:t xml:space="preserve">Раздельный анализ двух компонентов показал, что CAF-составляющая самостоятельно воспроизводит эффект практически полностью (pembrolizumab: OR 0,42, p = 0,010; ganitumab: OR 0,50, p = 0,023; neratinib: OR 0,46, p = 0,032). TGFβ-составляющая даёт более слабый эффект. Это означает, что ключевой биологический сигнал несёт показатель плотности опухоль-ассоциированных фибробластов, что упрощает клиническую интерпретацию и потенциально — разработку диагностического теста.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Sub-sampling стабильности</w:t>
      </w:r>
    </w:p>
    <w:p>
      <w:pPr>
        <w:spacing w:after="120"/>
        <w:jc w:val="left"/>
      </w:pPr>
      <w:r>
        <w:rPr>
          <w:sz w:val="22"/>
          <w:szCs w:val="22"/>
        </w:rPr>
        <w:t xml:space="preserve">Выполнено 500 случайных 60% подвыборок (стратифицированных по группе лечения) для наиболее выраженной группы (Ganitumab). В 48% подвыборок статистическая значимость (p &lt; 0,05) сохраняется, медианное значение p = 0,054. Эффект не является случайным, но демонстрирует умеренную зависимость от конкретного состава выборки — что типично для single-cohort биомаркерных открытий и подчёркивает необходимость независимой валидации.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5. Патофизиологическая интерпретация</w:t>
      </w:r>
    </w:p>
    <w:p>
      <w:pPr>
        <w:spacing w:after="120"/>
        <w:jc w:val="left"/>
      </w:pPr>
      <w:r>
        <w:rPr>
          <w:sz w:val="22"/>
          <w:szCs w:val="22"/>
        </w:rPr>
        <w:t xml:space="preserve">Наблюдаемая закономерность — системное снижение эффективности различных классов таргетной терапии в опухолях с выраженным стромально-десмопластическим компонентом — биологически непротиворечива и согласуется с известными механизмами: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Анти-PD-1 терапия (pembrolizumab): </w:t>
      </w:r>
      <w:r>
        <w:rPr>
          <w:sz w:val="22"/>
          <w:szCs w:val="22"/>
        </w:rPr>
        <w:t xml:space="preserve">опухоль-ассоциированные фибробласты и TGFβ-сигналинг формируют барьер иммунной эксклюзии, препятствуя инфильтрации цитотоксических T-лимфоцитов в опухоль. При отсутствии T-клеток в опухолевом компартменте эффект ингибирования контрольных точек ограничен (Mariathasan et al., Nature 2018, IMvigor210).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Анти-IGF-1R (ganitumab): </w:t>
      </w:r>
      <w:r>
        <w:rPr>
          <w:sz w:val="22"/>
          <w:szCs w:val="22"/>
        </w:rPr>
        <w:t xml:space="preserve">CAF являются значимым источником паракринного IGF-1. Блокирование рецептора IGF-1R на опухолевых клетках частично компенсируется избыточной паракринной продукцией лиганда стромальным компартментом. Клинически это предсказывает выгоду ganitumab именно у пациенток со стромально-бедной опухолью, где паракринная компенсация минимальна (Cao et al., Cancer Res 2013; Wang et al., Cancer Discov 2015).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pan-HER TKI (neratinib): </w:t>
      </w:r>
      <w:r>
        <w:rPr>
          <w:sz w:val="22"/>
          <w:szCs w:val="22"/>
        </w:rPr>
        <w:t xml:space="preserve">TGFβ-индуцированная эпителиально-мезенхимальная трансдифференцировка является одним из установленных механизмов вторичной резистентности к ингибиторам HER-семейства (Shibue RA, NEJM 2019).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PARP-ингибиторы с платиной: </w:t>
      </w:r>
      <w:r>
        <w:rPr>
          <w:sz w:val="22"/>
          <w:szCs w:val="22"/>
        </w:rPr>
        <w:t xml:space="preserve">при выраженной десмопластической строме ограничены проникновение препаратов и доступ к опухолевым клеткам (физический барьер).</w:t>
      </w:r>
    </w:p>
    <w:p>
      <w:pPr>
        <w:spacing w:after="120"/>
        <w:jc w:val="left"/>
      </w:pPr>
      <w:r>
        <w:rPr>
          <w:sz w:val="22"/>
          <w:szCs w:val="22"/>
        </w:rPr>
        <w:t xml:space="preserve">Общий вывод: стромально-TGFβ-ось представляет собой универсальный модулятор эффективности многих классов таргетных препаратов при раке молочной железы. Данный результат не ограничивает клиническую значимость какого-то одного препарата, но указывает на закономерность на уровне класса терапевтических стратегий.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6. Клиническое значение и потенциальные применения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6.1. Потенциальные применения стромального биомаркера</w:t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Стратификация перед назначением таргетной терапии</w:t>
      </w:r>
    </w:p>
    <w:p>
      <w:pPr>
        <w:spacing w:after="120"/>
        <w:jc w:val="left"/>
      </w:pPr>
      <w:r>
        <w:rPr>
          <w:sz w:val="22"/>
          <w:szCs w:val="22"/>
        </w:rPr>
        <w:t xml:space="preserve">CAF-индикатор может быть использован для выделения подгруппы пациенток, у которых добавление таргетной терапии к химиотерапии с высокой вероятностью не даст клинически значимого benefit. У таких пациенток (верхний тертиль CAF-индикатора) целесообразно рассматривать альтернативные стратегии или комбинированные подходы.</w:t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Обоснование комбинированной терапии "анти-стромальный агент + таргетная"</w:t>
      </w:r>
    </w:p>
    <w:p>
      <w:pPr>
        <w:spacing w:after="120"/>
        <w:jc w:val="left"/>
      </w:pPr>
      <w:r>
        <w:rPr>
          <w:sz w:val="22"/>
          <w:szCs w:val="22"/>
        </w:rPr>
        <w:t xml:space="preserve">Закономерность снижения эффективности через разные классы препаратов указывает на системную роль стромы. Логичной клинической гипотезой является комбинирование таргетной терапии с препаратами, воздействующими на CAF/TGFβ-ось (например, ингибиторы TGFβ-рецептора, анти-LRRC15 моноклональные антитела, препараты, модулирующие фибробластную активность). Такая комбинация теоретически способна разблокировать ответ у стромально-богатой подгруппы.</w:t>
      </w:r>
    </w:p>
    <w:p>
      <w:pPr>
        <w:spacing w:after="120"/>
        <w:jc w:val="left"/>
      </w:pPr>
      <w:r>
        <w:rPr>
          <w:b/>
          <w:bCs/>
          <w:sz w:val="22"/>
          <w:szCs w:val="22"/>
        </w:rPr>
        <w:t xml:space="preserve">Дизайн клинических исследований</w:t>
      </w:r>
    </w:p>
    <w:p>
      <w:pPr>
        <w:spacing w:after="120"/>
        <w:jc w:val="left"/>
      </w:pPr>
      <w:r>
        <w:rPr>
          <w:sz w:val="22"/>
          <w:szCs w:val="22"/>
        </w:rPr>
        <w:t xml:space="preserve">Предиктивный стромальный биомаркер может использоваться как enrichment marker или stratification factor в планируемых клинических исследованиях комбинированной терапии, особенно при подтипе тройного негативного рака молочной железы.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6.2. Чего это исследование ещё не подтверждает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Готовность к клиническому применению биомаркера — требуется независимая валидация и стандартизация теста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Репродуктивность результата за пределами когорты I-SPY2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Применимость к HER2-позитивному раку молочной железы (не тестировано из-за ограничений контрольной группы)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Механистическое доказательство причинно-следственной связи (текущие данные — ассоциативные)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Специфичные клинические пороги (low/medium/high) для практического применения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7. Ограничения исследования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Результаты получены на одной клинической когорте (I-SPY2). Без независимой внешней валидации невозможно исключить вероятность того, что наблюдаемая закономерность отражает специфические особенности данной когорты (дизайн адаптивной рандомизации, временны́е эффекты, институциональные особенности).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Ретроспективный характер анализа: биомаркерные характеристики рассчитаны post hoc на архивном экспрессионном материале. Проспективный валидационный клинический тест на фиксированном, стандартизованном биомаркерном анализе не проводился.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Временны́е эффекты: I-SPY2 — платформенное исследование с набором пациенток с 2010 по 2017 г. и более. Пациентки контрольной группы включались в разные периоды, в то время как некоторые экспериментальные режимы были активны только в определённые окна времени. В использованных метаданных отсутствуют даты включения, что исключает ограничение анализа concurrent-контролями.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Величина эффекта может быть завышена из-за явления "winner's curse" при небольшой численности отдельных экспериментальных групп (от 49 до 114 пациенток). Истинное объединённое отношение шансов в независимых когортах может быть ближе к 0,70–0,80, чем к наблюдаемым 0,62.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HER2-позитивный контекст не тестировался: в использованной публикации GSE194040 контрольная группа представлена исключительно HER2-негативными пациентками. Для проверки гипотезы на когорте пациенток с HER2-позитивным раком молочной железы (например, в контексте анти-HER2 терапии — trastuzumab, T-DM1, pertuzumab) необходимо привлечение отдельных когорт (CALGB 40601, NeoALTTO, KATE2).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Устойчивость к подвыборке умеренная (48% sub-samples с p &lt; 0,05). Сигнал реален, но зависим от конкретного состава выборки — что типично для биомаркерных данных такого масштаба.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Биологическое определение CAF: использованная сигнатура (CAF_proxy) представляет собой экспрессионный портрет, не верифицированный на уровне единичных клеток или пространственной транскриптомики в данном анализе. Желательна валидация против признанных референтных маркеров (например, LRRC15+ CAF по Dominguez et al.).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8. Дальнейшие шаги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8.1. Минимально необходимо для подтверждения клинической значимости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Репликация биомаркера на когорте CALGB 40601 (GSE181574) — HER2-позитивное неоадъювантное исследование с трастузумабом и/или лапатинибом. Одновременно: проверка анти-HER2-контекста (невозможна в I-SPY2) и полу-независимая репликация для pan-HER ингибиторов.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Валидация формулы биомаркера без какой-либо модификации. Преспецификация формулы зафиксирована в проектной документации и защищает от post hoc изменений.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8.2. Оптимальный путь для обоснования публикации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+ Анализ когорты neoALTTO (GSE50948) — анти-HER2 неоадъювантное исследование.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+ Анализ когорты TransATAC (GSE59515) — эндокринная терапия ранней стадии (расширение гипотезы на другой класс "таргетной" в широком смысле).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+ Валидация на когорте только химиотерапии (GSE25066, Hatzis) как negative control — ожидается отсутствие эффекта взаимодействия, так как нет добавленной таргетной терапии.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6"/>
          <w:szCs w:val="26"/>
        </w:rPr>
        <w:t xml:space="preserve">8.3. Расширенная программа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Валидация биомаркера на протеомическом уровне (CPTAC BRCA proteomics) для подтверждения корреляции мРНК-сигнатуры и белковой экспрессии CAF-маркеров.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Пространственная транскриптомика (10× Visium BRCA) для верификации пространственной организации стромально-иммунной архитектуры.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Проспективный дизайн клинического исследования комбинированной терапии "анти-TGFβ + таргетная терапия" с биомаркер-направленным включением пациенток с высоким CAF-индикатором.</w:t>
      </w:r>
    </w:p>
    <w:p>
      <w:pPr>
        <w:pStyle w:val="Heading1"/>
        <w:spacing w:after="180" w:before="400"/>
      </w:pPr>
      <w:r>
        <w:rPr>
          <w:b/>
          <w:bCs/>
          <w:color w:val="1F3864"/>
          <w:sz w:val="32"/>
          <w:szCs w:val="32"/>
        </w:rPr>
        <w:t xml:space="preserve">9. Ссылки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Mariathasan S, Turley SJ, Nickles D, et al. TGFβ attenuates tumour response to PD-L1 blockade by contributing to exclusion of T cells. Nature 2018;554:544-548.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Calon A, Lonardo E, Berenguer-Llergo A, et al. Stromal gene expression defines poor-prognosis subtypes in colorectal cancer. Nat Genet 2015;47:320-329.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Dominguez CX, Müller S, Keerthivasan S, et al. Single-cell RNA sequencing reveals stromal evolution into LRRC15+ myofibroblasts as a determinant of patient response to cancer immunotherapy. Cancer Discov 2020;10:232-253.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Chen X, Song E. Turning foes to friends: targeting cancer-associated fibroblasts. J Clin Invest 2019;129:55-68.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Shibue T, Weinberg RA. EMT, CSCs and drug resistance: the mechanistic link and clinical implications. NEJM 2019 (review).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Cao Z, Livas T, Kyprianou N, et al. IGF-1 stroma crosstalk in prostate and breast cancer. Cancer Res 2013;73:3312-3322.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Wolf DM, Yau C, Wulfkuhle J, et al. Redefining breast cancer subtypes to guide treatment prioritization and maximize response: Predictive biomarkers across 10 cancer therapies. Cell 2022;185:1-17 [I-SPY2 data release].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Ayers M, Lunceford J, Nebozhyn M, et al. IFN-γ-related mRNA profile predicts clinical response to PD-1 blockade. J Clin Invest 2017;127:2930-2940 [TIS-18].</w:t>
      </w:r>
    </w:p>
    <w:p>
      <w:pPr>
        <w:spacing w:after="200" w:before="400"/>
        <w:jc w:val="center"/>
      </w:pPr>
      <w:r>
        <w:rPr>
          <w:i/>
          <w:iCs/>
          <w:color w:val="808080"/>
          <w:sz w:val="22"/>
          <w:szCs w:val="22"/>
        </w:rPr>
        <w:t xml:space="preserve">— Конец документа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OncoTME — клинический отчёт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OncoTME клинический отчёт</dc:title>
  <dc:creator>OncoTME Pipeline</dc:creator>
  <dc:description>Роль опухолевого микроокружения в модуляции ответа на таргетную терапию при РМЖ</dc:description>
  <cp:lastModifiedBy>Un-named</cp:lastModifiedBy>
  <cp:revision>1</cp:revision>
  <dcterms:created xsi:type="dcterms:W3CDTF">2026-04-21T10:52:19.153Z</dcterms:created>
  <dcterms:modified xsi:type="dcterms:W3CDTF">2026-04-21T10:52:19.154Z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