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409575</wp:posOffset>
            </wp:positionH>
            <wp:positionV relativeFrom="paragraph">
              <wp:posOffset>209550</wp:posOffset>
            </wp:positionV>
            <wp:extent cx="4357688" cy="147799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7688" cy="1477990"/>
                    </a:xfrm>
                    <a:prstGeom prst="rect"/>
                    <a:ln/>
                  </pic:spPr>
                </pic:pic>
              </a:graphicData>
            </a:graphic>
          </wp:anchor>
        </w:drawing>
      </w:r>
    </w:p>
    <w:p w:rsidR="00000000" w:rsidDel="00000000" w:rsidP="00000000" w:rsidRDefault="00000000" w:rsidRPr="00000000" w14:paraId="00000002">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9">
      <w:pPr>
        <w:spacing w:after="400" w:lineRule="auto"/>
        <w:ind w:left="20" w:right="480" w:firstLine="0"/>
        <w:jc w:val="center"/>
        <w:rPr>
          <w:sz w:val="34"/>
          <w:szCs w:val="34"/>
        </w:rPr>
      </w:pPr>
      <w:r w:rsidDel="00000000" w:rsidR="00000000" w:rsidRPr="00000000">
        <w:rPr>
          <w:sz w:val="34"/>
          <w:szCs w:val="34"/>
          <w:rtl w:val="0"/>
        </w:rPr>
        <w:t xml:space="preserve">Universidad de colima</w:t>
      </w:r>
    </w:p>
    <w:p w:rsidR="00000000" w:rsidDel="00000000" w:rsidP="00000000" w:rsidRDefault="00000000" w:rsidRPr="00000000" w14:paraId="0000000A">
      <w:pPr>
        <w:spacing w:after="400" w:lineRule="auto"/>
        <w:ind w:left="20" w:right="480" w:firstLine="0"/>
        <w:jc w:val="center"/>
        <w:rPr>
          <w:sz w:val="34"/>
          <w:szCs w:val="34"/>
        </w:rPr>
      </w:pPr>
      <w:r w:rsidDel="00000000" w:rsidR="00000000" w:rsidRPr="00000000">
        <w:rPr>
          <w:sz w:val="34"/>
          <w:szCs w:val="34"/>
          <w:rtl w:val="0"/>
        </w:rPr>
        <w:t xml:space="preserve">Facultad de ingeniería mecánica y eléctrica </w:t>
      </w:r>
    </w:p>
    <w:p w:rsidR="00000000" w:rsidDel="00000000" w:rsidP="00000000" w:rsidRDefault="00000000" w:rsidRPr="00000000" w14:paraId="0000000B">
      <w:pPr>
        <w:spacing w:after="220" w:lineRule="auto"/>
        <w:ind w:left="20" w:right="480" w:firstLine="0"/>
        <w:jc w:val="center"/>
        <w:rPr>
          <w:b w:val="1"/>
          <w:sz w:val="34"/>
          <w:szCs w:val="34"/>
        </w:rPr>
      </w:pPr>
      <w:r w:rsidDel="00000000" w:rsidR="00000000" w:rsidRPr="00000000">
        <w:rPr>
          <w:b w:val="1"/>
          <w:sz w:val="34"/>
          <w:szCs w:val="34"/>
          <w:rtl w:val="0"/>
        </w:rPr>
        <w:t xml:space="preserve">Ingeniería en Computación Inteligente</w:t>
      </w:r>
    </w:p>
    <w:p w:rsidR="00000000" w:rsidDel="00000000" w:rsidP="00000000" w:rsidRDefault="00000000" w:rsidRPr="00000000" w14:paraId="0000000C">
      <w:pPr>
        <w:spacing w:after="220" w:lineRule="auto"/>
        <w:ind w:left="20" w:right="480" w:firstLine="0"/>
        <w:jc w:val="center"/>
        <w:rPr>
          <w:sz w:val="34"/>
          <w:szCs w:val="34"/>
        </w:rPr>
      </w:pPr>
      <w:r w:rsidDel="00000000" w:rsidR="00000000" w:rsidRPr="00000000">
        <w:rPr>
          <w:rtl w:val="0"/>
        </w:rPr>
      </w:r>
    </w:p>
    <w:p w:rsidR="00000000" w:rsidDel="00000000" w:rsidP="00000000" w:rsidRDefault="00000000" w:rsidRPr="00000000" w14:paraId="0000000D">
      <w:pPr>
        <w:spacing w:after="220" w:lineRule="auto"/>
        <w:ind w:left="20" w:right="480" w:firstLine="0"/>
        <w:jc w:val="center"/>
        <w:rPr>
          <w:color w:val="455a64"/>
          <w:sz w:val="46"/>
          <w:szCs w:val="46"/>
        </w:rPr>
      </w:pPr>
      <w:r w:rsidDel="00000000" w:rsidR="00000000" w:rsidRPr="00000000">
        <w:rPr>
          <w:sz w:val="34"/>
          <w:szCs w:val="34"/>
          <w:rtl w:val="0"/>
        </w:rPr>
        <w:t xml:space="preserve">Materia:</w:t>
      </w:r>
      <w:r w:rsidDel="00000000" w:rsidR="00000000" w:rsidRPr="00000000">
        <w:rPr>
          <w:b w:val="1"/>
          <w:sz w:val="34"/>
          <w:szCs w:val="34"/>
          <w:rtl w:val="0"/>
        </w:rPr>
        <w:t xml:space="preserve"> Aprendizaje Máquina</w:t>
      </w:r>
      <w:r w:rsidDel="00000000" w:rsidR="00000000" w:rsidRPr="00000000">
        <w:rPr>
          <w:rtl w:val="0"/>
        </w:rPr>
      </w:r>
    </w:p>
    <w:p w:rsidR="00000000" w:rsidDel="00000000" w:rsidP="00000000" w:rsidRDefault="00000000" w:rsidRPr="00000000" w14:paraId="0000000E">
      <w:pPr>
        <w:pStyle w:val="Heading1"/>
        <w:keepNext w:val="0"/>
        <w:keepLines w:val="0"/>
        <w:spacing w:after="0" w:before="0" w:lineRule="auto"/>
        <w:jc w:val="center"/>
        <w:rPr>
          <w:b w:val="1"/>
          <w:sz w:val="46"/>
          <w:szCs w:val="46"/>
        </w:rPr>
      </w:pPr>
      <w:bookmarkStart w:colFirst="0" w:colLast="0" w:name="_pgwm6oaafn23" w:id="0"/>
      <w:bookmarkEnd w:id="0"/>
      <w:r w:rsidDel="00000000" w:rsidR="00000000" w:rsidRPr="00000000">
        <w:rPr>
          <w:rtl w:val="0"/>
        </w:rPr>
      </w:r>
    </w:p>
    <w:p w:rsidR="00000000" w:rsidDel="00000000" w:rsidP="00000000" w:rsidRDefault="00000000" w:rsidRPr="00000000" w14:paraId="0000000F">
      <w:pPr>
        <w:pStyle w:val="Heading1"/>
        <w:keepNext w:val="0"/>
        <w:keepLines w:val="0"/>
        <w:spacing w:after="0" w:before="0" w:lineRule="auto"/>
        <w:jc w:val="center"/>
        <w:rPr>
          <w:rFonts w:ascii="Roboto" w:cs="Roboto" w:eastAsia="Roboto" w:hAnsi="Roboto"/>
          <w:color w:val="1967d2"/>
          <w:sz w:val="46"/>
          <w:szCs w:val="46"/>
        </w:rPr>
      </w:pPr>
      <w:bookmarkStart w:colFirst="0" w:colLast="0" w:name="_5oij5piww6le" w:id="1"/>
      <w:bookmarkEnd w:id="1"/>
      <w:r w:rsidDel="00000000" w:rsidR="00000000" w:rsidRPr="00000000">
        <w:rPr>
          <w:b w:val="1"/>
          <w:sz w:val="46"/>
          <w:szCs w:val="46"/>
          <w:rtl w:val="0"/>
        </w:rPr>
        <w:t xml:space="preserve">Lectura 2. </w:t>
      </w:r>
      <w:r w:rsidDel="00000000" w:rsidR="00000000" w:rsidRPr="00000000">
        <w:rPr>
          <w:b w:val="1"/>
          <w:sz w:val="46"/>
          <w:szCs w:val="46"/>
          <w:rtl w:val="0"/>
        </w:rPr>
        <w:t xml:space="preserve">Modelo de Markov oculto en el aprendizaje automático</w:t>
      </w:r>
      <w:r w:rsidDel="00000000" w:rsidR="00000000" w:rsidRPr="00000000">
        <w:rPr>
          <w:rtl w:val="0"/>
        </w:rPr>
      </w:r>
    </w:p>
    <w:p w:rsidR="00000000" w:rsidDel="00000000" w:rsidP="00000000" w:rsidRDefault="00000000" w:rsidRPr="00000000" w14:paraId="00000010">
      <w:pPr>
        <w:pStyle w:val="Heading1"/>
        <w:keepNext w:val="0"/>
        <w:keepLines w:val="0"/>
        <w:spacing w:after="0" w:before="0" w:lineRule="auto"/>
        <w:jc w:val="center"/>
        <w:rPr>
          <w:b w:val="1"/>
          <w:sz w:val="46"/>
          <w:szCs w:val="46"/>
        </w:rPr>
      </w:pPr>
      <w:bookmarkStart w:colFirst="0" w:colLast="0" w:name="_cqd950r0fnja" w:id="2"/>
      <w:bookmarkEnd w:id="2"/>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20" w:lineRule="auto"/>
        <w:ind w:right="560"/>
        <w:jc w:val="center"/>
        <w:rPr>
          <w:sz w:val="34"/>
          <w:szCs w:val="34"/>
        </w:rPr>
      </w:pPr>
      <w:r w:rsidDel="00000000" w:rsidR="00000000" w:rsidRPr="00000000">
        <w:rPr>
          <w:b w:val="1"/>
          <w:sz w:val="34"/>
          <w:szCs w:val="34"/>
          <w:rtl w:val="0"/>
        </w:rPr>
        <w:t xml:space="preserve">Maestro</w:t>
      </w:r>
      <w:r w:rsidDel="00000000" w:rsidR="00000000" w:rsidRPr="00000000">
        <w:rPr>
          <w:sz w:val="34"/>
          <w:szCs w:val="34"/>
          <w:rtl w:val="0"/>
        </w:rPr>
        <w:t xml:space="preserve">: Castillo Topete Victor Hugo</w:t>
      </w:r>
    </w:p>
    <w:p w:rsidR="00000000" w:rsidDel="00000000" w:rsidP="00000000" w:rsidRDefault="00000000" w:rsidRPr="00000000" w14:paraId="00000013">
      <w:pPr>
        <w:spacing w:after="220" w:lineRule="auto"/>
        <w:ind w:right="560"/>
        <w:jc w:val="center"/>
        <w:rPr>
          <w:sz w:val="34"/>
          <w:szCs w:val="34"/>
        </w:rPr>
      </w:pPr>
      <w:r w:rsidDel="00000000" w:rsidR="00000000" w:rsidRPr="00000000">
        <w:rPr>
          <w:b w:val="1"/>
          <w:sz w:val="34"/>
          <w:szCs w:val="34"/>
          <w:rtl w:val="0"/>
        </w:rPr>
        <w:t xml:space="preserve">Alumno</w:t>
      </w:r>
      <w:r w:rsidDel="00000000" w:rsidR="00000000" w:rsidRPr="00000000">
        <w:rPr>
          <w:sz w:val="34"/>
          <w:szCs w:val="34"/>
          <w:rtl w:val="0"/>
        </w:rPr>
        <w:t xml:space="preserve">: Llamas Alcaraz Diana Laura</w:t>
      </w:r>
    </w:p>
    <w:p w:rsidR="00000000" w:rsidDel="00000000" w:rsidP="00000000" w:rsidRDefault="00000000" w:rsidRPr="00000000" w14:paraId="00000014">
      <w:pPr>
        <w:spacing w:after="220" w:lineRule="auto"/>
        <w:jc w:val="center"/>
        <w:rPr>
          <w:b w:val="1"/>
          <w:sz w:val="34"/>
          <w:szCs w:val="34"/>
        </w:rPr>
      </w:pPr>
      <w:r w:rsidDel="00000000" w:rsidR="00000000" w:rsidRPr="00000000">
        <w:rPr>
          <w:rtl w:val="0"/>
        </w:rPr>
      </w:r>
    </w:p>
    <w:p w:rsidR="00000000" w:rsidDel="00000000" w:rsidP="00000000" w:rsidRDefault="00000000" w:rsidRPr="00000000" w14:paraId="00000015">
      <w:pPr>
        <w:spacing w:after="220" w:lineRule="auto"/>
        <w:ind w:left="20" w:right="460" w:firstLine="0"/>
        <w:jc w:val="center"/>
        <w:rPr>
          <w:sz w:val="34"/>
          <w:szCs w:val="34"/>
        </w:rPr>
      </w:pPr>
      <w:r w:rsidDel="00000000" w:rsidR="00000000" w:rsidRPr="00000000">
        <w:rPr>
          <w:b w:val="1"/>
          <w:sz w:val="34"/>
          <w:szCs w:val="34"/>
          <w:rtl w:val="0"/>
        </w:rPr>
        <w:t xml:space="preserve">Grado y Grupo</w:t>
      </w:r>
      <w:r w:rsidDel="00000000" w:rsidR="00000000" w:rsidRPr="00000000">
        <w:rPr>
          <w:sz w:val="34"/>
          <w:szCs w:val="34"/>
          <w:rtl w:val="0"/>
        </w:rPr>
        <w:t xml:space="preserve">: 5° B</w:t>
      </w:r>
    </w:p>
    <w:p w:rsidR="00000000" w:rsidDel="00000000" w:rsidP="00000000" w:rsidRDefault="00000000" w:rsidRPr="00000000" w14:paraId="00000016">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E">
      <w:pPr>
        <w:pStyle w:val="Heading1"/>
        <w:keepNext w:val="0"/>
        <w:keepLines w:val="0"/>
        <w:shd w:fill="ffffff" w:val="clear"/>
        <w:spacing w:after="160" w:before="0" w:lineRule="auto"/>
        <w:rPr>
          <w:b w:val="1"/>
          <w:color w:val="353535"/>
          <w:sz w:val="30"/>
          <w:szCs w:val="30"/>
        </w:rPr>
      </w:pPr>
      <w:bookmarkStart w:colFirst="0" w:colLast="0" w:name="_132wuupfedbf" w:id="3"/>
      <w:bookmarkEnd w:id="3"/>
      <w:r w:rsidDel="00000000" w:rsidR="00000000" w:rsidRPr="00000000">
        <w:rPr>
          <w:b w:val="1"/>
          <w:color w:val="353535"/>
          <w:sz w:val="30"/>
          <w:szCs w:val="30"/>
          <w:rtl w:val="0"/>
        </w:rPr>
        <w:t xml:space="preserve">Modelo de Markov oculto en el aprendizaje automático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El Modelo Oculto de Markov (HMM) es un modelo estadístico usado en aprendizaje automático. Se utiliza para relacionar secuencias de observaciones con secuencias de estados ocultos, muy eficiente cuando el sistema que genera las observaciones no se conoce o es desconocido.</w:t>
      </w:r>
    </w:p>
    <w:p w:rsidR="00000000" w:rsidDel="00000000" w:rsidP="00000000" w:rsidRDefault="00000000" w:rsidRPr="00000000" w14:paraId="00000021">
      <w:pPr>
        <w:jc w:val="both"/>
        <w:rPr>
          <w:color w:val="353535"/>
          <w:sz w:val="24"/>
          <w:szCs w:val="24"/>
          <w:highlight w:val="white"/>
        </w:rPr>
      </w:pPr>
      <w:r w:rsidDel="00000000" w:rsidR="00000000" w:rsidRPr="00000000">
        <w:rPr>
          <w:sz w:val="24"/>
          <w:szCs w:val="24"/>
          <w:rtl w:val="0"/>
        </w:rPr>
        <w:t xml:space="preserve">Los HMMs se usan para predecir futuras observaciones o clasificar secuencias, y se componen de estados ocultos (son los que generan datos no observables) y observaciones (son las variables medidas). La relación entre ellos se modela con las probabilidades de transición (para los cambios de estado oculto</w:t>
      </w:r>
      <w:r w:rsidDel="00000000" w:rsidR="00000000" w:rsidRPr="00000000">
        <w:rPr>
          <w:color w:val="353535"/>
          <w:sz w:val="24"/>
          <w:szCs w:val="24"/>
          <w:highlight w:val="white"/>
          <w:rtl w:val="0"/>
        </w:rPr>
        <w:t xml:space="preserve"> a otro</w:t>
      </w:r>
      <w:r w:rsidDel="00000000" w:rsidR="00000000" w:rsidRPr="00000000">
        <w:rPr>
          <w:sz w:val="24"/>
          <w:szCs w:val="24"/>
          <w:rtl w:val="0"/>
        </w:rPr>
        <w:t xml:space="preserve">) y probabilidades de emisión (</w:t>
      </w:r>
      <w:r w:rsidDel="00000000" w:rsidR="00000000" w:rsidRPr="00000000">
        <w:rPr>
          <w:color w:val="353535"/>
          <w:sz w:val="24"/>
          <w:szCs w:val="24"/>
          <w:highlight w:val="white"/>
          <w:rtl w:val="0"/>
        </w:rPr>
        <w:t xml:space="preserve">describen la probabilidad de observar una salida dado un estado oculto).</w:t>
      </w:r>
    </w:p>
    <w:p w:rsidR="00000000" w:rsidDel="00000000" w:rsidP="00000000" w:rsidRDefault="00000000" w:rsidRPr="00000000" w14:paraId="00000022">
      <w:pPr>
        <w:pStyle w:val="Heading3"/>
        <w:keepNext w:val="0"/>
        <w:keepLines w:val="0"/>
        <w:shd w:fill="ffffff" w:val="clear"/>
        <w:spacing w:before="280" w:lineRule="auto"/>
        <w:jc w:val="both"/>
        <w:rPr>
          <w:b w:val="1"/>
          <w:color w:val="353535"/>
          <w:highlight w:val="white"/>
        </w:rPr>
      </w:pPr>
      <w:bookmarkStart w:colFirst="0" w:colLast="0" w:name="_631ntmm0bq4b" w:id="4"/>
      <w:bookmarkEnd w:id="4"/>
      <w:r w:rsidDel="00000000" w:rsidR="00000000" w:rsidRPr="00000000">
        <w:rPr>
          <w:b w:val="1"/>
          <w:color w:val="353535"/>
          <w:highlight w:val="white"/>
          <w:rtl w:val="0"/>
        </w:rPr>
        <w:t xml:space="preserve">Modelo oculto de Markov Algoritmo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353535"/>
          <w:sz w:val="24"/>
          <w:szCs w:val="24"/>
          <w:highlight w:val="white"/>
        </w:rPr>
      </w:pPr>
      <w:r w:rsidDel="00000000" w:rsidR="00000000" w:rsidRPr="00000000">
        <w:rPr>
          <w:color w:val="353535"/>
          <w:sz w:val="24"/>
          <w:szCs w:val="24"/>
          <w:highlight w:val="white"/>
          <w:rtl w:val="0"/>
        </w:rPr>
        <w:t xml:space="preserve">Se puede implementar mediante los siguientes pasos:</w:t>
      </w:r>
    </w:p>
    <w:p w:rsidR="00000000" w:rsidDel="00000000" w:rsidP="00000000" w:rsidRDefault="00000000" w:rsidRPr="00000000" w14:paraId="00000024">
      <w:pPr>
        <w:pStyle w:val="Heading4"/>
        <w:keepNext w:val="0"/>
        <w:keepLines w:val="0"/>
        <w:shd w:fill="ffffff" w:val="clear"/>
        <w:spacing w:after="40" w:before="240" w:lineRule="auto"/>
        <w:jc w:val="both"/>
        <w:rPr>
          <w:b w:val="1"/>
          <w:color w:val="353535"/>
          <w:highlight w:val="white"/>
        </w:rPr>
      </w:pPr>
      <w:bookmarkStart w:colFirst="0" w:colLast="0" w:name="_iuvw2kljysr7" w:id="5"/>
      <w:bookmarkEnd w:id="5"/>
      <w:r w:rsidDel="00000000" w:rsidR="00000000" w:rsidRPr="00000000">
        <w:rPr>
          <w:b w:val="1"/>
          <w:color w:val="353535"/>
          <w:highlight w:val="white"/>
          <w:rtl w:val="0"/>
        </w:rPr>
        <w:t xml:space="preserve">Paso 1: Definir el espacio de estados y el espacio de observación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353535"/>
          <w:sz w:val="24"/>
          <w:szCs w:val="24"/>
          <w:highlight w:val="white"/>
        </w:rPr>
      </w:pPr>
      <w:r w:rsidDel="00000000" w:rsidR="00000000" w:rsidRPr="00000000">
        <w:rPr>
          <w:color w:val="353535"/>
          <w:sz w:val="24"/>
          <w:szCs w:val="24"/>
          <w:highlight w:val="white"/>
          <w:rtl w:val="0"/>
        </w:rPr>
        <w:t xml:space="preserve">El espacio de estados es el conjunto de todos los estados ocultos posibles, y el espacio de observación es el conjunto de todas las observaciones posibles.</w:t>
      </w:r>
    </w:p>
    <w:p w:rsidR="00000000" w:rsidDel="00000000" w:rsidP="00000000" w:rsidRDefault="00000000" w:rsidRPr="00000000" w14:paraId="00000026">
      <w:pPr>
        <w:pStyle w:val="Heading4"/>
        <w:keepNext w:val="0"/>
        <w:keepLines w:val="0"/>
        <w:shd w:fill="ffffff" w:val="clear"/>
        <w:spacing w:after="40" w:before="240" w:lineRule="auto"/>
        <w:jc w:val="both"/>
        <w:rPr>
          <w:b w:val="1"/>
          <w:color w:val="353535"/>
          <w:highlight w:val="white"/>
        </w:rPr>
      </w:pPr>
      <w:bookmarkStart w:colFirst="0" w:colLast="0" w:name="_olkepvi3fpdn" w:id="6"/>
      <w:bookmarkEnd w:id="6"/>
      <w:r w:rsidDel="00000000" w:rsidR="00000000" w:rsidRPr="00000000">
        <w:rPr>
          <w:b w:val="1"/>
          <w:color w:val="353535"/>
          <w:highlight w:val="white"/>
          <w:rtl w:val="0"/>
        </w:rPr>
        <w:t xml:space="preserve">Paso 2: Definir la distribución de estado inicial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353535"/>
          <w:sz w:val="24"/>
          <w:szCs w:val="24"/>
          <w:highlight w:val="white"/>
        </w:rPr>
      </w:pPr>
      <w:r w:rsidDel="00000000" w:rsidR="00000000" w:rsidRPr="00000000">
        <w:rPr>
          <w:color w:val="353535"/>
          <w:sz w:val="24"/>
          <w:szCs w:val="24"/>
          <w:highlight w:val="white"/>
          <w:rtl w:val="0"/>
        </w:rPr>
        <w:t xml:space="preserve">Esta es la distribución de probabilidad sobre el estado inicial.</w:t>
      </w:r>
    </w:p>
    <w:p w:rsidR="00000000" w:rsidDel="00000000" w:rsidP="00000000" w:rsidRDefault="00000000" w:rsidRPr="00000000" w14:paraId="00000028">
      <w:pPr>
        <w:pStyle w:val="Heading4"/>
        <w:keepNext w:val="0"/>
        <w:keepLines w:val="0"/>
        <w:shd w:fill="ffffff" w:val="clear"/>
        <w:spacing w:after="40" w:before="240" w:lineRule="auto"/>
        <w:jc w:val="both"/>
        <w:rPr>
          <w:b w:val="1"/>
          <w:color w:val="353535"/>
          <w:highlight w:val="white"/>
        </w:rPr>
      </w:pPr>
      <w:bookmarkStart w:colFirst="0" w:colLast="0" w:name="_guib8kirm02w" w:id="7"/>
      <w:bookmarkEnd w:id="7"/>
      <w:r w:rsidDel="00000000" w:rsidR="00000000" w:rsidRPr="00000000">
        <w:rPr>
          <w:b w:val="1"/>
          <w:color w:val="353535"/>
          <w:highlight w:val="white"/>
          <w:rtl w:val="0"/>
        </w:rPr>
        <w:t xml:space="preserve">Paso 3: Definir las probabilidades de transición de estado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353535"/>
          <w:sz w:val="24"/>
          <w:szCs w:val="24"/>
          <w:highlight w:val="white"/>
        </w:rPr>
      </w:pPr>
      <w:r w:rsidDel="00000000" w:rsidR="00000000" w:rsidRPr="00000000">
        <w:rPr>
          <w:color w:val="353535"/>
          <w:sz w:val="24"/>
          <w:szCs w:val="24"/>
          <w:highlight w:val="white"/>
          <w:rtl w:val="0"/>
        </w:rPr>
        <w:t xml:space="preserve">Estas son las probabilidades de transición de un estado a otro. Esto forma la matriz de transición, que describe la probabilidad de pasar de un estado a otro.</w:t>
      </w:r>
    </w:p>
    <w:p w:rsidR="00000000" w:rsidDel="00000000" w:rsidP="00000000" w:rsidRDefault="00000000" w:rsidRPr="00000000" w14:paraId="0000002A">
      <w:pPr>
        <w:pStyle w:val="Heading4"/>
        <w:keepNext w:val="0"/>
        <w:keepLines w:val="0"/>
        <w:shd w:fill="ffffff" w:val="clear"/>
        <w:spacing w:after="40" w:before="240" w:lineRule="auto"/>
        <w:jc w:val="both"/>
        <w:rPr>
          <w:b w:val="1"/>
          <w:color w:val="353535"/>
          <w:highlight w:val="white"/>
        </w:rPr>
      </w:pPr>
      <w:bookmarkStart w:colFirst="0" w:colLast="0" w:name="_t6llvmsp8pam" w:id="8"/>
      <w:bookmarkEnd w:id="8"/>
      <w:r w:rsidDel="00000000" w:rsidR="00000000" w:rsidRPr="00000000">
        <w:rPr>
          <w:b w:val="1"/>
          <w:color w:val="353535"/>
          <w:highlight w:val="white"/>
          <w:rtl w:val="0"/>
        </w:rPr>
        <w:t xml:space="preserve">Paso 4: Defina las probabilidades de observación: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353535"/>
          <w:sz w:val="24"/>
          <w:szCs w:val="24"/>
          <w:highlight w:val="white"/>
        </w:rPr>
      </w:pPr>
      <w:r w:rsidDel="00000000" w:rsidR="00000000" w:rsidRPr="00000000">
        <w:rPr>
          <w:color w:val="353535"/>
          <w:sz w:val="24"/>
          <w:szCs w:val="24"/>
          <w:highlight w:val="white"/>
          <w:rtl w:val="0"/>
        </w:rPr>
        <w:t xml:space="preserve">Estas son las probabilidades de generar cada observación de cada estado. Esto forma la matriz de emisión, que describe la probabilidad de generar cada observación de cada estado.</w:t>
      </w:r>
    </w:p>
    <w:p w:rsidR="00000000" w:rsidDel="00000000" w:rsidP="00000000" w:rsidRDefault="00000000" w:rsidRPr="00000000" w14:paraId="0000002C">
      <w:pPr>
        <w:pStyle w:val="Heading4"/>
        <w:keepNext w:val="0"/>
        <w:keepLines w:val="0"/>
        <w:shd w:fill="ffffff" w:val="clear"/>
        <w:spacing w:after="40" w:before="240" w:lineRule="auto"/>
        <w:jc w:val="both"/>
        <w:rPr>
          <w:b w:val="1"/>
          <w:color w:val="353535"/>
          <w:highlight w:val="white"/>
        </w:rPr>
      </w:pPr>
      <w:bookmarkStart w:colFirst="0" w:colLast="0" w:name="_ttq4842o5q59" w:id="9"/>
      <w:bookmarkEnd w:id="9"/>
      <w:r w:rsidDel="00000000" w:rsidR="00000000" w:rsidRPr="00000000">
        <w:rPr>
          <w:b w:val="1"/>
          <w:color w:val="353535"/>
          <w:highlight w:val="white"/>
          <w:rtl w:val="0"/>
        </w:rPr>
        <w:t xml:space="preserve">Paso 5: Entrenar el modelo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353535"/>
          <w:sz w:val="24"/>
          <w:szCs w:val="24"/>
          <w:highlight w:val="white"/>
        </w:rPr>
      </w:pPr>
      <w:r w:rsidDel="00000000" w:rsidR="00000000" w:rsidRPr="00000000">
        <w:rPr>
          <w:color w:val="353535"/>
          <w:sz w:val="24"/>
          <w:szCs w:val="24"/>
          <w:highlight w:val="white"/>
          <w:rtl w:val="0"/>
        </w:rPr>
        <w:t xml:space="preserve">Los parámetros de las probabilidades de transición de estado y las probabilidades de observación se estiman utilizando el algoritmo de Baum-Welch, o el algoritmo de avance-retroceso. Esto se hace actualizando iterativamente los parámetros hasta la convergencia.</w:t>
      </w:r>
    </w:p>
    <w:p w:rsidR="00000000" w:rsidDel="00000000" w:rsidP="00000000" w:rsidRDefault="00000000" w:rsidRPr="00000000" w14:paraId="0000002E">
      <w:pPr>
        <w:pStyle w:val="Heading4"/>
        <w:keepNext w:val="0"/>
        <w:keepLines w:val="0"/>
        <w:shd w:fill="ffffff" w:val="clear"/>
        <w:spacing w:after="40" w:before="240" w:lineRule="auto"/>
        <w:jc w:val="both"/>
        <w:rPr>
          <w:b w:val="1"/>
          <w:color w:val="353535"/>
          <w:highlight w:val="white"/>
        </w:rPr>
      </w:pPr>
      <w:bookmarkStart w:colFirst="0" w:colLast="0" w:name="_1m72zkn5vdpl" w:id="10"/>
      <w:bookmarkEnd w:id="10"/>
      <w:r w:rsidDel="00000000" w:rsidR="00000000" w:rsidRPr="00000000">
        <w:rPr>
          <w:b w:val="1"/>
          <w:color w:val="353535"/>
          <w:highlight w:val="white"/>
          <w:rtl w:val="0"/>
        </w:rPr>
        <w:t xml:space="preserve">Paso 6: Decodificar la secuencia más probable de estados ocultos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353535"/>
          <w:sz w:val="24"/>
          <w:szCs w:val="24"/>
          <w:highlight w:val="white"/>
        </w:rPr>
      </w:pPr>
      <w:r w:rsidDel="00000000" w:rsidR="00000000" w:rsidRPr="00000000">
        <w:rPr>
          <w:color w:val="353535"/>
          <w:sz w:val="24"/>
          <w:szCs w:val="24"/>
          <w:highlight w:val="white"/>
          <w:rtl w:val="0"/>
        </w:rPr>
        <w:t xml:space="preserve">Dados los datos observados, se utiliza el algoritmo de Viterbi para calcular la secuencia más probable de estados ocultos. Esto se puede utilizar para predecir observaciones futuras, clasificar secuencias o detectar patrones en datos secuenciales.</w:t>
      </w:r>
    </w:p>
    <w:p w:rsidR="00000000" w:rsidDel="00000000" w:rsidP="00000000" w:rsidRDefault="00000000" w:rsidRPr="00000000" w14:paraId="00000030">
      <w:pPr>
        <w:pStyle w:val="Heading4"/>
        <w:keepNext w:val="0"/>
        <w:keepLines w:val="0"/>
        <w:shd w:fill="ffffff" w:val="clear"/>
        <w:spacing w:after="40" w:before="240" w:lineRule="auto"/>
        <w:jc w:val="both"/>
        <w:rPr>
          <w:b w:val="1"/>
          <w:color w:val="353535"/>
          <w:highlight w:val="white"/>
        </w:rPr>
      </w:pPr>
      <w:bookmarkStart w:colFirst="0" w:colLast="0" w:name="_lj6mfs3kct6k" w:id="11"/>
      <w:bookmarkEnd w:id="11"/>
      <w:r w:rsidDel="00000000" w:rsidR="00000000" w:rsidRPr="00000000">
        <w:rPr>
          <w:b w:val="1"/>
          <w:color w:val="353535"/>
          <w:highlight w:val="white"/>
          <w:rtl w:val="0"/>
        </w:rPr>
        <w:t xml:space="preserve">Paso 7: Evaluar el modelo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353535"/>
          <w:sz w:val="24"/>
          <w:szCs w:val="24"/>
          <w:highlight w:val="white"/>
        </w:rPr>
      </w:pPr>
      <w:r w:rsidDel="00000000" w:rsidR="00000000" w:rsidRPr="00000000">
        <w:rPr>
          <w:color w:val="353535"/>
          <w:sz w:val="24"/>
          <w:szCs w:val="24"/>
          <w:highlight w:val="white"/>
          <w:rtl w:val="0"/>
        </w:rPr>
        <w:t xml:space="preserve">El rendimiento del HMM se puede evaluar utilizando varias métricas, como la exactitud, la precisión, la recuperación o la puntuación F1.</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353535"/>
          <w:sz w:val="24"/>
          <w:szCs w:val="24"/>
          <w:highlight w:val="white"/>
        </w:rPr>
      </w:pPr>
      <w:r w:rsidDel="00000000" w:rsidR="00000000" w:rsidRPr="00000000">
        <w:rPr>
          <w:color w:val="353535"/>
          <w:sz w:val="24"/>
          <w:szCs w:val="24"/>
          <w:highlight w:val="white"/>
          <w:rtl w:val="0"/>
        </w:rPr>
        <w:t xml:space="preserve">En resumen, el algoritmo HMM implica definir el espacio de estados, el espacio de observación y los parámetros de las probabilidades de transición de estado y las probabilidades de observación, entrenar el modelo utilizando el algoritmo de Baum-Welch o el algoritmo de avance-retroceso, decodificar la secuencia más probable de estados ocultos utilizando el algoritmo de Viterbi y evaluar el rendimiento del modelo.</w:t>
      </w:r>
    </w:p>
    <w:p w:rsidR="00000000" w:rsidDel="00000000" w:rsidP="00000000" w:rsidRDefault="00000000" w:rsidRPr="00000000" w14:paraId="00000033">
      <w:pPr>
        <w:jc w:val="both"/>
        <w:rPr>
          <w:color w:val="353535"/>
          <w:sz w:val="24"/>
          <w:szCs w:val="24"/>
          <w:highlight w:val="white"/>
        </w:rPr>
      </w:pPr>
      <w:r w:rsidDel="00000000" w:rsidR="00000000" w:rsidRPr="00000000">
        <w:rPr>
          <w:rtl w:val="0"/>
        </w:rPr>
      </w:r>
    </w:p>
    <w:p w:rsidR="00000000" w:rsidDel="00000000" w:rsidP="00000000" w:rsidRDefault="00000000" w:rsidRPr="00000000" w14:paraId="00000034">
      <w:pPr>
        <w:jc w:val="both"/>
        <w:rPr>
          <w:color w:val="353535"/>
          <w:sz w:val="24"/>
          <w:szCs w:val="24"/>
          <w:highlight w:val="white"/>
        </w:rPr>
      </w:pPr>
      <w:r w:rsidDel="00000000" w:rsidR="00000000" w:rsidRPr="00000000">
        <w:rPr>
          <w:rtl w:val="0"/>
        </w:rPr>
      </w:r>
    </w:p>
    <w:p w:rsidR="00000000" w:rsidDel="00000000" w:rsidP="00000000" w:rsidRDefault="00000000" w:rsidRPr="00000000" w14:paraId="00000035">
      <w:pPr>
        <w:jc w:val="both"/>
        <w:rPr>
          <w:color w:val="353535"/>
          <w:sz w:val="24"/>
          <w:szCs w:val="24"/>
          <w:highlight w:val="white"/>
        </w:rPr>
      </w:pPr>
      <w:r w:rsidDel="00000000" w:rsidR="00000000" w:rsidRPr="00000000">
        <w:rPr>
          <w:rtl w:val="0"/>
        </w:rPr>
      </w:r>
    </w:p>
    <w:p w:rsidR="00000000" w:rsidDel="00000000" w:rsidP="00000000" w:rsidRDefault="00000000" w:rsidRPr="00000000" w14:paraId="00000036">
      <w:pPr>
        <w:jc w:val="both"/>
        <w:rPr>
          <w:color w:val="353535"/>
          <w:sz w:val="24"/>
          <w:szCs w:val="24"/>
          <w:highlight w:val="white"/>
        </w:rPr>
      </w:pPr>
      <w:r w:rsidDel="00000000" w:rsidR="00000000" w:rsidRPr="00000000">
        <w:rPr>
          <w:rtl w:val="0"/>
        </w:rPr>
      </w:r>
    </w:p>
    <w:p w:rsidR="00000000" w:rsidDel="00000000" w:rsidP="00000000" w:rsidRDefault="00000000" w:rsidRPr="00000000" w14:paraId="00000037">
      <w:pPr>
        <w:jc w:val="both"/>
        <w:rPr>
          <w:color w:val="353535"/>
          <w:sz w:val="24"/>
          <w:szCs w:val="24"/>
          <w:highlight w:val="white"/>
        </w:rPr>
      </w:pPr>
      <w:r w:rsidDel="00000000" w:rsidR="00000000" w:rsidRPr="00000000">
        <w:rPr>
          <w:rtl w:val="0"/>
        </w:rPr>
      </w:r>
    </w:p>
    <w:p w:rsidR="00000000" w:rsidDel="00000000" w:rsidP="00000000" w:rsidRDefault="00000000" w:rsidRPr="00000000" w14:paraId="00000038">
      <w:pPr>
        <w:jc w:val="both"/>
        <w:rPr>
          <w:color w:val="353535"/>
          <w:sz w:val="24"/>
          <w:szCs w:val="24"/>
          <w:highlight w:val="white"/>
        </w:rPr>
      </w:pPr>
      <w:r w:rsidDel="00000000" w:rsidR="00000000" w:rsidRPr="00000000">
        <w:rPr>
          <w:rtl w:val="0"/>
        </w:rPr>
      </w:r>
    </w:p>
    <w:p w:rsidR="00000000" w:rsidDel="00000000" w:rsidP="00000000" w:rsidRDefault="00000000" w:rsidRPr="00000000" w14:paraId="00000039">
      <w:pPr>
        <w:jc w:val="both"/>
        <w:rPr>
          <w:color w:val="353535"/>
          <w:sz w:val="24"/>
          <w:szCs w:val="24"/>
          <w:highlight w:val="white"/>
        </w:rPr>
      </w:pPr>
      <w:r w:rsidDel="00000000" w:rsidR="00000000" w:rsidRPr="00000000">
        <w:rPr>
          <w:color w:val="353535"/>
          <w:sz w:val="24"/>
          <w:szCs w:val="24"/>
          <w:highlight w:val="white"/>
          <w:rtl w:val="0"/>
        </w:rPr>
        <w:t xml:space="preserve">gcloud services enable servicenetworking.googleapis.com --project=PROJECT_ID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