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F4E79"/>
          <w:sz w:val="44"/>
          <w:szCs w:val="44"/>
        </w:rPr>
        <w:t xml:space="preserve">Capstone Project Proposal</w:t>
      </w:r>
    </w:p>
    <w:p>
      <w:pPr>
        <w:spacing w:after="300"/>
        <w:jc w:val="center"/>
      </w:pPr>
      <w:r>
        <w:rPr>
          <w:i/>
          <w:iCs/>
          <w:color w:val="444444"/>
          <w:sz w:val="26"/>
          <w:szCs w:val="26"/>
        </w:rPr>
        <w:t xml:space="preserve">AI Pocket Advisor: An Autonomous Personal Wealth Manager</w:t>
      </w:r>
    </w:p>
    <w:p>
      <w:pPr>
        <w:pStyle w:val="Heading1"/>
        <w:pBdr>
          <w:bottom w:val="single" w:color="1F4E79" w:sz="8" w:space="4"/>
        </w:pBdr>
        <w:spacing w:after="140" w:before="320"/>
      </w:pPr>
      <w:r>
        <w:rPr>
          <w:b/>
          <w:bCs/>
          <w:color w:val="1F4E79"/>
        </w:rPr>
        <w:t xml:space="preserve">Problem Statement</w:t>
      </w:r>
    </w:p>
    <w:p>
      <w:pPr>
        <w:spacing w:after="160"/>
      </w:pPr>
      <w:r>
        <w:t xml:space="preserve">Affordable, personalized wealth management remains out of reach for most individuals. Traditional financial advisors are costly and inaccessible to the average investor, while existing robo-advisors rely on static, predefined models that fail to adapt to an individual's evolving financial situation, goals, and market conditions. There is a clear gap for a solution that combines the personalization of a human advisor with the scalability and affordability of automation.</w:t>
      </w:r>
    </w:p>
    <w:p>
      <w:pPr>
        <w:spacing w:after="160"/>
      </w:pPr>
      <w:r>
        <w:t xml:space="preserve">AI Pocket Advisor closes this gap by acting as a personal AI wealth manager: it ingests a user's financial data in real time and autonomously generates and manages asset allocation decisions, continuously adapting as circumstances change.</w:t>
      </w:r>
    </w:p>
    <w:p>
      <w:pPr>
        <w:pStyle w:val="Heading1"/>
        <w:pBdr>
          <w:bottom w:val="single" w:color="1F4E79" w:sz="8" w:space="4"/>
        </w:pBdr>
        <w:spacing w:after="140" w:before="320"/>
      </w:pPr>
      <w:r>
        <w:rPr>
          <w:b/>
          <w:bCs/>
          <w:color w:val="1F4E79"/>
        </w:rPr>
        <w:t xml:space="preserve">Core Goal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Personalized wealth management — </w:t>
      </w:r>
      <w:r>
        <w:t xml:space="preserve">Deliver tailored financial guidance and portfolio allocation based on each user's unique financial situation, goals, and risk preferences, rather than generic, one-size-fits-all advice.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Autonomous decision-making — </w:t>
      </w:r>
      <w:r>
        <w:t xml:space="preserve">Move beyond static robo-advisors by enabling the AI to recommend, and where authorized, execute investment decisions dynamically, adapting in real time to market conditions and changes in user data.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Broader financial scope — </w:t>
      </w:r>
      <w:r>
        <w:t xml:space="preserve">Extend coverage beyond investments alone to budgeting, savings, insurance, and retirement planning, positioning the product as a holistic financial pocket advisor.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Accessibility and affordability — </w:t>
      </w:r>
      <w:r>
        <w:t xml:space="preserve">Democratize wealth management by offering, at low cost, services that have traditionally required an expensive human advisor.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Trust and compliance — </w:t>
      </w:r>
      <w:r>
        <w:t xml:space="preserve">Ensure every recommendation is transparent, auditable, and compliant with financial regulations, so users can confidently grant the AI access to sensitive financial data.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Scalable agentic workflow — </w:t>
      </w:r>
      <w:r>
        <w:t xml:space="preserve">Employ a modular system of specialized agents — research, risk, allocation, and compliance — that can scale from basic advisory support to full autonomous wealth management.</w:t>
      </w:r>
    </w:p>
    <w:p>
      <w:pPr>
        <w:pStyle w:val="Heading1"/>
        <w:pBdr>
          <w:bottom w:val="single" w:color="1F4E79" w:sz="8" w:space="4"/>
        </w:pBdr>
        <w:spacing w:after="140" w:before="320"/>
      </w:pPr>
      <w:r>
        <w:rPr>
          <w:b/>
          <w:bCs/>
          <w:color w:val="1F4E79"/>
        </w:rPr>
        <w:t xml:space="preserve">Users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Retail investors seeking low-cost, personalized portfolio management.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High-net-worth individuals who want scalable, on-demand advisory support.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Fintech firms looking to offer embedded wealth management services to their own customers.</w:t>
      </w:r>
    </w:p>
    <w:p>
      <w:pPr>
        <w:pStyle w:val="Heading1"/>
        <w:pBdr>
          <w:bottom w:val="single" w:color="1F4E79" w:sz="8" w:space="4"/>
        </w:pBdr>
        <w:spacing w:after="140" w:before="320"/>
      </w:pPr>
      <w:r>
        <w:rPr>
          <w:b/>
          <w:bCs/>
          <w:color w:val="1F4E79"/>
        </w:rPr>
        <w:t xml:space="preserve">Data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User financial asset data: bank accounts, brokerage portfolios, retirement funds.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Market data: equities, bonds, ETFs, commodities, and foreign exchange.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Risk appetite surveys and behavioral data.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Regulatory compliance data (KYC/AML).</w:t>
      </w:r>
    </w:p>
    <w:p>
      <w:pPr>
        <w:pStyle w:val="Heading1"/>
        <w:pBdr>
          <w:bottom w:val="single" w:color="1F4E79" w:sz="8" w:space="4"/>
        </w:pBdr>
        <w:spacing w:after="140" w:before="320"/>
      </w:pPr>
      <w:r>
        <w:rPr>
          <w:b/>
          <w:bCs/>
          <w:color w:val="1F4E79"/>
        </w:rPr>
        <w:t xml:space="preserve">AI Method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LLM + RAG — </w:t>
      </w:r>
      <w:r>
        <w:t xml:space="preserve">Powers financial Q&amp;A, policy interpretation, and personalized advice generation grounded in current, retrievable financial data.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ML models — </w:t>
      </w:r>
      <w:r>
        <w:t xml:space="preserve">Drive portfolio optimization, risk scoring, and financial forecasting.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Agentic workflow — </w:t>
      </w:r>
      <w:r>
        <w:t xml:space="preserve">A multi-agent system handles discrete tasks such as investment research, cash flow forecasting, and compliance checks.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Hybrid approach — </w:t>
      </w:r>
      <w:r>
        <w:t xml:space="preserve">Combines deterministic, rule-based financial logic with adaptive AI to balance flexibility with reliability.</w:t>
      </w:r>
    </w:p>
    <w:p>
      <w:pPr>
        <w:pStyle w:val="Heading1"/>
        <w:pBdr>
          <w:bottom w:val="single" w:color="1F4E79" w:sz="8" w:space="4"/>
        </w:pBdr>
        <w:spacing w:after="140" w:before="320"/>
      </w:pPr>
      <w:r>
        <w:rPr>
          <w:b/>
          <w:bCs/>
          <w:color w:val="1F4E79"/>
        </w:rPr>
        <w:t xml:space="preserve">Tools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APIs — </w:t>
      </w:r>
      <w:r>
        <w:t xml:space="preserve">Bloomberg or Refinitiv for market data; Plaid or Yodlee for aggregating user account data.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Databases — </w:t>
      </w:r>
      <w:r>
        <w:t xml:space="preserve">Secure, encrypted cloud storage for user financial records.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Applications — </w:t>
      </w:r>
      <w:r>
        <w:t xml:space="preserve">Integration with mobile banking apps, web dashboards, and conversational chat interfaces.</w:t>
      </w:r>
    </w:p>
    <w:p>
      <w:pPr>
        <w:pStyle w:val="Heading1"/>
        <w:pBdr>
          <w:bottom w:val="single" w:color="1F4E79" w:sz="8" w:space="4"/>
        </w:pBdr>
        <w:spacing w:after="140" w:before="320"/>
      </w:pPr>
      <w:r>
        <w:rPr>
          <w:b/>
          <w:bCs/>
          <w:color w:val="1F4E79"/>
        </w:rPr>
        <w:t xml:space="preserve">Controls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Mandatory human approval for high-risk recommendations, such as derivatives or margin trading.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Comprehensive logging and audit trails to support regulatory compliance.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Validation layers designed to prevent hallucinated or misleading financial advice.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Continuous monitoring for algorithmic bias and ongoing regulatory adherence.</w:t>
      </w:r>
    </w:p>
    <w:p>
      <w:pPr>
        <w:pStyle w:val="Heading1"/>
        <w:pBdr>
          <w:bottom w:val="single" w:color="1F4E79" w:sz="8" w:space="4"/>
        </w:pBdr>
        <w:spacing w:after="140" w:before="320"/>
      </w:pPr>
      <w:r>
        <w:rPr>
          <w:b/>
          <w:bCs/>
          <w:color w:val="1F4E79"/>
        </w:rPr>
        <w:t xml:space="preserve">Metrics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Baseline KPIs — </w:t>
      </w:r>
      <w:r>
        <w:t xml:space="preserve">User engagement, query accuracy, and portfolio performance relative to benchmark indices.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Target KPIs — </w:t>
      </w:r>
      <w:r>
        <w:t xml:space="preserve">20% improvement in portfolio efficiency, 90%+ accuracy on financial Q&amp;A, and consistently high user satisfaction scores.</w:t>
      </w:r>
    </w:p>
    <w:p>
      <w:pPr>
        <w:pStyle w:val="Heading1"/>
        <w:pBdr>
          <w:bottom w:val="single" w:color="1F4E79" w:sz="8" w:space="4"/>
        </w:pBdr>
        <w:spacing w:after="140" w:before="320"/>
      </w:pPr>
      <w:r>
        <w:rPr>
          <w:b/>
          <w:bCs/>
          <w:color w:val="1F4E79"/>
        </w:rPr>
        <w:t xml:space="preserve">Risks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Misinterpretation of financial data — </w:t>
      </w:r>
      <w:r>
        <w:t xml:space="preserve">Mitigated through mandatory human review of AI-generated recommendations.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Regulatory non-compliance — </w:t>
      </w:r>
      <w:r>
        <w:t xml:space="preserve">Mitigated by embedding compliance checks directly into the agentic workflow.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Data privacy breaches — </w:t>
      </w:r>
      <w:r>
        <w:t xml:space="preserve">Mitigated through end-to-end encryption and secure, vetted API integrations.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Over-reliance by users — </w:t>
      </w:r>
      <w:r>
        <w:t xml:space="preserve">Mitigated through clear disclaimers and nudges encouraging users to seek professional advice for major decisions.</w:t>
      </w:r>
    </w:p>
    <w:p>
      <w:pPr>
        <w:pStyle w:val="Heading1"/>
        <w:pBdr>
          <w:bottom w:val="single" w:color="1F4E79" w:sz="8" w:space="4"/>
        </w:pBdr>
        <w:spacing w:after="140" w:before="320"/>
      </w:pPr>
      <w:r>
        <w:rPr>
          <w:b/>
          <w:bCs/>
          <w:color w:val="1F4E79"/>
        </w:rPr>
        <w:t xml:space="preserve">Pilot Plan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Launch a limited rollout to a small group of retail investors.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Focus initial scope on budgeting, savings, and basic investment advice.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Monitor performance closely and collect structured user feedback before scaling.</w:t>
      </w:r>
    </w:p>
    <w:p>
      <w:pPr>
        <w:pStyle w:val="Heading1"/>
        <w:pBdr>
          <w:bottom w:val="single" w:color="1F4E79" w:sz="8" w:space="4"/>
        </w:pBdr>
        <w:spacing w:after="140" w:before="320"/>
      </w:pPr>
      <w:r>
        <w:rPr>
          <w:b/>
          <w:bCs/>
          <w:color w:val="1F4E79"/>
        </w:rPr>
        <w:t xml:space="preserve">Scale Plan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Harden security and compliance frameworks to support broader deployment.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Expand into advanced investment strategies, including options and global diversification.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Integrate with multiple financial institutions to widen data coverage and reach.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Deploy across mobile, web, and voice platforms for full omni-channel accessibility.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2026-07-22T02:19:37.404Z</dcterms:created>
  <dcterms:modified xsi:type="dcterms:W3CDTF">2026-07-22T02:19:37.420Z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