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FB0A" w14:textId="77777777" w:rsidR="00543162" w:rsidRPr="00962D0A" w:rsidRDefault="00543162" w:rsidP="00543162">
      <w:pPr>
        <w:spacing w:line="360" w:lineRule="auto"/>
        <w:rPr>
          <w:rFonts w:ascii="Times New Roman" w:hAnsi="Times New Roman" w:cs="Times New Roman"/>
          <w:sz w:val="44"/>
        </w:rPr>
      </w:pPr>
    </w:p>
    <w:p w14:paraId="4157676E" w14:textId="77777777" w:rsidR="00543162" w:rsidRPr="00962D0A" w:rsidRDefault="00543162" w:rsidP="00543162">
      <w:pPr>
        <w:pStyle w:val="Prrafodelista"/>
        <w:spacing w:line="360" w:lineRule="auto"/>
        <w:ind w:left="0"/>
        <w:jc w:val="both"/>
        <w:rPr>
          <w:rFonts w:ascii="Times New Roman" w:hAnsi="Times New Roman" w:cs="Times New Roman"/>
          <w:smallCaps/>
          <w:sz w:val="24"/>
          <w:szCs w:val="24"/>
        </w:rPr>
      </w:pPr>
    </w:p>
    <w:p w14:paraId="5127B4A9" w14:textId="77777777" w:rsidR="00543162" w:rsidRPr="00962D0A" w:rsidRDefault="00543162" w:rsidP="00543162">
      <w:pPr>
        <w:pStyle w:val="Prrafodelista"/>
        <w:spacing w:line="360" w:lineRule="auto"/>
        <w:ind w:left="0"/>
        <w:jc w:val="both"/>
        <w:rPr>
          <w:rFonts w:ascii="Times New Roman" w:hAnsi="Times New Roman" w:cs="Times New Roman"/>
          <w:smallCaps/>
          <w:sz w:val="24"/>
          <w:szCs w:val="24"/>
        </w:rPr>
      </w:pPr>
    </w:p>
    <w:p w14:paraId="7B4A9F18" w14:textId="77777777" w:rsidR="00543162" w:rsidRDefault="00543162" w:rsidP="00543162">
      <w:pPr>
        <w:pStyle w:val="Prrafodelista"/>
        <w:spacing w:line="360" w:lineRule="auto"/>
        <w:ind w:left="0"/>
        <w:jc w:val="both"/>
        <w:rPr>
          <w:rFonts w:ascii="Times New Roman" w:hAnsi="Times New Roman" w:cs="Times New Roman"/>
          <w:smallCaps/>
          <w:noProof/>
          <w:sz w:val="24"/>
          <w:szCs w:val="24"/>
        </w:rPr>
      </w:pPr>
    </w:p>
    <w:p w14:paraId="78C6448A" w14:textId="77777777" w:rsidR="00543162" w:rsidRPr="00962D0A" w:rsidRDefault="00543162" w:rsidP="00543162">
      <w:pPr>
        <w:pStyle w:val="Prrafodelista"/>
        <w:spacing w:line="360" w:lineRule="auto"/>
        <w:ind w:left="0"/>
        <w:jc w:val="both"/>
        <w:rPr>
          <w:rFonts w:ascii="Times New Roman" w:hAnsi="Times New Roman" w:cs="Times New Roman"/>
          <w:smallCaps/>
          <w:sz w:val="24"/>
          <w:szCs w:val="24"/>
        </w:rPr>
      </w:pPr>
    </w:p>
    <w:p w14:paraId="694066D4" w14:textId="77777777" w:rsidR="00543162" w:rsidRPr="00962D0A" w:rsidRDefault="00543162" w:rsidP="00543162">
      <w:pPr>
        <w:pStyle w:val="Prrafodelista"/>
        <w:spacing w:line="360" w:lineRule="auto"/>
        <w:ind w:left="0"/>
        <w:jc w:val="both"/>
        <w:rPr>
          <w:rFonts w:ascii="Times New Roman" w:hAnsi="Times New Roman" w:cs="Times New Roman"/>
          <w:smallCaps/>
          <w:sz w:val="24"/>
          <w:szCs w:val="24"/>
        </w:rPr>
      </w:pPr>
    </w:p>
    <w:p w14:paraId="66B5C73A" w14:textId="77777777" w:rsidR="00543162" w:rsidRPr="00962D0A" w:rsidRDefault="00543162" w:rsidP="00543162">
      <w:pPr>
        <w:pStyle w:val="Prrafodelista"/>
        <w:spacing w:line="360" w:lineRule="auto"/>
        <w:ind w:left="0"/>
        <w:jc w:val="both"/>
        <w:rPr>
          <w:rFonts w:ascii="Times New Roman" w:hAnsi="Times New Roman" w:cs="Times New Roman"/>
          <w:smallCaps/>
          <w:sz w:val="24"/>
          <w:szCs w:val="24"/>
        </w:rPr>
      </w:pPr>
    </w:p>
    <w:p w14:paraId="66A8F1B5" w14:textId="77777777" w:rsidR="00543162" w:rsidRPr="00962D0A" w:rsidRDefault="00543162" w:rsidP="00543162">
      <w:pPr>
        <w:spacing w:line="360" w:lineRule="auto"/>
        <w:rPr>
          <w:rFonts w:ascii="Times New Roman" w:hAnsi="Times New Roman" w:cs="Times New Roman"/>
        </w:rPr>
      </w:pPr>
      <w:r w:rsidRPr="00962D0A">
        <w:rPr>
          <w:rFonts w:ascii="Times New Roman" w:hAnsi="Times New Roman" w:cs="Times New Roman"/>
          <w:noProof/>
        </w:rPr>
        <w:drawing>
          <wp:anchor distT="0" distB="0" distL="114300" distR="114300" simplePos="0" relativeHeight="251660288" behindDoc="0" locked="0" layoutInCell="1" allowOverlap="1" wp14:anchorId="6D0451FE" wp14:editId="59CA6340">
            <wp:simplePos x="0" y="0"/>
            <wp:positionH relativeFrom="margin">
              <wp:align>right</wp:align>
            </wp:positionH>
            <wp:positionV relativeFrom="margin">
              <wp:posOffset>7620</wp:posOffset>
            </wp:positionV>
            <wp:extent cx="1438910" cy="721360"/>
            <wp:effectExtent l="0" t="0" r="889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721360"/>
                    </a:xfrm>
                    <a:prstGeom prst="rect">
                      <a:avLst/>
                    </a:prstGeom>
                    <a:noFill/>
                  </pic:spPr>
                </pic:pic>
              </a:graphicData>
            </a:graphic>
            <wp14:sizeRelH relativeFrom="margin">
              <wp14:pctWidth>0</wp14:pctWidth>
            </wp14:sizeRelH>
            <wp14:sizeRelV relativeFrom="margin">
              <wp14:pctHeight>0</wp14:pctHeight>
            </wp14:sizeRelV>
          </wp:anchor>
        </w:drawing>
      </w:r>
      <w:r w:rsidRPr="00962D0A">
        <w:rPr>
          <w:rFonts w:ascii="Times New Roman" w:hAnsi="Times New Roman" w:cs="Times New Roman"/>
          <w:noProof/>
        </w:rPr>
        <w:drawing>
          <wp:anchor distT="0" distB="0" distL="114300" distR="114300" simplePos="0" relativeHeight="251659264" behindDoc="0" locked="0" layoutInCell="1" allowOverlap="1" wp14:anchorId="444E7055" wp14:editId="10383DCE">
            <wp:simplePos x="0" y="0"/>
            <wp:positionH relativeFrom="margin">
              <wp:align>left</wp:align>
            </wp:positionH>
            <wp:positionV relativeFrom="margin">
              <wp:align>top</wp:align>
            </wp:positionV>
            <wp:extent cx="1033145" cy="6692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669290"/>
                    </a:xfrm>
                    <a:prstGeom prst="rect">
                      <a:avLst/>
                    </a:prstGeom>
                    <a:noFill/>
                  </pic:spPr>
                </pic:pic>
              </a:graphicData>
            </a:graphic>
            <wp14:sizeRelH relativeFrom="margin">
              <wp14:pctWidth>0</wp14:pctWidth>
            </wp14:sizeRelH>
            <wp14:sizeRelV relativeFrom="margin">
              <wp14:pctHeight>0</wp14:pctHeight>
            </wp14:sizeRelV>
          </wp:anchor>
        </w:drawing>
      </w:r>
    </w:p>
    <w:p w14:paraId="7A4D8D55" w14:textId="3C6E0AFA" w:rsidR="00543162" w:rsidRPr="00962D0A" w:rsidRDefault="003D2569" w:rsidP="00543162">
      <w:pPr>
        <w:pBdr>
          <w:top w:val="single" w:sz="4" w:space="1" w:color="auto"/>
          <w:left w:val="single" w:sz="4" w:space="1" w:color="auto"/>
          <w:bottom w:val="single" w:sz="4" w:space="1" w:color="auto"/>
          <w:right w:val="single" w:sz="4" w:space="1" w:color="auto"/>
        </w:pBdr>
        <w:spacing w:line="360" w:lineRule="auto"/>
        <w:jc w:val="center"/>
        <w:rPr>
          <w:rFonts w:ascii="Times New Roman" w:hAnsi="Times New Roman" w:cs="Times New Roman"/>
          <w:b/>
          <w:bCs/>
          <w:smallCaps/>
          <w:color w:val="004070"/>
          <w:sz w:val="48"/>
          <w:szCs w:val="48"/>
        </w:rPr>
      </w:pPr>
      <w:r>
        <w:rPr>
          <w:rFonts w:ascii="Times New Roman" w:hAnsi="Times New Roman" w:cs="Times New Roman"/>
          <w:b/>
          <w:bCs/>
          <w:smallCaps/>
          <w:color w:val="004070"/>
          <w:sz w:val="48"/>
          <w:szCs w:val="48"/>
        </w:rPr>
        <w:t>Visualización Avanzada</w:t>
      </w:r>
    </w:p>
    <w:p w14:paraId="0C33FB41" w14:textId="2A0A2AAA" w:rsidR="00543162" w:rsidRPr="00962D0A" w:rsidRDefault="003D2569" w:rsidP="00543162">
      <w:pPr>
        <w:pBdr>
          <w:top w:val="single" w:sz="4" w:space="1" w:color="auto"/>
          <w:left w:val="single" w:sz="4" w:space="1" w:color="auto"/>
          <w:bottom w:val="single" w:sz="4" w:space="1" w:color="auto"/>
          <w:right w:val="single" w:sz="4" w:space="1" w:color="auto"/>
        </w:pBdr>
        <w:spacing w:line="360" w:lineRule="auto"/>
        <w:jc w:val="center"/>
        <w:rPr>
          <w:rFonts w:ascii="Times New Roman" w:hAnsi="Times New Roman" w:cs="Times New Roman"/>
          <w:smallCaps/>
          <w:sz w:val="36"/>
          <w:szCs w:val="36"/>
        </w:rPr>
      </w:pPr>
      <w:r>
        <w:rPr>
          <w:rFonts w:ascii="Times New Roman" w:hAnsi="Times New Roman" w:cs="Times New Roman"/>
          <w:smallCaps/>
          <w:sz w:val="36"/>
          <w:szCs w:val="36"/>
          <w:u w:val="single"/>
        </w:rPr>
        <w:t>Práctica</w:t>
      </w:r>
      <w:r w:rsidR="00543162" w:rsidRPr="00962D0A">
        <w:rPr>
          <w:rFonts w:ascii="Times New Roman" w:hAnsi="Times New Roman" w:cs="Times New Roman"/>
          <w:smallCaps/>
          <w:sz w:val="36"/>
          <w:szCs w:val="36"/>
          <w:u w:val="single"/>
        </w:rPr>
        <w:t xml:space="preserve"> </w:t>
      </w:r>
      <w:r w:rsidR="006C53A0">
        <w:rPr>
          <w:rFonts w:ascii="Times New Roman" w:hAnsi="Times New Roman" w:cs="Times New Roman"/>
          <w:smallCaps/>
          <w:sz w:val="36"/>
          <w:szCs w:val="36"/>
          <w:u w:val="single"/>
        </w:rPr>
        <w:t>3.</w:t>
      </w:r>
      <w:r w:rsidR="00456C9E">
        <w:rPr>
          <w:rFonts w:ascii="Times New Roman" w:hAnsi="Times New Roman" w:cs="Times New Roman"/>
          <w:smallCaps/>
          <w:sz w:val="36"/>
          <w:szCs w:val="36"/>
          <w:u w:val="single"/>
        </w:rPr>
        <w:t>4</w:t>
      </w:r>
      <w:r w:rsidR="00543162" w:rsidRPr="00962D0A">
        <w:rPr>
          <w:rFonts w:ascii="Times New Roman" w:hAnsi="Times New Roman" w:cs="Times New Roman"/>
          <w:smallCaps/>
          <w:sz w:val="36"/>
          <w:szCs w:val="36"/>
        </w:rPr>
        <w:t xml:space="preserve">: </w:t>
      </w:r>
      <w:r w:rsidR="00456C9E">
        <w:rPr>
          <w:rFonts w:ascii="Times New Roman" w:hAnsi="Times New Roman" w:cs="Times New Roman"/>
          <w:smallCaps/>
          <w:sz w:val="36"/>
          <w:szCs w:val="36"/>
        </w:rPr>
        <w:t>Análisis de los datos sobre distintos aspectos de la población mundial</w:t>
      </w:r>
    </w:p>
    <w:p w14:paraId="413AAC61" w14:textId="4CB0128C" w:rsidR="00543162" w:rsidRPr="00962D0A" w:rsidRDefault="00543162" w:rsidP="00543162">
      <w:pPr>
        <w:pBdr>
          <w:top w:val="single" w:sz="4" w:space="1" w:color="auto"/>
          <w:left w:val="single" w:sz="4" w:space="1" w:color="auto"/>
          <w:bottom w:val="single" w:sz="4" w:space="1" w:color="auto"/>
          <w:right w:val="single" w:sz="4" w:space="1" w:color="auto"/>
        </w:pBdr>
        <w:spacing w:line="360" w:lineRule="auto"/>
        <w:jc w:val="center"/>
        <w:rPr>
          <w:rFonts w:ascii="Times New Roman" w:hAnsi="Times New Roman" w:cs="Times New Roman"/>
          <w:b/>
          <w:bCs/>
          <w:smallCaps/>
          <w:sz w:val="32"/>
          <w:szCs w:val="32"/>
        </w:rPr>
      </w:pPr>
      <w:r w:rsidRPr="00962D0A">
        <w:rPr>
          <w:rFonts w:ascii="Times New Roman" w:hAnsi="Times New Roman" w:cs="Times New Roman"/>
          <w:b/>
          <w:bCs/>
          <w:smallCaps/>
          <w:sz w:val="32"/>
          <w:szCs w:val="32"/>
        </w:rPr>
        <w:t>USC, CURSO 202</w:t>
      </w:r>
      <w:r>
        <w:rPr>
          <w:rFonts w:ascii="Times New Roman" w:hAnsi="Times New Roman" w:cs="Times New Roman"/>
          <w:b/>
          <w:bCs/>
          <w:smallCaps/>
          <w:sz w:val="32"/>
          <w:szCs w:val="32"/>
        </w:rPr>
        <w:t>2</w:t>
      </w:r>
      <w:r w:rsidRPr="00962D0A">
        <w:rPr>
          <w:rFonts w:ascii="Times New Roman" w:hAnsi="Times New Roman" w:cs="Times New Roman"/>
          <w:b/>
          <w:bCs/>
          <w:smallCaps/>
          <w:sz w:val="32"/>
          <w:szCs w:val="32"/>
        </w:rPr>
        <w:t>-202</w:t>
      </w:r>
      <w:r>
        <w:rPr>
          <w:rFonts w:ascii="Times New Roman" w:hAnsi="Times New Roman" w:cs="Times New Roman"/>
          <w:b/>
          <w:bCs/>
          <w:smallCaps/>
          <w:sz w:val="32"/>
          <w:szCs w:val="32"/>
        </w:rPr>
        <w:t>3</w:t>
      </w:r>
    </w:p>
    <w:p w14:paraId="02F3CED2" w14:textId="436BF0EA" w:rsidR="00543162" w:rsidRPr="00962D0A" w:rsidRDefault="00543162" w:rsidP="00543162">
      <w:pPr>
        <w:pBdr>
          <w:top w:val="single" w:sz="4" w:space="1" w:color="auto"/>
          <w:left w:val="single" w:sz="4" w:space="1" w:color="auto"/>
          <w:bottom w:val="single" w:sz="4" w:space="1" w:color="auto"/>
          <w:right w:val="single" w:sz="4" w:space="1" w:color="auto"/>
        </w:pBdr>
        <w:spacing w:line="360" w:lineRule="auto"/>
        <w:jc w:val="center"/>
        <w:rPr>
          <w:rFonts w:ascii="Times New Roman" w:hAnsi="Times New Roman" w:cs="Times New Roman"/>
          <w:smallCaps/>
          <w:sz w:val="32"/>
          <w:szCs w:val="32"/>
        </w:rPr>
      </w:pPr>
      <w:r>
        <w:rPr>
          <w:rFonts w:ascii="Times New Roman" w:hAnsi="Times New Roman" w:cs="Times New Roman"/>
          <w:smallCaps/>
          <w:sz w:val="32"/>
          <w:szCs w:val="32"/>
        </w:rPr>
        <w:t>Diana Mascareñas Sande</w:t>
      </w:r>
    </w:p>
    <w:p w14:paraId="5E521000" w14:textId="77777777" w:rsidR="00543162" w:rsidRPr="00962D0A" w:rsidRDefault="00543162" w:rsidP="00543162">
      <w:pPr>
        <w:spacing w:line="360" w:lineRule="auto"/>
        <w:rPr>
          <w:rFonts w:ascii="Times New Roman" w:hAnsi="Times New Roman" w:cs="Times New Roman"/>
        </w:rPr>
      </w:pPr>
    </w:p>
    <w:p w14:paraId="4297550A" w14:textId="0317E90C" w:rsidR="001E70EB" w:rsidRDefault="00543162" w:rsidP="00543162">
      <w:pPr>
        <w:pStyle w:val="Diana"/>
      </w:pPr>
      <w:r>
        <w:br w:type="page"/>
      </w:r>
    </w:p>
    <w:sdt>
      <w:sdtPr>
        <w:rPr>
          <w:rFonts w:asciiTheme="minorHAnsi" w:eastAsiaTheme="minorHAnsi" w:hAnsiTheme="minorHAnsi" w:cs="Times New Roman"/>
          <w:color w:val="000000" w:themeColor="text1"/>
          <w:sz w:val="22"/>
          <w:szCs w:val="22"/>
          <w:lang w:eastAsia="en-US"/>
        </w:rPr>
        <w:id w:val="530388640"/>
        <w:docPartObj>
          <w:docPartGallery w:val="Table of Contents"/>
          <w:docPartUnique/>
        </w:docPartObj>
      </w:sdtPr>
      <w:sdtEndPr>
        <w:rPr>
          <w:b/>
          <w:bCs/>
        </w:rPr>
      </w:sdtEndPr>
      <w:sdtContent>
        <w:p w14:paraId="23C43E15" w14:textId="77777777" w:rsidR="001E70EB" w:rsidRPr="00E027F6" w:rsidRDefault="001E70EB" w:rsidP="001E70EB">
          <w:pPr>
            <w:pStyle w:val="TtuloTDC"/>
            <w:spacing w:line="360" w:lineRule="auto"/>
            <w:jc w:val="both"/>
            <w:rPr>
              <w:rFonts w:cs="Times New Roman"/>
              <w:smallCaps/>
              <w:color w:val="000000" w:themeColor="text1"/>
            </w:rPr>
          </w:pPr>
          <w:r w:rsidRPr="00E027F6">
            <w:rPr>
              <w:rFonts w:cs="Times New Roman"/>
              <w:smallCaps/>
              <w:color w:val="000000" w:themeColor="text1"/>
            </w:rPr>
            <w:t>Índice</w:t>
          </w:r>
        </w:p>
        <w:p w14:paraId="53A9D547" w14:textId="19A71981" w:rsidR="003D4EF9" w:rsidRDefault="001E70EB">
          <w:pPr>
            <w:pStyle w:val="TDC1"/>
            <w:rPr>
              <w:rFonts w:cstheme="minorBidi"/>
              <w:noProof/>
            </w:rPr>
          </w:pPr>
          <w:r w:rsidRPr="00917E78">
            <w:rPr>
              <w:rFonts w:ascii="Times New Roman" w:hAnsi="Times New Roman"/>
              <w:color w:val="000000" w:themeColor="text1"/>
              <w:sz w:val="24"/>
              <w:szCs w:val="24"/>
            </w:rPr>
            <w:fldChar w:fldCharType="begin"/>
          </w:r>
          <w:r w:rsidRPr="00917E78">
            <w:rPr>
              <w:rFonts w:ascii="Times New Roman" w:hAnsi="Times New Roman"/>
              <w:color w:val="000000" w:themeColor="text1"/>
              <w:sz w:val="24"/>
              <w:szCs w:val="24"/>
            </w:rPr>
            <w:instrText xml:space="preserve"> TOC \o "1-3" \h \z \u </w:instrText>
          </w:r>
          <w:r w:rsidRPr="00917E78">
            <w:rPr>
              <w:rFonts w:ascii="Times New Roman" w:hAnsi="Times New Roman"/>
              <w:color w:val="000000" w:themeColor="text1"/>
              <w:sz w:val="24"/>
              <w:szCs w:val="24"/>
            </w:rPr>
            <w:fldChar w:fldCharType="separate"/>
          </w:r>
          <w:hyperlink w:anchor="_Toc116939128" w:history="1">
            <w:r w:rsidR="003D4EF9" w:rsidRPr="007D34CA">
              <w:rPr>
                <w:rStyle w:val="Hipervnculo"/>
                <w:rFonts w:ascii="Times New Roman" w:eastAsiaTheme="minorHAnsi" w:hAnsi="Times New Roman"/>
                <w:b/>
                <w:bCs/>
                <w:smallCaps/>
                <w:noProof/>
              </w:rPr>
              <w:t>Elección de un Dataset</w:t>
            </w:r>
            <w:r w:rsidR="003D4EF9">
              <w:rPr>
                <w:noProof/>
                <w:webHidden/>
              </w:rPr>
              <w:tab/>
            </w:r>
            <w:r w:rsidR="003D4EF9">
              <w:rPr>
                <w:noProof/>
                <w:webHidden/>
              </w:rPr>
              <w:fldChar w:fldCharType="begin"/>
            </w:r>
            <w:r w:rsidR="003D4EF9">
              <w:rPr>
                <w:noProof/>
                <w:webHidden/>
              </w:rPr>
              <w:instrText xml:space="preserve"> PAGEREF _Toc116939128 \h </w:instrText>
            </w:r>
            <w:r w:rsidR="003D4EF9">
              <w:rPr>
                <w:noProof/>
                <w:webHidden/>
              </w:rPr>
            </w:r>
            <w:r w:rsidR="003D4EF9">
              <w:rPr>
                <w:noProof/>
                <w:webHidden/>
              </w:rPr>
              <w:fldChar w:fldCharType="separate"/>
            </w:r>
            <w:r w:rsidR="00694290">
              <w:rPr>
                <w:noProof/>
                <w:webHidden/>
              </w:rPr>
              <w:t>3</w:t>
            </w:r>
            <w:r w:rsidR="003D4EF9">
              <w:rPr>
                <w:noProof/>
                <w:webHidden/>
              </w:rPr>
              <w:fldChar w:fldCharType="end"/>
            </w:r>
          </w:hyperlink>
        </w:p>
        <w:p w14:paraId="3567E6E0" w14:textId="57151E90" w:rsidR="003D4EF9" w:rsidRDefault="003D4EF9">
          <w:pPr>
            <w:pStyle w:val="TDC1"/>
            <w:rPr>
              <w:rFonts w:cstheme="minorBidi"/>
              <w:noProof/>
            </w:rPr>
          </w:pPr>
          <w:hyperlink w:anchor="_Toc116939129" w:history="1">
            <w:r w:rsidRPr="007D34CA">
              <w:rPr>
                <w:rStyle w:val="Hipervnculo"/>
                <w:rFonts w:ascii="Times New Roman" w:eastAsiaTheme="minorHAnsi" w:hAnsi="Times New Roman"/>
                <w:b/>
                <w:bCs/>
                <w:smallCaps/>
                <w:noProof/>
              </w:rPr>
              <w:t>Tema a tratar</w:t>
            </w:r>
            <w:r>
              <w:rPr>
                <w:noProof/>
                <w:webHidden/>
              </w:rPr>
              <w:tab/>
            </w:r>
            <w:r>
              <w:rPr>
                <w:noProof/>
                <w:webHidden/>
              </w:rPr>
              <w:fldChar w:fldCharType="begin"/>
            </w:r>
            <w:r>
              <w:rPr>
                <w:noProof/>
                <w:webHidden/>
              </w:rPr>
              <w:instrText xml:space="preserve"> PAGEREF _Toc116939129 \h </w:instrText>
            </w:r>
            <w:r>
              <w:rPr>
                <w:noProof/>
                <w:webHidden/>
              </w:rPr>
            </w:r>
            <w:r>
              <w:rPr>
                <w:noProof/>
                <w:webHidden/>
              </w:rPr>
              <w:fldChar w:fldCharType="separate"/>
            </w:r>
            <w:r w:rsidR="00694290">
              <w:rPr>
                <w:noProof/>
                <w:webHidden/>
              </w:rPr>
              <w:t>5</w:t>
            </w:r>
            <w:r>
              <w:rPr>
                <w:noProof/>
                <w:webHidden/>
              </w:rPr>
              <w:fldChar w:fldCharType="end"/>
            </w:r>
          </w:hyperlink>
        </w:p>
        <w:p w14:paraId="6E10F04C" w14:textId="6BAEAD52" w:rsidR="003D4EF9" w:rsidRDefault="003D4EF9">
          <w:pPr>
            <w:pStyle w:val="TDC1"/>
            <w:rPr>
              <w:rFonts w:cstheme="minorBidi"/>
              <w:noProof/>
            </w:rPr>
          </w:pPr>
          <w:hyperlink w:anchor="_Toc116939130" w:history="1">
            <w:r w:rsidRPr="007D34CA">
              <w:rPr>
                <w:rStyle w:val="Hipervnculo"/>
                <w:rFonts w:ascii="Times New Roman" w:eastAsiaTheme="minorHAnsi" w:hAnsi="Times New Roman"/>
                <w:b/>
                <w:bCs/>
                <w:smallCaps/>
                <w:noProof/>
              </w:rPr>
              <w:t>Preprocesado de los datos</w:t>
            </w:r>
            <w:r>
              <w:rPr>
                <w:noProof/>
                <w:webHidden/>
              </w:rPr>
              <w:tab/>
            </w:r>
            <w:r>
              <w:rPr>
                <w:noProof/>
                <w:webHidden/>
              </w:rPr>
              <w:fldChar w:fldCharType="begin"/>
            </w:r>
            <w:r>
              <w:rPr>
                <w:noProof/>
                <w:webHidden/>
              </w:rPr>
              <w:instrText xml:space="preserve"> PAGEREF _Toc116939130 \h </w:instrText>
            </w:r>
            <w:r>
              <w:rPr>
                <w:noProof/>
                <w:webHidden/>
              </w:rPr>
            </w:r>
            <w:r>
              <w:rPr>
                <w:noProof/>
                <w:webHidden/>
              </w:rPr>
              <w:fldChar w:fldCharType="separate"/>
            </w:r>
            <w:r w:rsidR="00694290">
              <w:rPr>
                <w:noProof/>
                <w:webHidden/>
              </w:rPr>
              <w:t>5</w:t>
            </w:r>
            <w:r>
              <w:rPr>
                <w:noProof/>
                <w:webHidden/>
              </w:rPr>
              <w:fldChar w:fldCharType="end"/>
            </w:r>
          </w:hyperlink>
        </w:p>
        <w:p w14:paraId="1ADF740B" w14:textId="468D993F" w:rsidR="003D4EF9" w:rsidRDefault="003D4EF9">
          <w:pPr>
            <w:pStyle w:val="TDC1"/>
            <w:rPr>
              <w:rFonts w:cstheme="minorBidi"/>
              <w:noProof/>
            </w:rPr>
          </w:pPr>
          <w:hyperlink w:anchor="_Toc116939131" w:history="1">
            <w:r w:rsidRPr="007D34CA">
              <w:rPr>
                <w:rStyle w:val="Hipervnculo"/>
                <w:rFonts w:ascii="Times New Roman" w:eastAsiaTheme="minorHAnsi" w:hAnsi="Times New Roman"/>
                <w:b/>
                <w:bCs/>
                <w:smallCaps/>
                <w:noProof/>
              </w:rPr>
              <w:t>Estudio de los datos</w:t>
            </w:r>
            <w:r>
              <w:rPr>
                <w:noProof/>
                <w:webHidden/>
              </w:rPr>
              <w:tab/>
            </w:r>
            <w:r>
              <w:rPr>
                <w:noProof/>
                <w:webHidden/>
              </w:rPr>
              <w:fldChar w:fldCharType="begin"/>
            </w:r>
            <w:r>
              <w:rPr>
                <w:noProof/>
                <w:webHidden/>
              </w:rPr>
              <w:instrText xml:space="preserve"> PAGEREF _Toc116939131 \h </w:instrText>
            </w:r>
            <w:r>
              <w:rPr>
                <w:noProof/>
                <w:webHidden/>
              </w:rPr>
            </w:r>
            <w:r>
              <w:rPr>
                <w:noProof/>
                <w:webHidden/>
              </w:rPr>
              <w:fldChar w:fldCharType="separate"/>
            </w:r>
            <w:r w:rsidR="00694290">
              <w:rPr>
                <w:noProof/>
                <w:webHidden/>
              </w:rPr>
              <w:t>10</w:t>
            </w:r>
            <w:r>
              <w:rPr>
                <w:noProof/>
                <w:webHidden/>
              </w:rPr>
              <w:fldChar w:fldCharType="end"/>
            </w:r>
          </w:hyperlink>
        </w:p>
        <w:p w14:paraId="09739B26" w14:textId="59F1F6A0" w:rsidR="003D4EF9" w:rsidRDefault="003D4EF9">
          <w:pPr>
            <w:pStyle w:val="TDC1"/>
            <w:rPr>
              <w:rFonts w:cstheme="minorBidi"/>
              <w:noProof/>
            </w:rPr>
          </w:pPr>
          <w:hyperlink w:anchor="_Toc116939132" w:history="1">
            <w:r w:rsidRPr="007D34CA">
              <w:rPr>
                <w:rStyle w:val="Hipervnculo"/>
                <w:rFonts w:ascii="Times New Roman" w:eastAsiaTheme="minorHAnsi" w:hAnsi="Times New Roman"/>
                <w:b/>
                <w:bCs/>
                <w:smallCaps/>
                <w:noProof/>
              </w:rPr>
              <w:t>Análisis de los resultados</w:t>
            </w:r>
            <w:r>
              <w:rPr>
                <w:noProof/>
                <w:webHidden/>
              </w:rPr>
              <w:tab/>
            </w:r>
            <w:r>
              <w:rPr>
                <w:noProof/>
                <w:webHidden/>
              </w:rPr>
              <w:fldChar w:fldCharType="begin"/>
            </w:r>
            <w:r>
              <w:rPr>
                <w:noProof/>
                <w:webHidden/>
              </w:rPr>
              <w:instrText xml:space="preserve"> PAGEREF _Toc116939132 \h </w:instrText>
            </w:r>
            <w:r>
              <w:rPr>
                <w:noProof/>
                <w:webHidden/>
              </w:rPr>
            </w:r>
            <w:r>
              <w:rPr>
                <w:noProof/>
                <w:webHidden/>
              </w:rPr>
              <w:fldChar w:fldCharType="separate"/>
            </w:r>
            <w:r w:rsidR="00694290">
              <w:rPr>
                <w:noProof/>
                <w:webHidden/>
              </w:rPr>
              <w:t>13</w:t>
            </w:r>
            <w:r>
              <w:rPr>
                <w:noProof/>
                <w:webHidden/>
              </w:rPr>
              <w:fldChar w:fldCharType="end"/>
            </w:r>
          </w:hyperlink>
        </w:p>
        <w:p w14:paraId="3313A96B" w14:textId="3CB8A8AB" w:rsidR="003D4EF9" w:rsidRDefault="003D4EF9">
          <w:pPr>
            <w:pStyle w:val="TDC1"/>
            <w:rPr>
              <w:rFonts w:cstheme="minorBidi"/>
              <w:noProof/>
            </w:rPr>
          </w:pPr>
          <w:hyperlink w:anchor="_Toc116939133" w:history="1">
            <w:r w:rsidRPr="007D34CA">
              <w:rPr>
                <w:rStyle w:val="Hipervnculo"/>
                <w:rFonts w:ascii="Times New Roman" w:eastAsiaTheme="minorHAnsi" w:hAnsi="Times New Roman"/>
                <w:b/>
                <w:bCs/>
                <w:smallCaps/>
                <w:noProof/>
              </w:rPr>
              <w:t>Bibliografía</w:t>
            </w:r>
            <w:r>
              <w:rPr>
                <w:noProof/>
                <w:webHidden/>
              </w:rPr>
              <w:tab/>
            </w:r>
            <w:r>
              <w:rPr>
                <w:noProof/>
                <w:webHidden/>
              </w:rPr>
              <w:fldChar w:fldCharType="begin"/>
            </w:r>
            <w:r>
              <w:rPr>
                <w:noProof/>
                <w:webHidden/>
              </w:rPr>
              <w:instrText xml:space="preserve"> PAGEREF _Toc116939133 \h </w:instrText>
            </w:r>
            <w:r>
              <w:rPr>
                <w:noProof/>
                <w:webHidden/>
              </w:rPr>
            </w:r>
            <w:r>
              <w:rPr>
                <w:noProof/>
                <w:webHidden/>
              </w:rPr>
              <w:fldChar w:fldCharType="separate"/>
            </w:r>
            <w:r w:rsidR="00694290">
              <w:rPr>
                <w:noProof/>
                <w:webHidden/>
              </w:rPr>
              <w:t>17</w:t>
            </w:r>
            <w:r>
              <w:rPr>
                <w:noProof/>
                <w:webHidden/>
              </w:rPr>
              <w:fldChar w:fldCharType="end"/>
            </w:r>
          </w:hyperlink>
        </w:p>
        <w:p w14:paraId="50869D62" w14:textId="14573295" w:rsidR="001E70EB" w:rsidRPr="00105F72" w:rsidRDefault="001E70EB" w:rsidP="001E70EB">
          <w:pPr>
            <w:spacing w:line="360" w:lineRule="auto"/>
            <w:jc w:val="both"/>
            <w:rPr>
              <w:rFonts w:ascii="Times New Roman" w:hAnsi="Times New Roman" w:cs="Times New Roman"/>
              <w:color w:val="000000" w:themeColor="text1"/>
            </w:rPr>
          </w:pPr>
          <w:r w:rsidRPr="00917E78">
            <w:rPr>
              <w:rFonts w:ascii="Times New Roman" w:hAnsi="Times New Roman" w:cs="Times New Roman"/>
              <w:b/>
              <w:bCs/>
              <w:color w:val="000000" w:themeColor="text1"/>
              <w:sz w:val="24"/>
              <w:szCs w:val="24"/>
            </w:rPr>
            <w:fldChar w:fldCharType="end"/>
          </w:r>
        </w:p>
      </w:sdtContent>
    </w:sdt>
    <w:p w14:paraId="7DFE670C" w14:textId="216ED3A3" w:rsidR="001E70EB" w:rsidRDefault="001E70EB" w:rsidP="00543162">
      <w:pPr>
        <w:pStyle w:val="Diana"/>
      </w:pPr>
    </w:p>
    <w:p w14:paraId="33B9D2C8" w14:textId="7AD80FD4" w:rsidR="001E70EB" w:rsidRDefault="001E70EB" w:rsidP="00543162">
      <w:pPr>
        <w:pStyle w:val="Diana"/>
      </w:pPr>
    </w:p>
    <w:p w14:paraId="4DE43BAA" w14:textId="47D1C824" w:rsidR="001E70EB" w:rsidRDefault="001E70EB" w:rsidP="00543162">
      <w:pPr>
        <w:pStyle w:val="Diana"/>
      </w:pPr>
    </w:p>
    <w:p w14:paraId="55F7EFAF" w14:textId="23B2E7EA" w:rsidR="001E70EB" w:rsidRDefault="001E70EB" w:rsidP="00543162">
      <w:pPr>
        <w:pStyle w:val="Diana"/>
      </w:pPr>
    </w:p>
    <w:p w14:paraId="2177BF98" w14:textId="09FDFDEB" w:rsidR="001E70EB" w:rsidRDefault="001E70EB" w:rsidP="00543162">
      <w:pPr>
        <w:pStyle w:val="Diana"/>
      </w:pPr>
    </w:p>
    <w:p w14:paraId="7002CFB9" w14:textId="36E7E49E" w:rsidR="001E70EB" w:rsidRDefault="001E70EB" w:rsidP="00543162">
      <w:pPr>
        <w:pStyle w:val="Diana"/>
      </w:pPr>
    </w:p>
    <w:p w14:paraId="793A5757" w14:textId="4E358B8E" w:rsidR="001E70EB" w:rsidRDefault="001E70EB" w:rsidP="00543162">
      <w:pPr>
        <w:pStyle w:val="Diana"/>
      </w:pPr>
    </w:p>
    <w:p w14:paraId="7737B69A" w14:textId="2F6520FE" w:rsidR="001E70EB" w:rsidRDefault="001E70EB" w:rsidP="00543162">
      <w:pPr>
        <w:pStyle w:val="Diana"/>
      </w:pPr>
    </w:p>
    <w:p w14:paraId="55AF6B3E" w14:textId="45B2017D" w:rsidR="001E70EB" w:rsidRDefault="001E70EB" w:rsidP="00543162">
      <w:pPr>
        <w:pStyle w:val="Diana"/>
      </w:pPr>
    </w:p>
    <w:p w14:paraId="58EFFBB0" w14:textId="099782A1" w:rsidR="001E70EB" w:rsidRDefault="001E70EB" w:rsidP="00543162">
      <w:pPr>
        <w:pStyle w:val="Diana"/>
      </w:pPr>
    </w:p>
    <w:p w14:paraId="147B1F5A" w14:textId="526E7066" w:rsidR="001E70EB" w:rsidRDefault="001E70EB" w:rsidP="00543162">
      <w:pPr>
        <w:pStyle w:val="Diana"/>
      </w:pPr>
    </w:p>
    <w:p w14:paraId="71DAD570" w14:textId="733B2877" w:rsidR="001E70EB" w:rsidRDefault="001E70EB" w:rsidP="00543162">
      <w:pPr>
        <w:pStyle w:val="Diana"/>
      </w:pPr>
    </w:p>
    <w:p w14:paraId="3F8C43F5" w14:textId="4B1F98F5" w:rsidR="001E70EB" w:rsidRDefault="001E70EB" w:rsidP="00543162">
      <w:pPr>
        <w:pStyle w:val="Diana"/>
      </w:pPr>
    </w:p>
    <w:p w14:paraId="163BD00A" w14:textId="60E6FB48" w:rsidR="00504BB2" w:rsidRDefault="00504BB2" w:rsidP="00543162">
      <w:pPr>
        <w:pStyle w:val="Diana"/>
      </w:pPr>
    </w:p>
    <w:p w14:paraId="1842F278" w14:textId="49B327BE" w:rsidR="00504BB2" w:rsidRDefault="00504BB2" w:rsidP="00543162">
      <w:pPr>
        <w:pStyle w:val="Diana"/>
      </w:pPr>
    </w:p>
    <w:p w14:paraId="790880DB" w14:textId="72C5A0C4" w:rsidR="00504BB2" w:rsidRDefault="00504BB2" w:rsidP="00543162">
      <w:pPr>
        <w:pStyle w:val="Diana"/>
      </w:pPr>
    </w:p>
    <w:p w14:paraId="22B575AB" w14:textId="70DAFA97" w:rsidR="00504BB2" w:rsidRDefault="00504BB2" w:rsidP="00543162">
      <w:pPr>
        <w:pStyle w:val="Diana"/>
      </w:pPr>
    </w:p>
    <w:p w14:paraId="1623A4F1" w14:textId="77777777" w:rsidR="00456C9E" w:rsidRPr="00456C9E" w:rsidRDefault="00456C9E" w:rsidP="00456C9E">
      <w:pPr>
        <w:pStyle w:val="Diana"/>
      </w:pPr>
    </w:p>
    <w:p w14:paraId="4E101EE1" w14:textId="7D9BBC8B" w:rsidR="00456C9E" w:rsidRPr="0057384C" w:rsidRDefault="00456C9E" w:rsidP="00456C9E">
      <w:pPr>
        <w:pStyle w:val="Ttulo1"/>
        <w:spacing w:line="360" w:lineRule="auto"/>
        <w:jc w:val="both"/>
        <w:rPr>
          <w:rFonts w:ascii="Times New Roman" w:eastAsiaTheme="minorHAnsi" w:hAnsi="Times New Roman" w:cs="Times New Roman"/>
          <w:b/>
          <w:bCs/>
          <w:smallCaps/>
          <w:color w:val="auto"/>
          <w:sz w:val="28"/>
          <w:szCs w:val="28"/>
        </w:rPr>
      </w:pPr>
      <w:bookmarkStart w:id="0" w:name="_Toc116939128"/>
      <w:r w:rsidRPr="0057384C">
        <w:rPr>
          <w:rFonts w:ascii="Times New Roman" w:eastAsiaTheme="minorHAnsi" w:hAnsi="Times New Roman" w:cs="Times New Roman"/>
          <w:b/>
          <w:bCs/>
          <w:smallCaps/>
          <w:color w:val="auto"/>
          <w:sz w:val="28"/>
          <w:szCs w:val="28"/>
        </w:rPr>
        <w:lastRenderedPageBreak/>
        <w:t>Elección de un Dataset</w:t>
      </w:r>
      <w:bookmarkEnd w:id="0"/>
    </w:p>
    <w:p w14:paraId="03631CD7" w14:textId="7B460990" w:rsidR="00504BB2" w:rsidRDefault="00456C9E" w:rsidP="00543162">
      <w:pPr>
        <w:pStyle w:val="Diana"/>
      </w:pPr>
      <w:r>
        <w:t xml:space="preserve">Para la elaboración de esta práctica, se ha elegido la base de datos </w:t>
      </w:r>
      <w:proofErr w:type="spellStart"/>
      <w:r>
        <w:rPr>
          <w:i/>
          <w:iCs/>
        </w:rPr>
        <w:t>World</w:t>
      </w:r>
      <w:proofErr w:type="spellEnd"/>
      <w:r>
        <w:rPr>
          <w:i/>
          <w:iCs/>
        </w:rPr>
        <w:t xml:space="preserve"> </w:t>
      </w:r>
      <w:proofErr w:type="spellStart"/>
      <w:r>
        <w:rPr>
          <w:i/>
          <w:iCs/>
        </w:rPr>
        <w:t>Population</w:t>
      </w:r>
      <w:proofErr w:type="spellEnd"/>
      <w:r>
        <w:rPr>
          <w:i/>
          <w:iCs/>
        </w:rPr>
        <w:t xml:space="preserve"> Data</w:t>
      </w:r>
      <w:r>
        <w:t xml:space="preserve">, que se puede encontrar en la fuente </w:t>
      </w:r>
      <w:r>
        <w:rPr>
          <w:i/>
          <w:iCs/>
        </w:rPr>
        <w:t>kaggle.com</w:t>
      </w:r>
      <w:r>
        <w:t xml:space="preserve">. La referencia exacta está disponible en el apartado de </w:t>
      </w:r>
      <w:r>
        <w:rPr>
          <w:u w:val="single"/>
        </w:rPr>
        <w:t>bibliografía</w:t>
      </w:r>
      <w:r>
        <w:t>.</w:t>
      </w:r>
    </w:p>
    <w:p w14:paraId="48E9CB5A" w14:textId="00FD196C" w:rsidR="0057384C" w:rsidRPr="00222FD1" w:rsidRDefault="0057384C" w:rsidP="0057384C">
      <w:pPr>
        <w:pStyle w:val="Diana"/>
      </w:pPr>
      <w:r>
        <w:t xml:space="preserve">Este dataset cuenta con cinco documentos </w:t>
      </w:r>
      <w:proofErr w:type="spellStart"/>
      <w:r>
        <w:t>csv</w:t>
      </w:r>
      <w:proofErr w:type="spellEnd"/>
      <w:r>
        <w:t xml:space="preserve"> distintos</w:t>
      </w:r>
      <w:r w:rsidR="002D5229">
        <w:t xml:space="preserve"> (solo se emplearán cuatro)</w:t>
      </w:r>
      <w:r>
        <w:t xml:space="preserve">. </w:t>
      </w:r>
      <w:r w:rsidR="00753771">
        <w:t xml:space="preserve">Se han cambiado el formato a xlsx ya que Excel advierte que se podría producir una pérdida de datos de no hacerlo. </w:t>
      </w:r>
      <w:r>
        <w:t>A continuación, se procede a explicar qué contiene cada uno de ellos</w:t>
      </w:r>
      <w:r w:rsidR="00753771">
        <w:t>:</w:t>
      </w:r>
      <w:r>
        <w:tab/>
      </w:r>
      <w:r>
        <w:tab/>
      </w:r>
      <w:r>
        <w:tab/>
      </w:r>
      <w:r>
        <w:tab/>
      </w:r>
      <w:r>
        <w:tab/>
      </w:r>
      <w:r>
        <w:tab/>
      </w:r>
    </w:p>
    <w:tbl>
      <w:tblPr>
        <w:tblStyle w:val="Tablanormal1"/>
        <w:tblW w:w="0" w:type="auto"/>
        <w:tblLook w:val="04A0" w:firstRow="1" w:lastRow="0" w:firstColumn="1" w:lastColumn="0" w:noHBand="0" w:noVBand="1"/>
      </w:tblPr>
      <w:tblGrid>
        <w:gridCol w:w="4247"/>
        <w:gridCol w:w="4247"/>
      </w:tblGrid>
      <w:tr w:rsidR="0057384C" w14:paraId="22101A35" w14:textId="77777777" w:rsidTr="00573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3042BC7" w14:textId="6097FBF7" w:rsidR="0057384C" w:rsidRPr="0057384C" w:rsidRDefault="0057384C" w:rsidP="0057384C">
            <w:pPr>
              <w:pStyle w:val="Diana"/>
              <w:jc w:val="center"/>
              <w:rPr>
                <w:i/>
                <w:iCs/>
              </w:rPr>
            </w:pPr>
            <w:proofErr w:type="spellStart"/>
            <w:r w:rsidRPr="0057384C">
              <w:rPr>
                <w:i/>
                <w:iCs/>
              </w:rPr>
              <w:t>height_weight_data</w:t>
            </w:r>
            <w:r>
              <w:rPr>
                <w:i/>
                <w:iCs/>
              </w:rPr>
              <w:t>.</w:t>
            </w:r>
            <w:r w:rsidR="00753771">
              <w:rPr>
                <w:i/>
                <w:iCs/>
              </w:rPr>
              <w:t>xslx</w:t>
            </w:r>
            <w:proofErr w:type="spellEnd"/>
          </w:p>
        </w:tc>
      </w:tr>
      <w:tr w:rsidR="0057384C" w14:paraId="568EAEDB" w14:textId="77777777" w:rsidTr="00573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ECA1D79" w14:textId="76D8F81F" w:rsidR="0057384C" w:rsidRPr="0057384C" w:rsidRDefault="0057384C" w:rsidP="0057384C">
            <w:pPr>
              <w:pStyle w:val="Diana"/>
              <w:jc w:val="center"/>
              <w:rPr>
                <w:i/>
                <w:iCs/>
              </w:rPr>
            </w:pPr>
            <w:r w:rsidRPr="0057384C">
              <w:rPr>
                <w:i/>
                <w:iCs/>
              </w:rPr>
              <w:t>country</w:t>
            </w:r>
          </w:p>
        </w:tc>
        <w:tc>
          <w:tcPr>
            <w:tcW w:w="4247" w:type="dxa"/>
            <w:vAlign w:val="center"/>
          </w:tcPr>
          <w:p w14:paraId="0AD989F8" w14:textId="17B15ABC" w:rsidR="0057384C" w:rsidRDefault="0057384C" w:rsidP="0057384C">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57384C" w14:paraId="6931D9B4" w14:textId="77777777" w:rsidTr="0057384C">
        <w:tc>
          <w:tcPr>
            <w:cnfStyle w:val="001000000000" w:firstRow="0" w:lastRow="0" w:firstColumn="1" w:lastColumn="0" w:oddVBand="0" w:evenVBand="0" w:oddHBand="0" w:evenHBand="0" w:firstRowFirstColumn="0" w:firstRowLastColumn="0" w:lastRowFirstColumn="0" w:lastRowLastColumn="0"/>
            <w:tcW w:w="4247" w:type="dxa"/>
            <w:vAlign w:val="center"/>
          </w:tcPr>
          <w:p w14:paraId="3AD6F781" w14:textId="3BB2284D" w:rsidR="0057384C" w:rsidRPr="0057384C" w:rsidRDefault="0057384C" w:rsidP="0057384C">
            <w:pPr>
              <w:pStyle w:val="Diana"/>
              <w:jc w:val="center"/>
              <w:rPr>
                <w:i/>
                <w:iCs/>
              </w:rPr>
            </w:pPr>
            <w:proofErr w:type="spellStart"/>
            <w:r w:rsidRPr="0057384C">
              <w:rPr>
                <w:i/>
                <w:iCs/>
              </w:rPr>
              <w:t>male_height</w:t>
            </w:r>
            <w:proofErr w:type="spellEnd"/>
          </w:p>
        </w:tc>
        <w:tc>
          <w:tcPr>
            <w:tcW w:w="4247" w:type="dxa"/>
            <w:vAlign w:val="center"/>
          </w:tcPr>
          <w:p w14:paraId="63E1D193" w14:textId="163EEEBE" w:rsidR="0057384C" w:rsidRDefault="0057384C" w:rsidP="0057384C">
            <w:pPr>
              <w:pStyle w:val="Diana"/>
              <w:jc w:val="center"/>
              <w:cnfStyle w:val="000000000000" w:firstRow="0" w:lastRow="0" w:firstColumn="0" w:lastColumn="0" w:oddVBand="0" w:evenVBand="0" w:oddHBand="0" w:evenHBand="0" w:firstRowFirstColumn="0" w:firstRowLastColumn="0" w:lastRowFirstColumn="0" w:lastRowLastColumn="0"/>
            </w:pPr>
            <w:r>
              <w:t>Altura de los hombres</w:t>
            </w:r>
          </w:p>
        </w:tc>
      </w:tr>
      <w:tr w:rsidR="0057384C" w14:paraId="2AFCA1D6" w14:textId="77777777" w:rsidTr="00573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79BE69" w14:textId="6E074428" w:rsidR="0057384C" w:rsidRPr="0057384C" w:rsidRDefault="0057384C" w:rsidP="0057384C">
            <w:pPr>
              <w:pStyle w:val="Diana"/>
              <w:jc w:val="center"/>
              <w:rPr>
                <w:i/>
                <w:iCs/>
              </w:rPr>
            </w:pPr>
            <w:proofErr w:type="spellStart"/>
            <w:r w:rsidRPr="0057384C">
              <w:rPr>
                <w:i/>
                <w:iCs/>
              </w:rPr>
              <w:t>female_height</w:t>
            </w:r>
            <w:proofErr w:type="spellEnd"/>
          </w:p>
        </w:tc>
        <w:tc>
          <w:tcPr>
            <w:tcW w:w="4247" w:type="dxa"/>
            <w:vAlign w:val="center"/>
          </w:tcPr>
          <w:p w14:paraId="318A8AD4" w14:textId="10F5DE55" w:rsidR="0057384C" w:rsidRDefault="0057384C" w:rsidP="0057384C">
            <w:pPr>
              <w:pStyle w:val="Diana"/>
              <w:jc w:val="center"/>
              <w:cnfStyle w:val="000000100000" w:firstRow="0" w:lastRow="0" w:firstColumn="0" w:lastColumn="0" w:oddVBand="0" w:evenVBand="0" w:oddHBand="1" w:evenHBand="0" w:firstRowFirstColumn="0" w:firstRowLastColumn="0" w:lastRowFirstColumn="0" w:lastRowLastColumn="0"/>
            </w:pPr>
            <w:r>
              <w:t>Altura de las mujeres</w:t>
            </w:r>
          </w:p>
        </w:tc>
      </w:tr>
      <w:tr w:rsidR="0057384C" w14:paraId="06DF63F0" w14:textId="77777777" w:rsidTr="0057384C">
        <w:tc>
          <w:tcPr>
            <w:cnfStyle w:val="001000000000" w:firstRow="0" w:lastRow="0" w:firstColumn="1" w:lastColumn="0" w:oddVBand="0" w:evenVBand="0" w:oddHBand="0" w:evenHBand="0" w:firstRowFirstColumn="0" w:firstRowLastColumn="0" w:lastRowFirstColumn="0" w:lastRowLastColumn="0"/>
            <w:tcW w:w="4247" w:type="dxa"/>
            <w:vAlign w:val="center"/>
          </w:tcPr>
          <w:p w14:paraId="38D958C6" w14:textId="44AA9AA4" w:rsidR="0057384C" w:rsidRPr="0057384C" w:rsidRDefault="0057384C" w:rsidP="0057384C">
            <w:pPr>
              <w:pStyle w:val="Diana"/>
              <w:jc w:val="center"/>
              <w:rPr>
                <w:i/>
                <w:iCs/>
              </w:rPr>
            </w:pPr>
            <w:proofErr w:type="spellStart"/>
            <w:r w:rsidRPr="0057384C">
              <w:rPr>
                <w:i/>
                <w:iCs/>
              </w:rPr>
              <w:t>male_weight</w:t>
            </w:r>
            <w:proofErr w:type="spellEnd"/>
          </w:p>
        </w:tc>
        <w:tc>
          <w:tcPr>
            <w:tcW w:w="4247" w:type="dxa"/>
            <w:vAlign w:val="center"/>
          </w:tcPr>
          <w:p w14:paraId="052F6918" w14:textId="1F601D62" w:rsidR="0057384C" w:rsidRDefault="0057384C" w:rsidP="0057384C">
            <w:pPr>
              <w:pStyle w:val="Diana"/>
              <w:jc w:val="center"/>
              <w:cnfStyle w:val="000000000000" w:firstRow="0" w:lastRow="0" w:firstColumn="0" w:lastColumn="0" w:oddVBand="0" w:evenVBand="0" w:oddHBand="0" w:evenHBand="0" w:firstRowFirstColumn="0" w:firstRowLastColumn="0" w:lastRowFirstColumn="0" w:lastRowLastColumn="0"/>
            </w:pPr>
            <w:r>
              <w:t>Peso de los hombres</w:t>
            </w:r>
          </w:p>
        </w:tc>
      </w:tr>
      <w:tr w:rsidR="0057384C" w14:paraId="656C0DAF" w14:textId="77777777" w:rsidTr="00573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30993BA" w14:textId="5ECFED4D" w:rsidR="0057384C" w:rsidRPr="0057384C" w:rsidRDefault="0057384C" w:rsidP="0057384C">
            <w:pPr>
              <w:pStyle w:val="Diana"/>
              <w:jc w:val="center"/>
              <w:rPr>
                <w:i/>
                <w:iCs/>
              </w:rPr>
            </w:pPr>
            <w:proofErr w:type="spellStart"/>
            <w:r w:rsidRPr="0057384C">
              <w:rPr>
                <w:i/>
                <w:iCs/>
              </w:rPr>
              <w:t>female_weight</w:t>
            </w:r>
            <w:proofErr w:type="spellEnd"/>
          </w:p>
        </w:tc>
        <w:tc>
          <w:tcPr>
            <w:tcW w:w="4247" w:type="dxa"/>
            <w:vAlign w:val="center"/>
          </w:tcPr>
          <w:p w14:paraId="6175207C" w14:textId="7A0DC625" w:rsidR="0057384C" w:rsidRDefault="0057384C" w:rsidP="0057384C">
            <w:pPr>
              <w:pStyle w:val="Diana"/>
              <w:jc w:val="center"/>
              <w:cnfStyle w:val="000000100000" w:firstRow="0" w:lastRow="0" w:firstColumn="0" w:lastColumn="0" w:oddVBand="0" w:evenVBand="0" w:oddHBand="1" w:evenHBand="0" w:firstRowFirstColumn="0" w:firstRowLastColumn="0" w:lastRowFirstColumn="0" w:lastRowLastColumn="0"/>
            </w:pPr>
            <w:r>
              <w:t>Peso de las mujeres</w:t>
            </w:r>
          </w:p>
        </w:tc>
      </w:tr>
      <w:tr w:rsidR="0057384C" w14:paraId="713EDADD" w14:textId="77777777" w:rsidTr="0057384C">
        <w:tc>
          <w:tcPr>
            <w:cnfStyle w:val="001000000000" w:firstRow="0" w:lastRow="0" w:firstColumn="1" w:lastColumn="0" w:oddVBand="0" w:evenVBand="0" w:oddHBand="0" w:evenHBand="0" w:firstRowFirstColumn="0" w:firstRowLastColumn="0" w:lastRowFirstColumn="0" w:lastRowLastColumn="0"/>
            <w:tcW w:w="4247" w:type="dxa"/>
            <w:vAlign w:val="center"/>
          </w:tcPr>
          <w:p w14:paraId="7D55EE34" w14:textId="02DF062D" w:rsidR="0057384C" w:rsidRPr="0057384C" w:rsidRDefault="0057384C" w:rsidP="0057384C">
            <w:pPr>
              <w:pStyle w:val="Diana"/>
              <w:jc w:val="center"/>
              <w:rPr>
                <w:i/>
                <w:iCs/>
              </w:rPr>
            </w:pPr>
            <w:proofErr w:type="spellStart"/>
            <w:r w:rsidRPr="0057384C">
              <w:rPr>
                <w:i/>
                <w:iCs/>
              </w:rPr>
              <w:t>male_bmi</w:t>
            </w:r>
            <w:proofErr w:type="spellEnd"/>
          </w:p>
        </w:tc>
        <w:tc>
          <w:tcPr>
            <w:tcW w:w="4247" w:type="dxa"/>
            <w:vAlign w:val="center"/>
          </w:tcPr>
          <w:p w14:paraId="64A035DA" w14:textId="15EE1B1A" w:rsidR="0057384C" w:rsidRDefault="0057384C" w:rsidP="0057384C">
            <w:pPr>
              <w:pStyle w:val="Diana"/>
              <w:jc w:val="center"/>
              <w:cnfStyle w:val="000000000000" w:firstRow="0" w:lastRow="0" w:firstColumn="0" w:lastColumn="0" w:oddVBand="0" w:evenVBand="0" w:oddHBand="0" w:evenHBand="0" w:firstRowFirstColumn="0" w:firstRowLastColumn="0" w:lastRowFirstColumn="0" w:lastRowLastColumn="0"/>
            </w:pPr>
            <w:r>
              <w:t>Índice de masa corporal de los hombres</w:t>
            </w:r>
          </w:p>
        </w:tc>
      </w:tr>
      <w:tr w:rsidR="0057384C" w14:paraId="51683A25" w14:textId="77777777" w:rsidTr="00573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35F34FE" w14:textId="7F1F5358" w:rsidR="0057384C" w:rsidRPr="0057384C" w:rsidRDefault="0057384C" w:rsidP="0057384C">
            <w:pPr>
              <w:pStyle w:val="Diana"/>
              <w:jc w:val="center"/>
              <w:rPr>
                <w:i/>
                <w:iCs/>
              </w:rPr>
            </w:pPr>
            <w:proofErr w:type="spellStart"/>
            <w:r w:rsidRPr="0057384C">
              <w:rPr>
                <w:i/>
                <w:iCs/>
              </w:rPr>
              <w:t>female_bmi</w:t>
            </w:r>
            <w:proofErr w:type="spellEnd"/>
          </w:p>
        </w:tc>
        <w:tc>
          <w:tcPr>
            <w:tcW w:w="4247" w:type="dxa"/>
            <w:vAlign w:val="center"/>
          </w:tcPr>
          <w:p w14:paraId="4680AC8B" w14:textId="34920B87" w:rsidR="0057384C" w:rsidRDefault="0057384C" w:rsidP="0057384C">
            <w:pPr>
              <w:pStyle w:val="Diana"/>
              <w:jc w:val="center"/>
              <w:cnfStyle w:val="000000100000" w:firstRow="0" w:lastRow="0" w:firstColumn="0" w:lastColumn="0" w:oddVBand="0" w:evenVBand="0" w:oddHBand="1" w:evenHBand="0" w:firstRowFirstColumn="0" w:firstRowLastColumn="0" w:lastRowFirstColumn="0" w:lastRowLastColumn="0"/>
            </w:pPr>
            <w:r>
              <w:t>Índice de masa corporal de las mujeres</w:t>
            </w:r>
          </w:p>
        </w:tc>
      </w:tr>
    </w:tbl>
    <w:p w14:paraId="6C1D4850" w14:textId="5ED5196B" w:rsidR="002256BC" w:rsidRDefault="002256BC" w:rsidP="002256BC">
      <w:pPr>
        <w:pStyle w:val="Diana"/>
      </w:pPr>
    </w:p>
    <w:tbl>
      <w:tblPr>
        <w:tblStyle w:val="Tablanormal1"/>
        <w:tblW w:w="0" w:type="auto"/>
        <w:tblLook w:val="04A0" w:firstRow="1" w:lastRow="0" w:firstColumn="1" w:lastColumn="0" w:noHBand="0" w:noVBand="1"/>
      </w:tblPr>
      <w:tblGrid>
        <w:gridCol w:w="4247"/>
        <w:gridCol w:w="4247"/>
      </w:tblGrid>
      <w:tr w:rsidR="0057384C" w14:paraId="1A909F5E" w14:textId="77777777" w:rsidTr="0012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26CFF73" w14:textId="2CB997BE" w:rsidR="0057384C" w:rsidRPr="00444803" w:rsidRDefault="0057384C" w:rsidP="00127F21">
            <w:pPr>
              <w:pStyle w:val="Diana"/>
              <w:jc w:val="center"/>
              <w:rPr>
                <w:b w:val="0"/>
                <w:bCs w:val="0"/>
              </w:rPr>
            </w:pPr>
            <w:r>
              <w:rPr>
                <w:i/>
                <w:iCs/>
              </w:rPr>
              <w:t>iq.</w:t>
            </w:r>
            <w:r w:rsidR="00D11CC6">
              <w:rPr>
                <w:i/>
                <w:iCs/>
              </w:rPr>
              <w:t>xlsx</w:t>
            </w:r>
          </w:p>
        </w:tc>
      </w:tr>
      <w:tr w:rsidR="0057384C" w14:paraId="2600B25B"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93EA2A7" w14:textId="77777777" w:rsidR="0057384C" w:rsidRPr="0057384C" w:rsidRDefault="0057384C" w:rsidP="00127F21">
            <w:pPr>
              <w:pStyle w:val="Diana"/>
              <w:jc w:val="center"/>
              <w:rPr>
                <w:i/>
                <w:iCs/>
              </w:rPr>
            </w:pPr>
            <w:r w:rsidRPr="0057384C">
              <w:rPr>
                <w:i/>
                <w:iCs/>
              </w:rPr>
              <w:t>country</w:t>
            </w:r>
          </w:p>
        </w:tc>
        <w:tc>
          <w:tcPr>
            <w:tcW w:w="4247" w:type="dxa"/>
            <w:vAlign w:val="center"/>
          </w:tcPr>
          <w:p w14:paraId="32F2C1C7" w14:textId="77777777" w:rsidR="0057384C" w:rsidRDefault="0057384C" w:rsidP="00127F21">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57384C" w14:paraId="25BA7BA0"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03C71658" w14:textId="23D6AD7B" w:rsidR="0057384C" w:rsidRPr="0057384C" w:rsidRDefault="00444803" w:rsidP="00127F21">
            <w:pPr>
              <w:pStyle w:val="Diana"/>
              <w:jc w:val="center"/>
              <w:rPr>
                <w:i/>
                <w:iCs/>
              </w:rPr>
            </w:pPr>
            <w:proofErr w:type="spellStart"/>
            <w:r>
              <w:rPr>
                <w:i/>
                <w:iCs/>
              </w:rPr>
              <w:t>iq</w:t>
            </w:r>
            <w:proofErr w:type="spellEnd"/>
          </w:p>
        </w:tc>
        <w:tc>
          <w:tcPr>
            <w:tcW w:w="4247" w:type="dxa"/>
            <w:vAlign w:val="center"/>
          </w:tcPr>
          <w:p w14:paraId="07B0D3D0" w14:textId="36AC4233" w:rsidR="0057384C" w:rsidRDefault="00444803" w:rsidP="00127F21">
            <w:pPr>
              <w:pStyle w:val="Diana"/>
              <w:jc w:val="center"/>
              <w:cnfStyle w:val="000000000000" w:firstRow="0" w:lastRow="0" w:firstColumn="0" w:lastColumn="0" w:oddVBand="0" w:evenVBand="0" w:oddHBand="0" w:evenHBand="0" w:firstRowFirstColumn="0" w:firstRowLastColumn="0" w:lastRowFirstColumn="0" w:lastRowLastColumn="0"/>
            </w:pPr>
            <w:r>
              <w:t>Cociente intelectual</w:t>
            </w:r>
            <w:r w:rsidR="0087137B">
              <w:t xml:space="preserve"> medio</w:t>
            </w:r>
          </w:p>
        </w:tc>
      </w:tr>
      <w:tr w:rsidR="0057384C" w14:paraId="73581DC2"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E257147" w14:textId="569651D9" w:rsidR="0057384C" w:rsidRPr="0057384C" w:rsidRDefault="00444803" w:rsidP="00127F21">
            <w:pPr>
              <w:pStyle w:val="Diana"/>
              <w:jc w:val="center"/>
              <w:rPr>
                <w:i/>
                <w:iCs/>
              </w:rPr>
            </w:pPr>
            <w:proofErr w:type="spellStart"/>
            <w:r w:rsidRPr="00444803">
              <w:rPr>
                <w:i/>
                <w:iCs/>
              </w:rPr>
              <w:t>education_expenditure_per_inhabitant</w:t>
            </w:r>
            <w:proofErr w:type="spellEnd"/>
          </w:p>
        </w:tc>
        <w:tc>
          <w:tcPr>
            <w:tcW w:w="4247" w:type="dxa"/>
            <w:vAlign w:val="center"/>
          </w:tcPr>
          <w:p w14:paraId="7D77ADEB" w14:textId="7C025AC7" w:rsidR="0057384C" w:rsidRDefault="00444803" w:rsidP="00127F21">
            <w:pPr>
              <w:pStyle w:val="Diana"/>
              <w:jc w:val="center"/>
              <w:cnfStyle w:val="000000100000" w:firstRow="0" w:lastRow="0" w:firstColumn="0" w:lastColumn="0" w:oddVBand="0" w:evenVBand="0" w:oddHBand="1" w:evenHBand="0" w:firstRowFirstColumn="0" w:firstRowLastColumn="0" w:lastRowFirstColumn="0" w:lastRowLastColumn="0"/>
            </w:pPr>
            <w:r>
              <w:t>Gasto en educación en dólares</w:t>
            </w:r>
          </w:p>
        </w:tc>
      </w:tr>
      <w:tr w:rsidR="0057384C" w14:paraId="23C1D3EC"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167A9264" w14:textId="74446971" w:rsidR="0057384C" w:rsidRPr="0057384C" w:rsidRDefault="00444803" w:rsidP="00127F21">
            <w:pPr>
              <w:pStyle w:val="Diana"/>
              <w:jc w:val="center"/>
              <w:rPr>
                <w:i/>
                <w:iCs/>
              </w:rPr>
            </w:pPr>
            <w:proofErr w:type="spellStart"/>
            <w:r w:rsidRPr="00444803">
              <w:rPr>
                <w:i/>
                <w:iCs/>
              </w:rPr>
              <w:t>daily_max_temp</w:t>
            </w:r>
            <w:proofErr w:type="spellEnd"/>
          </w:p>
        </w:tc>
        <w:tc>
          <w:tcPr>
            <w:tcW w:w="4247" w:type="dxa"/>
            <w:vAlign w:val="center"/>
          </w:tcPr>
          <w:p w14:paraId="774EC3FE" w14:textId="79F79BDE" w:rsidR="0057384C" w:rsidRDefault="00444803" w:rsidP="00127F21">
            <w:pPr>
              <w:pStyle w:val="Diana"/>
              <w:jc w:val="center"/>
              <w:cnfStyle w:val="000000000000" w:firstRow="0" w:lastRow="0" w:firstColumn="0" w:lastColumn="0" w:oddVBand="0" w:evenVBand="0" w:oddHBand="0" w:evenHBand="0" w:firstRowFirstColumn="0" w:firstRowLastColumn="0" w:lastRowFirstColumn="0" w:lastRowLastColumn="0"/>
            </w:pPr>
            <w:r>
              <w:t>Temperatura máxima al día en grados Celsius</w:t>
            </w:r>
          </w:p>
        </w:tc>
      </w:tr>
    </w:tbl>
    <w:p w14:paraId="303D1575" w14:textId="50A201C4" w:rsidR="0057384C" w:rsidRDefault="0057384C" w:rsidP="002256BC">
      <w:pPr>
        <w:pStyle w:val="Diana"/>
      </w:pPr>
    </w:p>
    <w:tbl>
      <w:tblPr>
        <w:tblStyle w:val="Tablanormal1"/>
        <w:tblW w:w="0" w:type="auto"/>
        <w:tblLook w:val="04A0" w:firstRow="1" w:lastRow="0" w:firstColumn="1" w:lastColumn="0" w:noHBand="0" w:noVBand="1"/>
      </w:tblPr>
      <w:tblGrid>
        <w:gridCol w:w="4247"/>
        <w:gridCol w:w="4247"/>
      </w:tblGrid>
      <w:tr w:rsidR="00444803" w14:paraId="1CA2D1CD" w14:textId="77777777" w:rsidTr="0012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98B35FB" w14:textId="1E2E6DF7" w:rsidR="00444803" w:rsidRPr="0057384C" w:rsidRDefault="0087137B" w:rsidP="00127F21">
            <w:pPr>
              <w:pStyle w:val="Diana"/>
              <w:jc w:val="center"/>
              <w:rPr>
                <w:i/>
                <w:iCs/>
              </w:rPr>
            </w:pPr>
            <w:r w:rsidRPr="0087137B">
              <w:rPr>
                <w:i/>
                <w:iCs/>
              </w:rPr>
              <w:t>life_expectancy</w:t>
            </w:r>
            <w:r w:rsidR="00444803">
              <w:rPr>
                <w:i/>
                <w:iCs/>
              </w:rPr>
              <w:t>.</w:t>
            </w:r>
            <w:r w:rsidR="00DA6D47">
              <w:rPr>
                <w:i/>
                <w:iCs/>
              </w:rPr>
              <w:t>xls</w:t>
            </w:r>
            <w:r>
              <w:rPr>
                <w:i/>
                <w:iCs/>
              </w:rPr>
              <w:t>x</w:t>
            </w:r>
          </w:p>
        </w:tc>
      </w:tr>
      <w:tr w:rsidR="00444803" w14:paraId="689D4978"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D57635D" w14:textId="77777777" w:rsidR="00444803" w:rsidRPr="0057384C" w:rsidRDefault="00444803" w:rsidP="00127F21">
            <w:pPr>
              <w:pStyle w:val="Diana"/>
              <w:jc w:val="center"/>
              <w:rPr>
                <w:i/>
                <w:iCs/>
              </w:rPr>
            </w:pPr>
            <w:r w:rsidRPr="0057384C">
              <w:rPr>
                <w:i/>
                <w:iCs/>
              </w:rPr>
              <w:t>country</w:t>
            </w:r>
          </w:p>
        </w:tc>
        <w:tc>
          <w:tcPr>
            <w:tcW w:w="4247" w:type="dxa"/>
            <w:vAlign w:val="center"/>
          </w:tcPr>
          <w:p w14:paraId="0C8BC1FA" w14:textId="77777777" w:rsidR="00444803" w:rsidRDefault="00444803" w:rsidP="00127F21">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444803" w14:paraId="743C161D"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75185C87" w14:textId="595ADEED" w:rsidR="00444803" w:rsidRPr="0057384C" w:rsidRDefault="0087137B" w:rsidP="00127F21">
            <w:pPr>
              <w:pStyle w:val="Diana"/>
              <w:jc w:val="center"/>
              <w:rPr>
                <w:i/>
                <w:iCs/>
              </w:rPr>
            </w:pPr>
            <w:proofErr w:type="spellStart"/>
            <w:r w:rsidRPr="0087137B">
              <w:rPr>
                <w:i/>
                <w:iCs/>
              </w:rPr>
              <w:t>male_life_expectancy</w:t>
            </w:r>
            <w:proofErr w:type="spellEnd"/>
          </w:p>
        </w:tc>
        <w:tc>
          <w:tcPr>
            <w:tcW w:w="4247" w:type="dxa"/>
            <w:vAlign w:val="center"/>
          </w:tcPr>
          <w:p w14:paraId="42A2A260" w14:textId="37B6BC6E" w:rsidR="00444803" w:rsidRDefault="0087137B" w:rsidP="00127F21">
            <w:pPr>
              <w:pStyle w:val="Diana"/>
              <w:jc w:val="center"/>
              <w:cnfStyle w:val="000000000000" w:firstRow="0" w:lastRow="0" w:firstColumn="0" w:lastColumn="0" w:oddVBand="0" w:evenVBand="0" w:oddHBand="0" w:evenHBand="0" w:firstRowFirstColumn="0" w:firstRowLastColumn="0" w:lastRowFirstColumn="0" w:lastRowLastColumn="0"/>
            </w:pPr>
            <w:r>
              <w:t>Esperanza de vida de los hombres</w:t>
            </w:r>
          </w:p>
        </w:tc>
      </w:tr>
      <w:tr w:rsidR="00444803" w14:paraId="3F90E34B"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0293D30" w14:textId="5AD5F3BB" w:rsidR="00444803" w:rsidRPr="0057384C" w:rsidRDefault="0087137B" w:rsidP="00127F21">
            <w:pPr>
              <w:pStyle w:val="Diana"/>
              <w:jc w:val="center"/>
              <w:rPr>
                <w:i/>
                <w:iCs/>
              </w:rPr>
            </w:pPr>
            <w:proofErr w:type="spellStart"/>
            <w:r w:rsidRPr="0087137B">
              <w:rPr>
                <w:i/>
                <w:iCs/>
              </w:rPr>
              <w:t>female_life_expectancy</w:t>
            </w:r>
            <w:proofErr w:type="spellEnd"/>
          </w:p>
        </w:tc>
        <w:tc>
          <w:tcPr>
            <w:tcW w:w="4247" w:type="dxa"/>
            <w:vAlign w:val="center"/>
          </w:tcPr>
          <w:p w14:paraId="091D2E96" w14:textId="27B6907F" w:rsidR="00444803" w:rsidRDefault="0087137B" w:rsidP="00127F21">
            <w:pPr>
              <w:pStyle w:val="Diana"/>
              <w:jc w:val="center"/>
              <w:cnfStyle w:val="000000100000" w:firstRow="0" w:lastRow="0" w:firstColumn="0" w:lastColumn="0" w:oddVBand="0" w:evenVBand="0" w:oddHBand="1" w:evenHBand="0" w:firstRowFirstColumn="0" w:firstRowLastColumn="0" w:lastRowFirstColumn="0" w:lastRowLastColumn="0"/>
            </w:pPr>
            <w:r>
              <w:t>Esperanza de vida de las mujeres</w:t>
            </w:r>
          </w:p>
        </w:tc>
      </w:tr>
      <w:tr w:rsidR="00444803" w14:paraId="2DD49D9F"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346C93EE" w14:textId="3EDD0F7A" w:rsidR="00444803" w:rsidRPr="0057384C" w:rsidRDefault="0087137B" w:rsidP="00127F21">
            <w:pPr>
              <w:pStyle w:val="Diana"/>
              <w:jc w:val="center"/>
              <w:rPr>
                <w:i/>
                <w:iCs/>
              </w:rPr>
            </w:pPr>
            <w:proofErr w:type="spellStart"/>
            <w:r w:rsidRPr="0087137B">
              <w:rPr>
                <w:i/>
                <w:iCs/>
              </w:rPr>
              <w:t>birth_rate</w:t>
            </w:r>
            <w:proofErr w:type="spellEnd"/>
          </w:p>
        </w:tc>
        <w:tc>
          <w:tcPr>
            <w:tcW w:w="4247" w:type="dxa"/>
            <w:vAlign w:val="center"/>
          </w:tcPr>
          <w:p w14:paraId="4473E994" w14:textId="5819DD70" w:rsidR="00444803" w:rsidRDefault="0087137B" w:rsidP="00127F21">
            <w:pPr>
              <w:pStyle w:val="Diana"/>
              <w:jc w:val="center"/>
              <w:cnfStyle w:val="000000000000" w:firstRow="0" w:lastRow="0" w:firstColumn="0" w:lastColumn="0" w:oddVBand="0" w:evenVBand="0" w:oddHBand="0" w:evenHBand="0" w:firstRowFirstColumn="0" w:firstRowLastColumn="0" w:lastRowFirstColumn="0" w:lastRowLastColumn="0"/>
            </w:pPr>
            <w:r>
              <w:t>Tasa de natalidad</w:t>
            </w:r>
          </w:p>
        </w:tc>
      </w:tr>
      <w:tr w:rsidR="00444803" w14:paraId="56500A13"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0AFA1D8" w14:textId="2FB4D9F5" w:rsidR="00444803" w:rsidRPr="0057384C" w:rsidRDefault="0087137B" w:rsidP="00127F21">
            <w:pPr>
              <w:pStyle w:val="Diana"/>
              <w:jc w:val="center"/>
              <w:rPr>
                <w:i/>
                <w:iCs/>
              </w:rPr>
            </w:pPr>
            <w:proofErr w:type="spellStart"/>
            <w:r w:rsidRPr="0087137B">
              <w:rPr>
                <w:i/>
                <w:iCs/>
              </w:rPr>
              <w:t>death_rate</w:t>
            </w:r>
            <w:proofErr w:type="spellEnd"/>
          </w:p>
        </w:tc>
        <w:tc>
          <w:tcPr>
            <w:tcW w:w="4247" w:type="dxa"/>
            <w:vAlign w:val="center"/>
          </w:tcPr>
          <w:p w14:paraId="7CE0C770" w14:textId="43F119DA" w:rsidR="00444803" w:rsidRDefault="0087137B" w:rsidP="00127F21">
            <w:pPr>
              <w:pStyle w:val="Diana"/>
              <w:jc w:val="center"/>
              <w:cnfStyle w:val="000000100000" w:firstRow="0" w:lastRow="0" w:firstColumn="0" w:lastColumn="0" w:oddVBand="0" w:evenVBand="0" w:oddHBand="1" w:evenHBand="0" w:firstRowFirstColumn="0" w:firstRowLastColumn="0" w:lastRowFirstColumn="0" w:lastRowLastColumn="0"/>
            </w:pPr>
            <w:r>
              <w:t>Índice de mortalidad</w:t>
            </w:r>
          </w:p>
        </w:tc>
      </w:tr>
    </w:tbl>
    <w:p w14:paraId="351E1E84" w14:textId="5F8579EE" w:rsidR="0087137B" w:rsidRDefault="0087137B" w:rsidP="002256BC">
      <w:pPr>
        <w:pStyle w:val="Diana"/>
      </w:pPr>
    </w:p>
    <w:tbl>
      <w:tblPr>
        <w:tblStyle w:val="Tablanormal1"/>
        <w:tblW w:w="0" w:type="auto"/>
        <w:tblLook w:val="04A0" w:firstRow="1" w:lastRow="0" w:firstColumn="1" w:lastColumn="0" w:noHBand="0" w:noVBand="1"/>
      </w:tblPr>
      <w:tblGrid>
        <w:gridCol w:w="4247"/>
        <w:gridCol w:w="4247"/>
      </w:tblGrid>
      <w:tr w:rsidR="00912E4C" w14:paraId="6CCA5A70" w14:textId="77777777" w:rsidTr="0012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AFC515D" w14:textId="04F55AB5" w:rsidR="00912E4C" w:rsidRPr="0057384C" w:rsidRDefault="00912E4C" w:rsidP="00127F21">
            <w:pPr>
              <w:pStyle w:val="Diana"/>
              <w:jc w:val="center"/>
              <w:rPr>
                <w:i/>
                <w:iCs/>
              </w:rPr>
            </w:pPr>
            <w:r>
              <w:rPr>
                <w:i/>
                <w:iCs/>
              </w:rPr>
              <w:lastRenderedPageBreak/>
              <w:t>quality_of_life.</w:t>
            </w:r>
            <w:r w:rsidR="00D11CC6">
              <w:rPr>
                <w:i/>
                <w:iCs/>
              </w:rPr>
              <w:t>xlsx</w:t>
            </w:r>
          </w:p>
        </w:tc>
      </w:tr>
      <w:tr w:rsidR="00912E4C" w14:paraId="0D74576A"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FC6C0E" w14:textId="77777777" w:rsidR="00912E4C" w:rsidRPr="0057384C" w:rsidRDefault="00912E4C" w:rsidP="00127F21">
            <w:pPr>
              <w:pStyle w:val="Diana"/>
              <w:jc w:val="center"/>
              <w:rPr>
                <w:i/>
                <w:iCs/>
              </w:rPr>
            </w:pPr>
            <w:r w:rsidRPr="0057384C">
              <w:rPr>
                <w:i/>
                <w:iCs/>
              </w:rPr>
              <w:t>country</w:t>
            </w:r>
          </w:p>
        </w:tc>
        <w:tc>
          <w:tcPr>
            <w:tcW w:w="4247" w:type="dxa"/>
            <w:vAlign w:val="center"/>
          </w:tcPr>
          <w:p w14:paraId="53CA282E" w14:textId="77777777" w:rsidR="00912E4C" w:rsidRDefault="00912E4C" w:rsidP="00127F21">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912E4C" w14:paraId="18DA41FB"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434A23CC" w14:textId="64B260BF" w:rsidR="00912E4C" w:rsidRPr="0057384C" w:rsidRDefault="00912E4C" w:rsidP="00127F21">
            <w:pPr>
              <w:pStyle w:val="Diana"/>
              <w:jc w:val="center"/>
              <w:rPr>
                <w:i/>
                <w:iCs/>
              </w:rPr>
            </w:pPr>
            <w:proofErr w:type="spellStart"/>
            <w:r w:rsidRPr="00912E4C">
              <w:rPr>
                <w:i/>
                <w:iCs/>
              </w:rPr>
              <w:t>stability</w:t>
            </w:r>
            <w:proofErr w:type="spellEnd"/>
          </w:p>
        </w:tc>
        <w:tc>
          <w:tcPr>
            <w:tcW w:w="4247" w:type="dxa"/>
            <w:vAlign w:val="center"/>
          </w:tcPr>
          <w:p w14:paraId="0E4C1BFC" w14:textId="1DE6F1A9" w:rsidR="00912E4C" w:rsidRPr="00912E4C" w:rsidRDefault="00912E4C" w:rsidP="00127F21">
            <w:pPr>
              <w:pStyle w:val="Diana"/>
              <w:jc w:val="center"/>
              <w:cnfStyle w:val="000000000000" w:firstRow="0" w:lastRow="0" w:firstColumn="0" w:lastColumn="0" w:oddVBand="0" w:evenVBand="0" w:oddHBand="0" w:evenHBand="0" w:firstRowFirstColumn="0" w:firstRowLastColumn="0" w:lastRowFirstColumn="0" w:lastRowLastColumn="0"/>
              <w:rPr>
                <w:vertAlign w:val="superscript"/>
              </w:rPr>
            </w:pPr>
            <w:r>
              <w:t>Estabilidad sobre 100</w:t>
            </w:r>
          </w:p>
        </w:tc>
      </w:tr>
      <w:tr w:rsidR="00912E4C" w14:paraId="25FE5EC5"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821ECD7" w14:textId="42059786" w:rsidR="00912E4C" w:rsidRPr="0057384C" w:rsidRDefault="00912E4C" w:rsidP="00127F21">
            <w:pPr>
              <w:pStyle w:val="Diana"/>
              <w:jc w:val="center"/>
              <w:rPr>
                <w:i/>
                <w:iCs/>
              </w:rPr>
            </w:pPr>
            <w:proofErr w:type="spellStart"/>
            <w:r w:rsidRPr="00912E4C">
              <w:rPr>
                <w:i/>
                <w:iCs/>
              </w:rPr>
              <w:t>rights</w:t>
            </w:r>
            <w:proofErr w:type="spellEnd"/>
          </w:p>
        </w:tc>
        <w:tc>
          <w:tcPr>
            <w:tcW w:w="4247" w:type="dxa"/>
            <w:vAlign w:val="center"/>
          </w:tcPr>
          <w:p w14:paraId="18879F7E" w14:textId="06655B57" w:rsidR="00912E4C" w:rsidRDefault="00912E4C" w:rsidP="00127F21">
            <w:pPr>
              <w:pStyle w:val="Diana"/>
              <w:jc w:val="center"/>
              <w:cnfStyle w:val="000000100000" w:firstRow="0" w:lastRow="0" w:firstColumn="0" w:lastColumn="0" w:oddVBand="0" w:evenVBand="0" w:oddHBand="1" w:evenHBand="0" w:firstRowFirstColumn="0" w:firstRowLastColumn="0" w:lastRowFirstColumn="0" w:lastRowLastColumn="0"/>
            </w:pPr>
            <w:r>
              <w:t>Derechos sobre 100</w:t>
            </w:r>
          </w:p>
        </w:tc>
      </w:tr>
      <w:tr w:rsidR="00912E4C" w14:paraId="24C6367E"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2A8675AC" w14:textId="619F6221" w:rsidR="00912E4C" w:rsidRPr="0057384C" w:rsidRDefault="00912E4C" w:rsidP="00127F21">
            <w:pPr>
              <w:pStyle w:val="Diana"/>
              <w:jc w:val="center"/>
              <w:rPr>
                <w:i/>
                <w:iCs/>
              </w:rPr>
            </w:pPr>
            <w:proofErr w:type="spellStart"/>
            <w:r w:rsidRPr="00912E4C">
              <w:rPr>
                <w:i/>
                <w:iCs/>
              </w:rPr>
              <w:t>health</w:t>
            </w:r>
            <w:proofErr w:type="spellEnd"/>
          </w:p>
        </w:tc>
        <w:tc>
          <w:tcPr>
            <w:tcW w:w="4247" w:type="dxa"/>
            <w:vAlign w:val="center"/>
          </w:tcPr>
          <w:p w14:paraId="035D139E" w14:textId="078D49C8" w:rsidR="00912E4C" w:rsidRDefault="00912E4C" w:rsidP="00127F21">
            <w:pPr>
              <w:pStyle w:val="Diana"/>
              <w:jc w:val="center"/>
              <w:cnfStyle w:val="000000000000" w:firstRow="0" w:lastRow="0" w:firstColumn="0" w:lastColumn="0" w:oddVBand="0" w:evenVBand="0" w:oddHBand="0" w:evenHBand="0" w:firstRowFirstColumn="0" w:firstRowLastColumn="0" w:lastRowFirstColumn="0" w:lastRowLastColumn="0"/>
            </w:pPr>
            <w:r>
              <w:t>Salud sobre 100</w:t>
            </w:r>
          </w:p>
        </w:tc>
      </w:tr>
      <w:tr w:rsidR="00912E4C" w14:paraId="307E59BB"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3A0D947" w14:textId="2FC996ED" w:rsidR="00912E4C" w:rsidRPr="00912E4C" w:rsidRDefault="00912E4C" w:rsidP="00127F21">
            <w:pPr>
              <w:pStyle w:val="Diana"/>
              <w:jc w:val="center"/>
              <w:rPr>
                <w:i/>
                <w:iCs/>
              </w:rPr>
            </w:pPr>
            <w:r w:rsidRPr="00912E4C">
              <w:rPr>
                <w:i/>
                <w:iCs/>
              </w:rPr>
              <w:t>safety</w:t>
            </w:r>
          </w:p>
        </w:tc>
        <w:tc>
          <w:tcPr>
            <w:tcW w:w="4247" w:type="dxa"/>
            <w:vAlign w:val="center"/>
          </w:tcPr>
          <w:p w14:paraId="0CBC57BB" w14:textId="400D952D" w:rsidR="00912E4C" w:rsidRDefault="00912E4C" w:rsidP="00127F21">
            <w:pPr>
              <w:pStyle w:val="Diana"/>
              <w:jc w:val="center"/>
              <w:cnfStyle w:val="000000100000" w:firstRow="0" w:lastRow="0" w:firstColumn="0" w:lastColumn="0" w:oddVBand="0" w:evenVBand="0" w:oddHBand="1" w:evenHBand="0" w:firstRowFirstColumn="0" w:firstRowLastColumn="0" w:lastRowFirstColumn="0" w:lastRowLastColumn="0"/>
            </w:pPr>
            <w:r>
              <w:t>Seguridad sobre 100</w:t>
            </w:r>
          </w:p>
        </w:tc>
      </w:tr>
      <w:tr w:rsidR="00912E4C" w14:paraId="2507C492"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634C280C" w14:textId="2128643A" w:rsidR="00912E4C" w:rsidRPr="00912E4C" w:rsidRDefault="00912E4C" w:rsidP="00127F21">
            <w:pPr>
              <w:pStyle w:val="Diana"/>
              <w:jc w:val="center"/>
              <w:rPr>
                <w:i/>
                <w:iCs/>
              </w:rPr>
            </w:pPr>
            <w:proofErr w:type="spellStart"/>
            <w:r w:rsidRPr="00912E4C">
              <w:rPr>
                <w:i/>
                <w:iCs/>
              </w:rPr>
              <w:t>climate</w:t>
            </w:r>
            <w:proofErr w:type="spellEnd"/>
          </w:p>
        </w:tc>
        <w:tc>
          <w:tcPr>
            <w:tcW w:w="4247" w:type="dxa"/>
            <w:vAlign w:val="center"/>
          </w:tcPr>
          <w:p w14:paraId="7BA9329E" w14:textId="61C64F9C" w:rsidR="00912E4C" w:rsidRDefault="00912E4C" w:rsidP="00127F21">
            <w:pPr>
              <w:pStyle w:val="Diana"/>
              <w:jc w:val="center"/>
              <w:cnfStyle w:val="000000000000" w:firstRow="0" w:lastRow="0" w:firstColumn="0" w:lastColumn="0" w:oddVBand="0" w:evenVBand="0" w:oddHBand="0" w:evenHBand="0" w:firstRowFirstColumn="0" w:firstRowLastColumn="0" w:lastRowFirstColumn="0" w:lastRowLastColumn="0"/>
            </w:pPr>
            <w:r>
              <w:t>Clima sobre 100</w:t>
            </w:r>
          </w:p>
        </w:tc>
      </w:tr>
      <w:tr w:rsidR="00912E4C" w14:paraId="3DCA1BB5" w14:textId="77777777" w:rsidTr="0012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44197FF" w14:textId="3322E15E" w:rsidR="00912E4C" w:rsidRPr="00912E4C" w:rsidRDefault="00912E4C" w:rsidP="00127F21">
            <w:pPr>
              <w:pStyle w:val="Diana"/>
              <w:jc w:val="center"/>
              <w:rPr>
                <w:i/>
                <w:iCs/>
              </w:rPr>
            </w:pPr>
            <w:proofErr w:type="spellStart"/>
            <w:r w:rsidRPr="00912E4C">
              <w:rPr>
                <w:i/>
                <w:iCs/>
              </w:rPr>
              <w:t>costs</w:t>
            </w:r>
            <w:proofErr w:type="spellEnd"/>
          </w:p>
        </w:tc>
        <w:tc>
          <w:tcPr>
            <w:tcW w:w="4247" w:type="dxa"/>
            <w:vAlign w:val="center"/>
          </w:tcPr>
          <w:p w14:paraId="2370E9E8" w14:textId="54DFF66D" w:rsidR="00912E4C" w:rsidRDefault="00912E4C" w:rsidP="00127F21">
            <w:pPr>
              <w:pStyle w:val="Diana"/>
              <w:jc w:val="center"/>
              <w:cnfStyle w:val="000000100000" w:firstRow="0" w:lastRow="0" w:firstColumn="0" w:lastColumn="0" w:oddVBand="0" w:evenVBand="0" w:oddHBand="1" w:evenHBand="0" w:firstRowFirstColumn="0" w:firstRowLastColumn="0" w:lastRowFirstColumn="0" w:lastRowLastColumn="0"/>
            </w:pPr>
            <w:r>
              <w:t>Costes sobre 100</w:t>
            </w:r>
          </w:p>
        </w:tc>
      </w:tr>
      <w:tr w:rsidR="00912E4C" w14:paraId="56DB63EA" w14:textId="77777777" w:rsidTr="00127F21">
        <w:tc>
          <w:tcPr>
            <w:cnfStyle w:val="001000000000" w:firstRow="0" w:lastRow="0" w:firstColumn="1" w:lastColumn="0" w:oddVBand="0" w:evenVBand="0" w:oddHBand="0" w:evenHBand="0" w:firstRowFirstColumn="0" w:firstRowLastColumn="0" w:lastRowFirstColumn="0" w:lastRowLastColumn="0"/>
            <w:tcW w:w="4247" w:type="dxa"/>
            <w:vAlign w:val="center"/>
          </w:tcPr>
          <w:p w14:paraId="0F50F88E" w14:textId="79A5D846" w:rsidR="00912E4C" w:rsidRPr="00912E4C" w:rsidRDefault="00912E4C" w:rsidP="00127F21">
            <w:pPr>
              <w:pStyle w:val="Diana"/>
              <w:jc w:val="center"/>
              <w:rPr>
                <w:i/>
                <w:iCs/>
              </w:rPr>
            </w:pPr>
            <w:proofErr w:type="spellStart"/>
            <w:r w:rsidRPr="00912E4C">
              <w:rPr>
                <w:i/>
                <w:iCs/>
              </w:rPr>
              <w:t>popularity</w:t>
            </w:r>
            <w:proofErr w:type="spellEnd"/>
          </w:p>
        </w:tc>
        <w:tc>
          <w:tcPr>
            <w:tcW w:w="4247" w:type="dxa"/>
            <w:vAlign w:val="center"/>
          </w:tcPr>
          <w:p w14:paraId="305C0FEA" w14:textId="11E473A1" w:rsidR="00912E4C" w:rsidRDefault="00912E4C" w:rsidP="00127F21">
            <w:pPr>
              <w:pStyle w:val="Diana"/>
              <w:jc w:val="center"/>
              <w:cnfStyle w:val="000000000000" w:firstRow="0" w:lastRow="0" w:firstColumn="0" w:lastColumn="0" w:oddVBand="0" w:evenVBand="0" w:oddHBand="0" w:evenHBand="0" w:firstRowFirstColumn="0" w:firstRowLastColumn="0" w:lastRowFirstColumn="0" w:lastRowLastColumn="0"/>
            </w:pPr>
            <w:r>
              <w:t>Popularidad sobre 100</w:t>
            </w:r>
          </w:p>
        </w:tc>
      </w:tr>
    </w:tbl>
    <w:p w14:paraId="5A4D8536" w14:textId="041F97A6" w:rsidR="00912E4C" w:rsidRDefault="00912E4C" w:rsidP="002256BC">
      <w:pPr>
        <w:pStyle w:val="Diana"/>
      </w:pPr>
    </w:p>
    <w:p w14:paraId="4B0977EC" w14:textId="6D1EDE3E" w:rsidR="00BC7086" w:rsidRDefault="00BC7086" w:rsidP="002256BC">
      <w:pPr>
        <w:pStyle w:val="Diana"/>
      </w:pPr>
    </w:p>
    <w:p w14:paraId="5440DAFF" w14:textId="571E46D2" w:rsidR="00BC7086" w:rsidRDefault="00BC7086" w:rsidP="002256BC">
      <w:pPr>
        <w:pStyle w:val="Diana"/>
      </w:pPr>
    </w:p>
    <w:p w14:paraId="3F8FCC7E" w14:textId="0AA4CE53" w:rsidR="00BC7086" w:rsidRDefault="00BC7086" w:rsidP="002256BC">
      <w:pPr>
        <w:pStyle w:val="Diana"/>
      </w:pPr>
    </w:p>
    <w:p w14:paraId="6F8C03BE" w14:textId="697875B3" w:rsidR="00BC7086" w:rsidRDefault="00BC7086" w:rsidP="002256BC">
      <w:pPr>
        <w:pStyle w:val="Diana"/>
      </w:pPr>
    </w:p>
    <w:p w14:paraId="4D484099" w14:textId="67E30EFD" w:rsidR="00BC7086" w:rsidRDefault="00BC7086" w:rsidP="002256BC">
      <w:pPr>
        <w:pStyle w:val="Diana"/>
      </w:pPr>
    </w:p>
    <w:p w14:paraId="0CC2DED9" w14:textId="2AEBE3A1" w:rsidR="00BC7086" w:rsidRDefault="00BC7086" w:rsidP="002256BC">
      <w:pPr>
        <w:pStyle w:val="Diana"/>
      </w:pPr>
    </w:p>
    <w:p w14:paraId="36886531" w14:textId="674B6959" w:rsidR="00BC7086" w:rsidRDefault="00BC7086" w:rsidP="002256BC">
      <w:pPr>
        <w:pStyle w:val="Diana"/>
      </w:pPr>
    </w:p>
    <w:p w14:paraId="53155B2A" w14:textId="7557404F" w:rsidR="001A36FB" w:rsidRDefault="001A36FB" w:rsidP="002256BC">
      <w:pPr>
        <w:pStyle w:val="Diana"/>
      </w:pPr>
    </w:p>
    <w:p w14:paraId="2F4AFFAD" w14:textId="5B33B9D2" w:rsidR="001A36FB" w:rsidRDefault="001A36FB" w:rsidP="002256BC">
      <w:pPr>
        <w:pStyle w:val="Diana"/>
      </w:pPr>
    </w:p>
    <w:p w14:paraId="6A6C9D74" w14:textId="76E603AB" w:rsidR="009023FC" w:rsidRDefault="009023FC" w:rsidP="002256BC">
      <w:pPr>
        <w:pStyle w:val="Diana"/>
      </w:pPr>
    </w:p>
    <w:p w14:paraId="71279B99" w14:textId="02D7BDF2" w:rsidR="009023FC" w:rsidRDefault="009023FC" w:rsidP="002256BC">
      <w:pPr>
        <w:pStyle w:val="Diana"/>
      </w:pPr>
    </w:p>
    <w:p w14:paraId="299EA1AA" w14:textId="45ACCBCE" w:rsidR="001B237B" w:rsidRDefault="001B237B" w:rsidP="002256BC">
      <w:pPr>
        <w:pStyle w:val="Diana"/>
      </w:pPr>
    </w:p>
    <w:p w14:paraId="11136E89" w14:textId="0E46813F" w:rsidR="001B237B" w:rsidRDefault="001B237B" w:rsidP="002256BC">
      <w:pPr>
        <w:pStyle w:val="Diana"/>
      </w:pPr>
    </w:p>
    <w:p w14:paraId="41D8FAEB" w14:textId="3B594533" w:rsidR="001B237B" w:rsidRDefault="001B237B" w:rsidP="002256BC">
      <w:pPr>
        <w:pStyle w:val="Diana"/>
      </w:pPr>
    </w:p>
    <w:p w14:paraId="6AC09283" w14:textId="77777777" w:rsidR="006657B0" w:rsidRDefault="006657B0" w:rsidP="002256BC">
      <w:pPr>
        <w:pStyle w:val="Diana"/>
      </w:pPr>
    </w:p>
    <w:p w14:paraId="0A227CE5" w14:textId="77777777" w:rsidR="001B237B" w:rsidRDefault="001B237B" w:rsidP="002256BC">
      <w:pPr>
        <w:pStyle w:val="Diana"/>
      </w:pPr>
    </w:p>
    <w:p w14:paraId="458E2F4C" w14:textId="05C51B26" w:rsidR="00BC7086" w:rsidRDefault="009023FC" w:rsidP="009023FC">
      <w:pPr>
        <w:pStyle w:val="Ttulo1"/>
        <w:spacing w:line="360" w:lineRule="auto"/>
        <w:jc w:val="both"/>
        <w:rPr>
          <w:rFonts w:ascii="Times New Roman" w:eastAsiaTheme="minorHAnsi" w:hAnsi="Times New Roman" w:cs="Times New Roman"/>
          <w:b/>
          <w:bCs/>
          <w:smallCaps/>
          <w:color w:val="auto"/>
          <w:sz w:val="28"/>
          <w:szCs w:val="28"/>
        </w:rPr>
      </w:pPr>
      <w:bookmarkStart w:id="1" w:name="_Toc116939129"/>
      <w:r w:rsidRPr="009023FC">
        <w:rPr>
          <w:rFonts w:ascii="Times New Roman" w:eastAsiaTheme="minorHAnsi" w:hAnsi="Times New Roman" w:cs="Times New Roman"/>
          <w:b/>
          <w:bCs/>
          <w:smallCaps/>
          <w:color w:val="auto"/>
          <w:sz w:val="28"/>
          <w:szCs w:val="28"/>
        </w:rPr>
        <w:lastRenderedPageBreak/>
        <w:t>Tema a tratar</w:t>
      </w:r>
      <w:bookmarkEnd w:id="1"/>
    </w:p>
    <w:p w14:paraId="3FE00216" w14:textId="3F78AD3F" w:rsidR="009023FC" w:rsidRDefault="009023FC" w:rsidP="006657B0">
      <w:pPr>
        <w:pStyle w:val="Diana"/>
      </w:pPr>
      <w:r>
        <w:t xml:space="preserve">Es interesante conocer cómo se desenvuelve la vida en los diferentes países del mundo: </w:t>
      </w:r>
      <w:r w:rsidR="006657B0">
        <w:t>¿la calidad de vida de las personas en diferentes países del mundo puede alterar otros factores?</w:t>
      </w:r>
    </w:p>
    <w:p w14:paraId="139B32B7" w14:textId="0F22781B" w:rsidR="006657B0" w:rsidRDefault="006657B0" w:rsidP="006657B0">
      <w:pPr>
        <w:pStyle w:val="Diana"/>
      </w:pPr>
      <w:r>
        <w:t xml:space="preserve">Los documentos </w:t>
      </w:r>
      <w:r w:rsidR="00B22CD4">
        <w:t xml:space="preserve">que se han encontrado </w:t>
      </w:r>
      <w:r>
        <w:t>proporcionan información sobre el IMC, IQ, esperanza de vida, índice de natalidad y muertes. ¿Es posible que estos factores se vean afectados por la calidad de vida de las personas?</w:t>
      </w:r>
    </w:p>
    <w:p w14:paraId="3766ABBF" w14:textId="2F35F620" w:rsidR="00F7198E" w:rsidRPr="009023FC" w:rsidRDefault="009023FC" w:rsidP="009023FC">
      <w:pPr>
        <w:pStyle w:val="Diana"/>
      </w:pPr>
      <w:r>
        <w:t>Se construirá una serie de representaciones estadísticas para responder a esta pregunta. El proceso de construcción de estos gráficos estará explicado en este documento pero, antes de comenzar a representar datos, es necesario observar cuáles van a ser realmente útiles.</w:t>
      </w:r>
      <w:r w:rsidR="00CB021E">
        <w:t xml:space="preserve"> Por este motivo, el primer paso es realizar un preprocesado de datos.</w:t>
      </w:r>
    </w:p>
    <w:p w14:paraId="2159C99D" w14:textId="04E513F2" w:rsidR="00BC7086" w:rsidRDefault="00EF5F83" w:rsidP="00BC7086">
      <w:pPr>
        <w:pStyle w:val="Ttulo1"/>
        <w:spacing w:line="360" w:lineRule="auto"/>
        <w:jc w:val="both"/>
        <w:rPr>
          <w:rFonts w:ascii="Times New Roman" w:eastAsiaTheme="minorHAnsi" w:hAnsi="Times New Roman" w:cs="Times New Roman"/>
          <w:b/>
          <w:bCs/>
          <w:smallCaps/>
          <w:color w:val="auto"/>
          <w:sz w:val="28"/>
          <w:szCs w:val="28"/>
        </w:rPr>
      </w:pPr>
      <w:bookmarkStart w:id="2" w:name="_Toc116939130"/>
      <w:r>
        <w:rPr>
          <w:rFonts w:ascii="Times New Roman" w:eastAsiaTheme="minorHAnsi" w:hAnsi="Times New Roman" w:cs="Times New Roman"/>
          <w:b/>
          <w:bCs/>
          <w:smallCaps/>
          <w:color w:val="auto"/>
          <w:sz w:val="28"/>
          <w:szCs w:val="28"/>
        </w:rPr>
        <w:t>Preprocesado</w:t>
      </w:r>
      <w:r w:rsidR="00BC7086">
        <w:rPr>
          <w:rFonts w:ascii="Times New Roman" w:eastAsiaTheme="minorHAnsi" w:hAnsi="Times New Roman" w:cs="Times New Roman"/>
          <w:b/>
          <w:bCs/>
          <w:smallCaps/>
          <w:color w:val="auto"/>
          <w:sz w:val="28"/>
          <w:szCs w:val="28"/>
        </w:rPr>
        <w:t xml:space="preserve"> de los datos</w:t>
      </w:r>
      <w:bookmarkEnd w:id="2"/>
    </w:p>
    <w:p w14:paraId="4B65B27A" w14:textId="4E176D5F" w:rsidR="00BC7086" w:rsidRDefault="00BC7086" w:rsidP="00BC7086">
      <w:pPr>
        <w:pStyle w:val="Diana"/>
      </w:pPr>
      <w:r>
        <w:t xml:space="preserve">En primer lugar, se seleccionará la primera columna de todos los ficheros, y en la pestaña de datos, se seleccionará la opción de </w:t>
      </w:r>
      <w:r>
        <w:rPr>
          <w:i/>
          <w:iCs/>
        </w:rPr>
        <w:t>Texto en columnas</w:t>
      </w:r>
      <w:r>
        <w:t>, eligiendo la coma como separador.</w:t>
      </w:r>
    </w:p>
    <w:p w14:paraId="73CBC3BA" w14:textId="119586C9" w:rsidR="00F56F44" w:rsidRDefault="00F56F44" w:rsidP="00BC7086">
      <w:pPr>
        <w:pStyle w:val="Diana"/>
      </w:pPr>
      <w:r>
        <w:t>Ahora ya se tienen los datos por columnas en todos los ficheros. El siguiente paso es comprobar si existen errores de formato. Dado que la mayoría de datos son numéricos, no hay problemas de incompatibilidad en este aspecto.</w:t>
      </w:r>
    </w:p>
    <w:p w14:paraId="30607F73" w14:textId="11D8B2A1" w:rsidR="00987A50" w:rsidRDefault="00987A50" w:rsidP="00BC7086">
      <w:pPr>
        <w:pStyle w:val="Diana"/>
      </w:pPr>
      <w:r>
        <w:t>A continuación, se pasarán todos los datos a tablas, para poder manejar la información más fácilmente.</w:t>
      </w:r>
    </w:p>
    <w:p w14:paraId="41499677" w14:textId="4A548604" w:rsidR="00F7198E" w:rsidRDefault="00F7198E" w:rsidP="00BC7086">
      <w:pPr>
        <w:pStyle w:val="Diana"/>
      </w:pPr>
      <w:r>
        <w:t xml:space="preserve">El siguiente paso es comprobar </w:t>
      </w:r>
      <w:r w:rsidR="005C14FB">
        <w:t>documento a documento qué columnas van a interesar en el estudio:</w:t>
      </w:r>
    </w:p>
    <w:tbl>
      <w:tblPr>
        <w:tblStyle w:val="Tablanormal1"/>
        <w:tblW w:w="0" w:type="auto"/>
        <w:tblLook w:val="04A0" w:firstRow="1" w:lastRow="0" w:firstColumn="1" w:lastColumn="0" w:noHBand="0" w:noVBand="1"/>
      </w:tblPr>
      <w:tblGrid>
        <w:gridCol w:w="4247"/>
        <w:gridCol w:w="4247"/>
      </w:tblGrid>
      <w:tr w:rsidR="005C14FB" w14:paraId="1F737922" w14:textId="77777777" w:rsidTr="00B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6F7E75B" w14:textId="77777777" w:rsidR="005C14FB" w:rsidRPr="0057384C" w:rsidRDefault="005C14FB" w:rsidP="00B24FB2">
            <w:pPr>
              <w:pStyle w:val="Diana"/>
              <w:jc w:val="center"/>
              <w:rPr>
                <w:i/>
                <w:iCs/>
              </w:rPr>
            </w:pPr>
            <w:proofErr w:type="spellStart"/>
            <w:r w:rsidRPr="0057384C">
              <w:rPr>
                <w:i/>
                <w:iCs/>
              </w:rPr>
              <w:t>height_weight_data</w:t>
            </w:r>
            <w:r>
              <w:rPr>
                <w:i/>
                <w:iCs/>
              </w:rPr>
              <w:t>.xslx</w:t>
            </w:r>
            <w:proofErr w:type="spellEnd"/>
          </w:p>
        </w:tc>
      </w:tr>
      <w:tr w:rsidR="005C14FB" w14:paraId="6C026B9E"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BFAD68F" w14:textId="77777777" w:rsidR="005C14FB" w:rsidRPr="0057384C" w:rsidRDefault="005C14FB" w:rsidP="00B24FB2">
            <w:pPr>
              <w:pStyle w:val="Diana"/>
              <w:jc w:val="center"/>
              <w:rPr>
                <w:i/>
                <w:iCs/>
              </w:rPr>
            </w:pPr>
            <w:r w:rsidRPr="0057384C">
              <w:rPr>
                <w:i/>
                <w:iCs/>
              </w:rPr>
              <w:t>country</w:t>
            </w:r>
          </w:p>
        </w:tc>
        <w:tc>
          <w:tcPr>
            <w:tcW w:w="4247" w:type="dxa"/>
            <w:vAlign w:val="center"/>
          </w:tcPr>
          <w:p w14:paraId="5105F12F" w14:textId="77777777" w:rsidR="005C14FB" w:rsidRDefault="005C14FB" w:rsidP="00B24FB2">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5C14FB" w14:paraId="2211B3E2"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33E77A8B" w14:textId="77777777" w:rsidR="005C14FB" w:rsidRPr="0057384C" w:rsidRDefault="005C14FB" w:rsidP="00B24FB2">
            <w:pPr>
              <w:pStyle w:val="Diana"/>
              <w:jc w:val="center"/>
              <w:rPr>
                <w:i/>
                <w:iCs/>
              </w:rPr>
            </w:pPr>
            <w:proofErr w:type="spellStart"/>
            <w:r w:rsidRPr="0057384C">
              <w:rPr>
                <w:i/>
                <w:iCs/>
              </w:rPr>
              <w:t>male_height</w:t>
            </w:r>
            <w:proofErr w:type="spellEnd"/>
          </w:p>
        </w:tc>
        <w:tc>
          <w:tcPr>
            <w:tcW w:w="4247" w:type="dxa"/>
            <w:vAlign w:val="center"/>
          </w:tcPr>
          <w:p w14:paraId="525500EF" w14:textId="4C8A1BFE" w:rsidR="005C14FB" w:rsidRDefault="005C14FB" w:rsidP="00B24FB2">
            <w:pPr>
              <w:pStyle w:val="Diana"/>
              <w:jc w:val="center"/>
              <w:cnfStyle w:val="000000000000" w:firstRow="0" w:lastRow="0" w:firstColumn="0" w:lastColumn="0" w:oddVBand="0" w:evenVBand="0" w:oddHBand="0" w:evenHBand="0" w:firstRowFirstColumn="0" w:firstRowLastColumn="0" w:lastRowFirstColumn="0" w:lastRowLastColumn="0"/>
            </w:pPr>
            <w:r>
              <w:t>Altura de los hombres</w:t>
            </w:r>
            <w:r w:rsidR="006A4A26">
              <w:t xml:space="preserve"> en cm</w:t>
            </w:r>
          </w:p>
        </w:tc>
      </w:tr>
      <w:tr w:rsidR="005C14FB" w14:paraId="05A2E9DD"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C2E9D86" w14:textId="77777777" w:rsidR="005C14FB" w:rsidRPr="0057384C" w:rsidRDefault="005C14FB" w:rsidP="00B24FB2">
            <w:pPr>
              <w:pStyle w:val="Diana"/>
              <w:jc w:val="center"/>
              <w:rPr>
                <w:i/>
                <w:iCs/>
              </w:rPr>
            </w:pPr>
            <w:proofErr w:type="spellStart"/>
            <w:r w:rsidRPr="0057384C">
              <w:rPr>
                <w:i/>
                <w:iCs/>
              </w:rPr>
              <w:t>female_height</w:t>
            </w:r>
            <w:proofErr w:type="spellEnd"/>
          </w:p>
        </w:tc>
        <w:tc>
          <w:tcPr>
            <w:tcW w:w="4247" w:type="dxa"/>
            <w:vAlign w:val="center"/>
          </w:tcPr>
          <w:p w14:paraId="435DEEE7" w14:textId="1C75148C" w:rsidR="005C14FB" w:rsidRDefault="005C14FB" w:rsidP="00B24FB2">
            <w:pPr>
              <w:pStyle w:val="Diana"/>
              <w:jc w:val="center"/>
              <w:cnfStyle w:val="000000100000" w:firstRow="0" w:lastRow="0" w:firstColumn="0" w:lastColumn="0" w:oddVBand="0" w:evenVBand="0" w:oddHBand="1" w:evenHBand="0" w:firstRowFirstColumn="0" w:firstRowLastColumn="0" w:lastRowFirstColumn="0" w:lastRowLastColumn="0"/>
            </w:pPr>
            <w:r>
              <w:t>Altura de las mujeres</w:t>
            </w:r>
            <w:r w:rsidR="006A4A26">
              <w:t xml:space="preserve"> en cm</w:t>
            </w:r>
          </w:p>
        </w:tc>
      </w:tr>
      <w:tr w:rsidR="005C14FB" w14:paraId="1F8125D9"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55F283DF" w14:textId="77777777" w:rsidR="005C14FB" w:rsidRPr="0057384C" w:rsidRDefault="005C14FB" w:rsidP="00B24FB2">
            <w:pPr>
              <w:pStyle w:val="Diana"/>
              <w:jc w:val="center"/>
              <w:rPr>
                <w:i/>
                <w:iCs/>
              </w:rPr>
            </w:pPr>
            <w:proofErr w:type="spellStart"/>
            <w:r w:rsidRPr="0057384C">
              <w:rPr>
                <w:i/>
                <w:iCs/>
              </w:rPr>
              <w:t>male_weight</w:t>
            </w:r>
            <w:proofErr w:type="spellEnd"/>
          </w:p>
        </w:tc>
        <w:tc>
          <w:tcPr>
            <w:tcW w:w="4247" w:type="dxa"/>
            <w:vAlign w:val="center"/>
          </w:tcPr>
          <w:p w14:paraId="53B9F1E1" w14:textId="4947F681" w:rsidR="005C14FB" w:rsidRDefault="005C14FB" w:rsidP="00B24FB2">
            <w:pPr>
              <w:pStyle w:val="Diana"/>
              <w:jc w:val="center"/>
              <w:cnfStyle w:val="000000000000" w:firstRow="0" w:lastRow="0" w:firstColumn="0" w:lastColumn="0" w:oddVBand="0" w:evenVBand="0" w:oddHBand="0" w:evenHBand="0" w:firstRowFirstColumn="0" w:firstRowLastColumn="0" w:lastRowFirstColumn="0" w:lastRowLastColumn="0"/>
            </w:pPr>
            <w:r>
              <w:t>Peso de los hombres</w:t>
            </w:r>
            <w:r w:rsidR="006A4A26">
              <w:t xml:space="preserve"> en kg</w:t>
            </w:r>
          </w:p>
        </w:tc>
      </w:tr>
      <w:tr w:rsidR="005C14FB" w14:paraId="377CD829"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95B8E5" w14:textId="77777777" w:rsidR="005C14FB" w:rsidRPr="0057384C" w:rsidRDefault="005C14FB" w:rsidP="00B24FB2">
            <w:pPr>
              <w:pStyle w:val="Diana"/>
              <w:jc w:val="center"/>
              <w:rPr>
                <w:i/>
                <w:iCs/>
              </w:rPr>
            </w:pPr>
            <w:proofErr w:type="spellStart"/>
            <w:r w:rsidRPr="0057384C">
              <w:rPr>
                <w:i/>
                <w:iCs/>
              </w:rPr>
              <w:t>female_weight</w:t>
            </w:r>
            <w:proofErr w:type="spellEnd"/>
          </w:p>
        </w:tc>
        <w:tc>
          <w:tcPr>
            <w:tcW w:w="4247" w:type="dxa"/>
            <w:vAlign w:val="center"/>
          </w:tcPr>
          <w:p w14:paraId="62E2F278" w14:textId="7EE13FA1" w:rsidR="005C14FB" w:rsidRDefault="005C14FB" w:rsidP="00B24FB2">
            <w:pPr>
              <w:pStyle w:val="Diana"/>
              <w:jc w:val="center"/>
              <w:cnfStyle w:val="000000100000" w:firstRow="0" w:lastRow="0" w:firstColumn="0" w:lastColumn="0" w:oddVBand="0" w:evenVBand="0" w:oddHBand="1" w:evenHBand="0" w:firstRowFirstColumn="0" w:firstRowLastColumn="0" w:lastRowFirstColumn="0" w:lastRowLastColumn="0"/>
            </w:pPr>
            <w:r>
              <w:t>Peso de las mujeres</w:t>
            </w:r>
            <w:r w:rsidR="006A4A26">
              <w:t xml:space="preserve"> en kg</w:t>
            </w:r>
          </w:p>
        </w:tc>
      </w:tr>
      <w:tr w:rsidR="005C14FB" w14:paraId="1E0813AF"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4B7D6C51" w14:textId="77777777" w:rsidR="005C14FB" w:rsidRPr="0057384C" w:rsidRDefault="005C14FB" w:rsidP="00B24FB2">
            <w:pPr>
              <w:pStyle w:val="Diana"/>
              <w:jc w:val="center"/>
              <w:rPr>
                <w:i/>
                <w:iCs/>
              </w:rPr>
            </w:pPr>
            <w:proofErr w:type="spellStart"/>
            <w:r w:rsidRPr="0057384C">
              <w:rPr>
                <w:i/>
                <w:iCs/>
              </w:rPr>
              <w:t>male_bmi</w:t>
            </w:r>
            <w:proofErr w:type="spellEnd"/>
          </w:p>
        </w:tc>
        <w:tc>
          <w:tcPr>
            <w:tcW w:w="4247" w:type="dxa"/>
            <w:vAlign w:val="center"/>
          </w:tcPr>
          <w:p w14:paraId="25B14DF2" w14:textId="77777777" w:rsidR="005C14FB" w:rsidRDefault="005C14FB" w:rsidP="00B24FB2">
            <w:pPr>
              <w:pStyle w:val="Diana"/>
              <w:jc w:val="center"/>
              <w:cnfStyle w:val="000000000000" w:firstRow="0" w:lastRow="0" w:firstColumn="0" w:lastColumn="0" w:oddVBand="0" w:evenVBand="0" w:oddHBand="0" w:evenHBand="0" w:firstRowFirstColumn="0" w:firstRowLastColumn="0" w:lastRowFirstColumn="0" w:lastRowLastColumn="0"/>
            </w:pPr>
            <w:r>
              <w:t>Índice de masa corporal de los hombres</w:t>
            </w:r>
          </w:p>
        </w:tc>
      </w:tr>
      <w:tr w:rsidR="005C14FB" w14:paraId="03F69D0F"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6E7E117" w14:textId="77777777" w:rsidR="005C14FB" w:rsidRPr="0057384C" w:rsidRDefault="005C14FB" w:rsidP="00B24FB2">
            <w:pPr>
              <w:pStyle w:val="Diana"/>
              <w:jc w:val="center"/>
              <w:rPr>
                <w:i/>
                <w:iCs/>
              </w:rPr>
            </w:pPr>
            <w:proofErr w:type="spellStart"/>
            <w:r w:rsidRPr="0057384C">
              <w:rPr>
                <w:i/>
                <w:iCs/>
              </w:rPr>
              <w:t>female_bmi</w:t>
            </w:r>
            <w:proofErr w:type="spellEnd"/>
          </w:p>
        </w:tc>
        <w:tc>
          <w:tcPr>
            <w:tcW w:w="4247" w:type="dxa"/>
            <w:vAlign w:val="center"/>
          </w:tcPr>
          <w:p w14:paraId="78B2F1E3" w14:textId="77777777" w:rsidR="005C14FB" w:rsidRDefault="005C14FB" w:rsidP="00B24FB2">
            <w:pPr>
              <w:pStyle w:val="Diana"/>
              <w:jc w:val="center"/>
              <w:cnfStyle w:val="000000100000" w:firstRow="0" w:lastRow="0" w:firstColumn="0" w:lastColumn="0" w:oddVBand="0" w:evenVBand="0" w:oddHBand="1" w:evenHBand="0" w:firstRowFirstColumn="0" w:firstRowLastColumn="0" w:lastRowFirstColumn="0" w:lastRowLastColumn="0"/>
            </w:pPr>
            <w:r>
              <w:t>Índice de masa corporal de las mujeres</w:t>
            </w:r>
          </w:p>
        </w:tc>
      </w:tr>
    </w:tbl>
    <w:p w14:paraId="2AF8224F" w14:textId="77777777" w:rsidR="002F21CC" w:rsidRDefault="005C14FB" w:rsidP="002F21CC">
      <w:pPr>
        <w:pStyle w:val="Diana"/>
      </w:pPr>
      <w:r>
        <w:lastRenderedPageBreak/>
        <w:t>En este caso, como el índice de masa corporal se define en función de la altura y peso, se podrían eliminar estas dos últimas columnas, tanto para hombres como para mujeres, quedando el índice de masa corporal de hombres y mujeres.</w:t>
      </w:r>
      <w:r w:rsidR="002F21CC">
        <w:t xml:space="preserve"> Primero, se comprobará que los valores estén correctamente calculados: el IMC es el resultado de dividir el peso entre la altura en metros cuadrados. Los datos vienen datos con puntos para marcar los decimales, de modo que estos se sustituyen por comas mediante la opción de </w:t>
      </w:r>
      <w:r w:rsidR="002F21CC">
        <w:rPr>
          <w:i/>
          <w:iCs/>
        </w:rPr>
        <w:t>Buscar y seleccionar&gt;Reemplazar</w:t>
      </w:r>
      <w:r w:rsidR="002F21CC">
        <w:t>.</w:t>
      </w:r>
    </w:p>
    <w:p w14:paraId="45496F90" w14:textId="4C299B90" w:rsidR="002F21CC" w:rsidRDefault="002F21CC" w:rsidP="00BC7086">
      <w:pPr>
        <w:pStyle w:val="Diana"/>
      </w:pPr>
      <w:r>
        <w:t xml:space="preserve"> Se añade una columna de comprobación que devuelve 0 si </w:t>
      </w:r>
      <w:r w:rsidR="00076653">
        <w:t xml:space="preserve">el IMC </w:t>
      </w:r>
      <w:r>
        <w:t>está bien calculado, y 1 si no:</w:t>
      </w:r>
    </w:p>
    <w:p w14:paraId="637EE4BE" w14:textId="77777777" w:rsidR="002F21CC" w:rsidRDefault="002F21CC" w:rsidP="002F21CC">
      <w:pPr>
        <w:pStyle w:val="Diana"/>
        <w:keepNext/>
        <w:jc w:val="center"/>
      </w:pPr>
      <w:r>
        <w:rPr>
          <w:noProof/>
        </w:rPr>
        <w:drawing>
          <wp:inline distT="0" distB="0" distL="0" distR="0" wp14:anchorId="090745A9" wp14:editId="410A68E3">
            <wp:extent cx="3676650" cy="148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965" r="31914" b="24122"/>
                    <a:stretch/>
                  </pic:blipFill>
                  <pic:spPr bwMode="auto">
                    <a:xfrm>
                      <a:off x="0" y="0"/>
                      <a:ext cx="3676650" cy="1485900"/>
                    </a:xfrm>
                    <a:prstGeom prst="rect">
                      <a:avLst/>
                    </a:prstGeom>
                    <a:ln>
                      <a:noFill/>
                    </a:ln>
                    <a:extLst>
                      <a:ext uri="{53640926-AAD7-44D8-BBD7-CCE9431645EC}">
                        <a14:shadowObscured xmlns:a14="http://schemas.microsoft.com/office/drawing/2010/main"/>
                      </a:ext>
                    </a:extLst>
                  </pic:spPr>
                </pic:pic>
              </a:graphicData>
            </a:graphic>
          </wp:inline>
        </w:drawing>
      </w:r>
    </w:p>
    <w:p w14:paraId="0CD5B74D" w14:textId="57093763" w:rsidR="002F21CC" w:rsidRDefault="002F21CC" w:rsidP="002F21CC">
      <w:pPr>
        <w:pStyle w:val="Descripcin"/>
        <w:jc w:val="center"/>
        <w:rPr>
          <w:rFonts w:ascii="Times New Roman" w:hAnsi="Times New Roman" w:cs="Times New Roman"/>
        </w:rPr>
      </w:pPr>
      <w:r w:rsidRPr="002F21CC">
        <w:rPr>
          <w:rFonts w:ascii="Times New Roman" w:hAnsi="Times New Roman" w:cs="Times New Roman"/>
        </w:rPr>
        <w:t xml:space="preserve">Ilustración </w:t>
      </w:r>
      <w:r w:rsidRPr="002F21CC">
        <w:rPr>
          <w:rFonts w:ascii="Times New Roman" w:hAnsi="Times New Roman" w:cs="Times New Roman"/>
        </w:rPr>
        <w:fldChar w:fldCharType="begin"/>
      </w:r>
      <w:r w:rsidRPr="002F21CC">
        <w:rPr>
          <w:rFonts w:ascii="Times New Roman" w:hAnsi="Times New Roman" w:cs="Times New Roman"/>
        </w:rPr>
        <w:instrText xml:space="preserve"> SEQ Ilustración \* ARABIC </w:instrText>
      </w:r>
      <w:r w:rsidRPr="002F21CC">
        <w:rPr>
          <w:rFonts w:ascii="Times New Roman" w:hAnsi="Times New Roman" w:cs="Times New Roman"/>
        </w:rPr>
        <w:fldChar w:fldCharType="separate"/>
      </w:r>
      <w:r w:rsidR="00694290">
        <w:rPr>
          <w:rFonts w:ascii="Times New Roman" w:hAnsi="Times New Roman" w:cs="Times New Roman"/>
          <w:noProof/>
        </w:rPr>
        <w:t>1</w:t>
      </w:r>
      <w:r w:rsidRPr="002F21CC">
        <w:rPr>
          <w:rFonts w:ascii="Times New Roman" w:hAnsi="Times New Roman" w:cs="Times New Roman"/>
        </w:rPr>
        <w:fldChar w:fldCharType="end"/>
      </w:r>
      <w:r w:rsidRPr="002F21CC">
        <w:rPr>
          <w:rFonts w:ascii="Times New Roman" w:hAnsi="Times New Roman" w:cs="Times New Roman"/>
        </w:rPr>
        <w:t>: comprobación del cálculo del IMC</w:t>
      </w:r>
    </w:p>
    <w:p w14:paraId="298E6D9B" w14:textId="094A8187" w:rsidR="002F21CC" w:rsidRPr="002F21CC" w:rsidRDefault="002F21CC" w:rsidP="002F21CC">
      <w:pPr>
        <w:pStyle w:val="Diana"/>
      </w:pPr>
      <w:r>
        <w:t>Todos los valores son 0, de modo que se puede eliminar el peso y altura de hombres y mujeres, además de esta última columna de comprobación.</w:t>
      </w:r>
    </w:p>
    <w:p w14:paraId="739826C1" w14:textId="0A57D02B" w:rsidR="005C14FB" w:rsidRDefault="002E0840" w:rsidP="00BC7086">
      <w:pPr>
        <w:pStyle w:val="Diana"/>
      </w:pPr>
      <w:r>
        <w:t>Se añadirá una columna que medirá el nivel de peso en función de este valor. Los valores de esta nueva columna serán:</w:t>
      </w:r>
    </w:p>
    <w:p w14:paraId="6A8D32C5" w14:textId="3AE888E2" w:rsidR="002E0840" w:rsidRDefault="002E0840" w:rsidP="002E0840">
      <w:pPr>
        <w:pStyle w:val="Diana"/>
        <w:numPr>
          <w:ilvl w:val="0"/>
          <w:numId w:val="39"/>
        </w:numPr>
      </w:pPr>
      <w:r>
        <w:t>Bajo peso: IMC por debajo de 18,5</w:t>
      </w:r>
    </w:p>
    <w:p w14:paraId="7B1D3DAA" w14:textId="0F4CA32F" w:rsidR="002E0840" w:rsidRDefault="002E0840" w:rsidP="002E0840">
      <w:pPr>
        <w:pStyle w:val="Diana"/>
        <w:numPr>
          <w:ilvl w:val="0"/>
          <w:numId w:val="39"/>
        </w:numPr>
      </w:pPr>
      <w:r>
        <w:t>Normal: IMC entre 18,5 y 24,9</w:t>
      </w:r>
    </w:p>
    <w:p w14:paraId="4CF56D40" w14:textId="78E88D45" w:rsidR="002E0840" w:rsidRDefault="002E0840" w:rsidP="002E0840">
      <w:pPr>
        <w:pStyle w:val="Diana"/>
        <w:numPr>
          <w:ilvl w:val="0"/>
          <w:numId w:val="39"/>
        </w:numPr>
      </w:pPr>
      <w:r>
        <w:t>Sobrepeso: IMC entre 25,0 y 29,9</w:t>
      </w:r>
    </w:p>
    <w:p w14:paraId="14C8E7A7" w14:textId="404B94FF" w:rsidR="008E48C9" w:rsidRDefault="002E0840" w:rsidP="008E48C9">
      <w:pPr>
        <w:pStyle w:val="Diana"/>
        <w:numPr>
          <w:ilvl w:val="0"/>
          <w:numId w:val="39"/>
        </w:numPr>
      </w:pPr>
      <w:r>
        <w:t>Obesidad: IMC de 30,0 o más</w:t>
      </w:r>
    </w:p>
    <w:p w14:paraId="2D5CDE8C" w14:textId="27EB9BE8" w:rsidR="00CB1589" w:rsidRDefault="008E48C9" w:rsidP="00CB1589">
      <w:pPr>
        <w:pStyle w:val="Diana"/>
        <w:keepNext/>
        <w:jc w:val="center"/>
      </w:pPr>
      <w:r>
        <w:rPr>
          <w:noProof/>
        </w:rPr>
        <w:lastRenderedPageBreak/>
        <w:drawing>
          <wp:inline distT="0" distB="0" distL="0" distR="0" wp14:anchorId="1AB8A0A6" wp14:editId="248F48E1">
            <wp:extent cx="540004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010" b="19941"/>
                    <a:stretch/>
                  </pic:blipFill>
                  <pic:spPr bwMode="auto">
                    <a:xfrm>
                      <a:off x="0" y="0"/>
                      <a:ext cx="5400040" cy="1581150"/>
                    </a:xfrm>
                    <a:prstGeom prst="rect">
                      <a:avLst/>
                    </a:prstGeom>
                    <a:ln>
                      <a:noFill/>
                    </a:ln>
                    <a:extLst>
                      <a:ext uri="{53640926-AAD7-44D8-BBD7-CCE9431645EC}">
                        <a14:shadowObscured xmlns:a14="http://schemas.microsoft.com/office/drawing/2010/main"/>
                      </a:ext>
                    </a:extLst>
                  </pic:spPr>
                </pic:pic>
              </a:graphicData>
            </a:graphic>
          </wp:inline>
        </w:drawing>
      </w:r>
    </w:p>
    <w:p w14:paraId="63E3D5E4" w14:textId="29520014" w:rsidR="002F21CC" w:rsidRDefault="00CB1589" w:rsidP="00CB1589">
      <w:pPr>
        <w:pStyle w:val="Descripcin"/>
        <w:jc w:val="center"/>
        <w:rPr>
          <w:rFonts w:ascii="Times New Roman" w:hAnsi="Times New Roman" w:cs="Times New Roman"/>
        </w:rPr>
      </w:pPr>
      <w:r w:rsidRPr="00CB1589">
        <w:rPr>
          <w:rFonts w:ascii="Times New Roman" w:hAnsi="Times New Roman" w:cs="Times New Roman"/>
        </w:rPr>
        <w:t xml:space="preserve">Ilustración </w:t>
      </w:r>
      <w:r w:rsidRPr="00CB1589">
        <w:rPr>
          <w:rFonts w:ascii="Times New Roman" w:hAnsi="Times New Roman" w:cs="Times New Roman"/>
        </w:rPr>
        <w:fldChar w:fldCharType="begin"/>
      </w:r>
      <w:r w:rsidRPr="00CB1589">
        <w:rPr>
          <w:rFonts w:ascii="Times New Roman" w:hAnsi="Times New Roman" w:cs="Times New Roman"/>
        </w:rPr>
        <w:instrText xml:space="preserve"> SEQ Ilustración \* ARABIC </w:instrText>
      </w:r>
      <w:r w:rsidRPr="00CB1589">
        <w:rPr>
          <w:rFonts w:ascii="Times New Roman" w:hAnsi="Times New Roman" w:cs="Times New Roman"/>
        </w:rPr>
        <w:fldChar w:fldCharType="separate"/>
      </w:r>
      <w:r w:rsidR="00694290">
        <w:rPr>
          <w:rFonts w:ascii="Times New Roman" w:hAnsi="Times New Roman" w:cs="Times New Roman"/>
          <w:noProof/>
        </w:rPr>
        <w:t>2</w:t>
      </w:r>
      <w:r w:rsidRPr="00CB1589">
        <w:rPr>
          <w:rFonts w:ascii="Times New Roman" w:hAnsi="Times New Roman" w:cs="Times New Roman"/>
        </w:rPr>
        <w:fldChar w:fldCharType="end"/>
      </w:r>
      <w:r w:rsidRPr="00CB1589">
        <w:rPr>
          <w:rFonts w:ascii="Times New Roman" w:hAnsi="Times New Roman" w:cs="Times New Roman"/>
        </w:rPr>
        <w:t>: nivel de peso de los hombres en los países del mundo</w:t>
      </w:r>
    </w:p>
    <w:p w14:paraId="7931658D" w14:textId="2E9FE290" w:rsidR="00CB1589" w:rsidRDefault="00CB1589" w:rsidP="00CB1589">
      <w:pPr>
        <w:pStyle w:val="Diana"/>
      </w:pPr>
      <w:r>
        <w:t>Como se puede apreciar, no hay ningún país cuya media de IMC de los hombres dé como resultado un nivel de peso correspondiente a “Bajo peso”. Se procede a realizar el mismo procedimiento con las mujeres.</w:t>
      </w:r>
    </w:p>
    <w:p w14:paraId="11E28E2E" w14:textId="77777777" w:rsidR="008E48C9" w:rsidRDefault="008E48C9" w:rsidP="008E48C9">
      <w:pPr>
        <w:pStyle w:val="Diana"/>
        <w:keepNext/>
      </w:pPr>
      <w:r>
        <w:rPr>
          <w:noProof/>
        </w:rPr>
        <w:drawing>
          <wp:inline distT="0" distB="0" distL="0" distR="0" wp14:anchorId="5E52EC3B" wp14:editId="141F6100">
            <wp:extent cx="5400040" cy="1631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547" b="19733"/>
                    <a:stretch/>
                  </pic:blipFill>
                  <pic:spPr bwMode="auto">
                    <a:xfrm>
                      <a:off x="0" y="0"/>
                      <a:ext cx="5400040" cy="1631950"/>
                    </a:xfrm>
                    <a:prstGeom prst="rect">
                      <a:avLst/>
                    </a:prstGeom>
                    <a:ln>
                      <a:noFill/>
                    </a:ln>
                    <a:extLst>
                      <a:ext uri="{53640926-AAD7-44D8-BBD7-CCE9431645EC}">
                        <a14:shadowObscured xmlns:a14="http://schemas.microsoft.com/office/drawing/2010/main"/>
                      </a:ext>
                    </a:extLst>
                  </pic:spPr>
                </pic:pic>
              </a:graphicData>
            </a:graphic>
          </wp:inline>
        </w:drawing>
      </w:r>
    </w:p>
    <w:p w14:paraId="46C385AE" w14:textId="7485CE9E" w:rsidR="008E48C9" w:rsidRDefault="008E48C9" w:rsidP="008E48C9">
      <w:pPr>
        <w:pStyle w:val="Descripcin"/>
        <w:jc w:val="center"/>
        <w:rPr>
          <w:rFonts w:ascii="Times New Roman" w:hAnsi="Times New Roman" w:cs="Times New Roman"/>
        </w:rPr>
      </w:pPr>
      <w:r w:rsidRPr="008E48C9">
        <w:rPr>
          <w:rFonts w:ascii="Times New Roman" w:hAnsi="Times New Roman" w:cs="Times New Roman"/>
        </w:rPr>
        <w:t xml:space="preserve">Ilustración </w:t>
      </w:r>
      <w:r w:rsidRPr="008E48C9">
        <w:rPr>
          <w:rFonts w:ascii="Times New Roman" w:hAnsi="Times New Roman" w:cs="Times New Roman"/>
        </w:rPr>
        <w:fldChar w:fldCharType="begin"/>
      </w:r>
      <w:r w:rsidRPr="008E48C9">
        <w:rPr>
          <w:rFonts w:ascii="Times New Roman" w:hAnsi="Times New Roman" w:cs="Times New Roman"/>
        </w:rPr>
        <w:instrText xml:space="preserve"> SEQ Ilustración \* ARABIC </w:instrText>
      </w:r>
      <w:r w:rsidRPr="008E48C9">
        <w:rPr>
          <w:rFonts w:ascii="Times New Roman" w:hAnsi="Times New Roman" w:cs="Times New Roman"/>
        </w:rPr>
        <w:fldChar w:fldCharType="separate"/>
      </w:r>
      <w:r w:rsidR="00694290">
        <w:rPr>
          <w:rFonts w:ascii="Times New Roman" w:hAnsi="Times New Roman" w:cs="Times New Roman"/>
          <w:noProof/>
        </w:rPr>
        <w:t>3</w:t>
      </w:r>
      <w:r w:rsidRPr="008E48C9">
        <w:rPr>
          <w:rFonts w:ascii="Times New Roman" w:hAnsi="Times New Roman" w:cs="Times New Roman"/>
        </w:rPr>
        <w:fldChar w:fldCharType="end"/>
      </w:r>
      <w:r w:rsidRPr="008E48C9">
        <w:rPr>
          <w:rFonts w:ascii="Times New Roman" w:hAnsi="Times New Roman" w:cs="Times New Roman"/>
        </w:rPr>
        <w:t>: nivel de peso de las mujeres en los países del mundo</w:t>
      </w:r>
    </w:p>
    <w:p w14:paraId="0D482CC5" w14:textId="40220F90" w:rsidR="00F13A6D" w:rsidRDefault="00F13A6D" w:rsidP="00F13A6D">
      <w:pPr>
        <w:pStyle w:val="Diana"/>
      </w:pPr>
      <w:r>
        <w:t xml:space="preserve">El </w:t>
      </w:r>
      <w:r w:rsidR="00370B79">
        <w:t>fichero</w:t>
      </w:r>
      <w:r>
        <w:t xml:space="preserve"> resultante quedaría con la siguiente información:</w:t>
      </w:r>
    </w:p>
    <w:tbl>
      <w:tblPr>
        <w:tblStyle w:val="Tablanormal1"/>
        <w:tblW w:w="0" w:type="auto"/>
        <w:tblLook w:val="04A0" w:firstRow="1" w:lastRow="0" w:firstColumn="1" w:lastColumn="0" w:noHBand="0" w:noVBand="1"/>
      </w:tblPr>
      <w:tblGrid>
        <w:gridCol w:w="3397"/>
        <w:gridCol w:w="5097"/>
      </w:tblGrid>
      <w:tr w:rsidR="00F13A6D" w14:paraId="398CB802" w14:textId="77777777" w:rsidTr="00B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60FDC8C" w14:textId="77777777" w:rsidR="00F13A6D" w:rsidRPr="0057384C" w:rsidRDefault="00F13A6D" w:rsidP="00B24FB2">
            <w:pPr>
              <w:pStyle w:val="Diana"/>
              <w:jc w:val="center"/>
              <w:rPr>
                <w:i/>
                <w:iCs/>
              </w:rPr>
            </w:pPr>
            <w:proofErr w:type="spellStart"/>
            <w:r w:rsidRPr="0057384C">
              <w:rPr>
                <w:i/>
                <w:iCs/>
              </w:rPr>
              <w:t>height_weight_data</w:t>
            </w:r>
            <w:r>
              <w:rPr>
                <w:i/>
                <w:iCs/>
              </w:rPr>
              <w:t>.xslx</w:t>
            </w:r>
            <w:proofErr w:type="spellEnd"/>
          </w:p>
        </w:tc>
      </w:tr>
      <w:tr w:rsidR="00F13A6D" w14:paraId="256D7F94" w14:textId="77777777" w:rsidTr="0023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67BF3B3" w14:textId="77777777" w:rsidR="00F13A6D" w:rsidRPr="0057384C" w:rsidRDefault="00F13A6D" w:rsidP="00B24FB2">
            <w:pPr>
              <w:pStyle w:val="Diana"/>
              <w:jc w:val="center"/>
              <w:rPr>
                <w:i/>
                <w:iCs/>
              </w:rPr>
            </w:pPr>
            <w:r w:rsidRPr="0057384C">
              <w:rPr>
                <w:i/>
                <w:iCs/>
              </w:rPr>
              <w:t>country</w:t>
            </w:r>
          </w:p>
        </w:tc>
        <w:tc>
          <w:tcPr>
            <w:tcW w:w="5097" w:type="dxa"/>
            <w:vAlign w:val="center"/>
          </w:tcPr>
          <w:p w14:paraId="3C41051A" w14:textId="77777777" w:rsidR="00F13A6D" w:rsidRDefault="00F13A6D" w:rsidP="00B24FB2">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F13A6D" w14:paraId="7EE885BD" w14:textId="77777777" w:rsidTr="0023147C">
        <w:tc>
          <w:tcPr>
            <w:cnfStyle w:val="001000000000" w:firstRow="0" w:lastRow="0" w:firstColumn="1" w:lastColumn="0" w:oddVBand="0" w:evenVBand="0" w:oddHBand="0" w:evenHBand="0" w:firstRowFirstColumn="0" w:firstRowLastColumn="0" w:lastRowFirstColumn="0" w:lastRowLastColumn="0"/>
            <w:tcW w:w="3397" w:type="dxa"/>
            <w:vAlign w:val="center"/>
          </w:tcPr>
          <w:p w14:paraId="6CCCCE3B" w14:textId="77777777" w:rsidR="00F13A6D" w:rsidRPr="0057384C" w:rsidRDefault="00F13A6D" w:rsidP="00B24FB2">
            <w:pPr>
              <w:pStyle w:val="Diana"/>
              <w:jc w:val="center"/>
              <w:rPr>
                <w:i/>
                <w:iCs/>
              </w:rPr>
            </w:pPr>
            <w:proofErr w:type="spellStart"/>
            <w:r w:rsidRPr="0057384C">
              <w:rPr>
                <w:i/>
                <w:iCs/>
              </w:rPr>
              <w:t>male_bmi</w:t>
            </w:r>
            <w:proofErr w:type="spellEnd"/>
          </w:p>
        </w:tc>
        <w:tc>
          <w:tcPr>
            <w:tcW w:w="5097" w:type="dxa"/>
            <w:vAlign w:val="center"/>
          </w:tcPr>
          <w:p w14:paraId="0810931D" w14:textId="77777777" w:rsidR="00F13A6D" w:rsidRDefault="00F13A6D" w:rsidP="00B24FB2">
            <w:pPr>
              <w:pStyle w:val="Diana"/>
              <w:jc w:val="center"/>
              <w:cnfStyle w:val="000000000000" w:firstRow="0" w:lastRow="0" w:firstColumn="0" w:lastColumn="0" w:oddVBand="0" w:evenVBand="0" w:oddHBand="0" w:evenHBand="0" w:firstRowFirstColumn="0" w:firstRowLastColumn="0" w:lastRowFirstColumn="0" w:lastRowLastColumn="0"/>
            </w:pPr>
            <w:r>
              <w:t>Índice de masa corporal de los hombres</w:t>
            </w:r>
          </w:p>
        </w:tc>
      </w:tr>
      <w:tr w:rsidR="00F13A6D" w14:paraId="1291255A" w14:textId="77777777" w:rsidTr="0023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395FAB6E" w14:textId="77777777" w:rsidR="00F13A6D" w:rsidRPr="0057384C" w:rsidRDefault="00F13A6D" w:rsidP="00B24FB2">
            <w:pPr>
              <w:pStyle w:val="Diana"/>
              <w:jc w:val="center"/>
              <w:rPr>
                <w:i/>
                <w:iCs/>
              </w:rPr>
            </w:pPr>
            <w:proofErr w:type="spellStart"/>
            <w:r w:rsidRPr="0057384C">
              <w:rPr>
                <w:i/>
                <w:iCs/>
              </w:rPr>
              <w:t>female_bmi</w:t>
            </w:r>
            <w:proofErr w:type="spellEnd"/>
          </w:p>
        </w:tc>
        <w:tc>
          <w:tcPr>
            <w:tcW w:w="5097" w:type="dxa"/>
            <w:vAlign w:val="center"/>
          </w:tcPr>
          <w:p w14:paraId="264079E6" w14:textId="77777777" w:rsidR="00F13A6D" w:rsidRDefault="00F13A6D" w:rsidP="00B24FB2">
            <w:pPr>
              <w:pStyle w:val="Diana"/>
              <w:jc w:val="center"/>
              <w:cnfStyle w:val="000000100000" w:firstRow="0" w:lastRow="0" w:firstColumn="0" w:lastColumn="0" w:oddVBand="0" w:evenVBand="0" w:oddHBand="1" w:evenHBand="0" w:firstRowFirstColumn="0" w:firstRowLastColumn="0" w:lastRowFirstColumn="0" w:lastRowLastColumn="0"/>
            </w:pPr>
            <w:r>
              <w:t>Índice de masa corporal de las mujeres</w:t>
            </w:r>
          </w:p>
        </w:tc>
      </w:tr>
      <w:tr w:rsidR="00F13A6D" w14:paraId="17E0E04D" w14:textId="77777777" w:rsidTr="0023147C">
        <w:tc>
          <w:tcPr>
            <w:cnfStyle w:val="001000000000" w:firstRow="0" w:lastRow="0" w:firstColumn="1" w:lastColumn="0" w:oddVBand="0" w:evenVBand="0" w:oddHBand="0" w:evenHBand="0" w:firstRowFirstColumn="0" w:firstRowLastColumn="0" w:lastRowFirstColumn="0" w:lastRowLastColumn="0"/>
            <w:tcW w:w="3397" w:type="dxa"/>
            <w:vAlign w:val="center"/>
          </w:tcPr>
          <w:p w14:paraId="2CEBAC61" w14:textId="487A4854" w:rsidR="00F13A6D" w:rsidRPr="0057384C" w:rsidRDefault="00F13A6D" w:rsidP="00B24FB2">
            <w:pPr>
              <w:pStyle w:val="Diana"/>
              <w:jc w:val="center"/>
              <w:rPr>
                <w:i/>
                <w:iCs/>
              </w:rPr>
            </w:pPr>
            <w:r>
              <w:rPr>
                <w:i/>
                <w:iCs/>
              </w:rPr>
              <w:t>Nivel de peso de los hombres</w:t>
            </w:r>
          </w:p>
        </w:tc>
        <w:tc>
          <w:tcPr>
            <w:tcW w:w="5097" w:type="dxa"/>
            <w:vAlign w:val="center"/>
          </w:tcPr>
          <w:p w14:paraId="6840C560" w14:textId="774DD448" w:rsidR="00F13A6D" w:rsidRDefault="00F13A6D" w:rsidP="00B24FB2">
            <w:pPr>
              <w:pStyle w:val="Diana"/>
              <w:jc w:val="center"/>
              <w:cnfStyle w:val="000000000000" w:firstRow="0" w:lastRow="0" w:firstColumn="0" w:lastColumn="0" w:oddVBand="0" w:evenVBand="0" w:oddHBand="0" w:evenHBand="0" w:firstRowFirstColumn="0" w:firstRowLastColumn="0" w:lastRowFirstColumn="0" w:lastRowLastColumn="0"/>
            </w:pPr>
            <w:r>
              <w:t>Nivel de peso en función del IMC de los hombres</w:t>
            </w:r>
          </w:p>
        </w:tc>
      </w:tr>
      <w:tr w:rsidR="00F13A6D" w14:paraId="7BFF9C37" w14:textId="77777777" w:rsidTr="0023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420AEA76" w14:textId="0D8C1674" w:rsidR="00F13A6D" w:rsidRPr="0057384C" w:rsidRDefault="00F13A6D" w:rsidP="00B24FB2">
            <w:pPr>
              <w:pStyle w:val="Diana"/>
              <w:jc w:val="center"/>
              <w:rPr>
                <w:i/>
                <w:iCs/>
              </w:rPr>
            </w:pPr>
            <w:r>
              <w:rPr>
                <w:i/>
                <w:iCs/>
              </w:rPr>
              <w:t>Nivel de peso de las mujeres</w:t>
            </w:r>
          </w:p>
        </w:tc>
        <w:tc>
          <w:tcPr>
            <w:tcW w:w="5097" w:type="dxa"/>
            <w:vAlign w:val="center"/>
          </w:tcPr>
          <w:p w14:paraId="37D1859D" w14:textId="64481439" w:rsidR="00F13A6D" w:rsidRDefault="00F13A6D" w:rsidP="00B24FB2">
            <w:pPr>
              <w:pStyle w:val="Diana"/>
              <w:jc w:val="center"/>
              <w:cnfStyle w:val="000000100000" w:firstRow="0" w:lastRow="0" w:firstColumn="0" w:lastColumn="0" w:oddVBand="0" w:evenVBand="0" w:oddHBand="1" w:evenHBand="0" w:firstRowFirstColumn="0" w:firstRowLastColumn="0" w:lastRowFirstColumn="0" w:lastRowLastColumn="0"/>
            </w:pPr>
            <w:r>
              <w:t>Nivel de peso en función del IMC de las mujeres</w:t>
            </w:r>
          </w:p>
        </w:tc>
      </w:tr>
    </w:tbl>
    <w:p w14:paraId="46D9A5FD" w14:textId="030A62AD" w:rsidR="00F13A6D" w:rsidRDefault="00F13A6D" w:rsidP="00F13A6D"/>
    <w:p w14:paraId="407838D3" w14:textId="3675144B" w:rsidR="00F13A6D" w:rsidRDefault="004D73A2" w:rsidP="004D73A2">
      <w:pPr>
        <w:pStyle w:val="Diana"/>
      </w:pPr>
      <w:r>
        <w:t>Se mantendrá esta división entre hombres y mujeres</w:t>
      </w:r>
      <w:r w:rsidR="003D5A56">
        <w:t xml:space="preserve">, </w:t>
      </w:r>
      <w:r>
        <w:t>para después comprobar quiénes mantienen un mejor IMC en los distintos países del mundo</w:t>
      </w:r>
      <w:r w:rsidR="003D5A56">
        <w:t>.</w:t>
      </w:r>
    </w:p>
    <w:p w14:paraId="44985085" w14:textId="2255DEE7" w:rsidR="006657B0" w:rsidRDefault="006657B0" w:rsidP="004D73A2">
      <w:pPr>
        <w:pStyle w:val="Diana"/>
      </w:pPr>
    </w:p>
    <w:p w14:paraId="5354FC90" w14:textId="77777777" w:rsidR="006657B0" w:rsidRDefault="006657B0" w:rsidP="004D73A2">
      <w:pPr>
        <w:pStyle w:val="Diana"/>
      </w:pPr>
    </w:p>
    <w:p w14:paraId="6937EB58" w14:textId="1E8D4C69" w:rsidR="004A402F" w:rsidRDefault="004A402F" w:rsidP="004D73A2">
      <w:pPr>
        <w:pStyle w:val="Diana"/>
      </w:pPr>
      <w:r>
        <w:lastRenderedPageBreak/>
        <w:t>Se continúa con el siguiente fichero:</w:t>
      </w:r>
    </w:p>
    <w:tbl>
      <w:tblPr>
        <w:tblStyle w:val="Tablanormal1"/>
        <w:tblW w:w="0" w:type="auto"/>
        <w:tblLook w:val="04A0" w:firstRow="1" w:lastRow="0" w:firstColumn="1" w:lastColumn="0" w:noHBand="0" w:noVBand="1"/>
      </w:tblPr>
      <w:tblGrid>
        <w:gridCol w:w="4247"/>
        <w:gridCol w:w="4247"/>
      </w:tblGrid>
      <w:tr w:rsidR="004A402F" w14:paraId="78F067CF" w14:textId="77777777" w:rsidTr="00B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2B79C35" w14:textId="77777777" w:rsidR="004A402F" w:rsidRPr="00444803" w:rsidRDefault="004A402F" w:rsidP="00B24FB2">
            <w:pPr>
              <w:pStyle w:val="Diana"/>
              <w:jc w:val="center"/>
              <w:rPr>
                <w:b w:val="0"/>
                <w:bCs w:val="0"/>
              </w:rPr>
            </w:pPr>
            <w:r>
              <w:rPr>
                <w:i/>
                <w:iCs/>
              </w:rPr>
              <w:t>iq.xlsx</w:t>
            </w:r>
          </w:p>
        </w:tc>
      </w:tr>
      <w:tr w:rsidR="004A402F" w14:paraId="76564201"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9CB56C7" w14:textId="77777777" w:rsidR="004A402F" w:rsidRPr="0057384C" w:rsidRDefault="004A402F" w:rsidP="00B24FB2">
            <w:pPr>
              <w:pStyle w:val="Diana"/>
              <w:jc w:val="center"/>
              <w:rPr>
                <w:i/>
                <w:iCs/>
              </w:rPr>
            </w:pPr>
            <w:r w:rsidRPr="0057384C">
              <w:rPr>
                <w:i/>
                <w:iCs/>
              </w:rPr>
              <w:t>country</w:t>
            </w:r>
          </w:p>
        </w:tc>
        <w:tc>
          <w:tcPr>
            <w:tcW w:w="4247" w:type="dxa"/>
            <w:vAlign w:val="center"/>
          </w:tcPr>
          <w:p w14:paraId="48CCDD65" w14:textId="77777777" w:rsidR="004A402F" w:rsidRDefault="004A402F" w:rsidP="00B24FB2">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4A402F" w14:paraId="2046FD99"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662F2A28" w14:textId="77777777" w:rsidR="004A402F" w:rsidRPr="0057384C" w:rsidRDefault="004A402F" w:rsidP="00B24FB2">
            <w:pPr>
              <w:pStyle w:val="Diana"/>
              <w:jc w:val="center"/>
              <w:rPr>
                <w:i/>
                <w:iCs/>
              </w:rPr>
            </w:pPr>
            <w:proofErr w:type="spellStart"/>
            <w:r>
              <w:rPr>
                <w:i/>
                <w:iCs/>
              </w:rPr>
              <w:t>iq</w:t>
            </w:r>
            <w:proofErr w:type="spellEnd"/>
          </w:p>
        </w:tc>
        <w:tc>
          <w:tcPr>
            <w:tcW w:w="4247" w:type="dxa"/>
            <w:vAlign w:val="center"/>
          </w:tcPr>
          <w:p w14:paraId="3A711BDF" w14:textId="77777777" w:rsidR="004A402F" w:rsidRDefault="004A402F" w:rsidP="00B24FB2">
            <w:pPr>
              <w:pStyle w:val="Diana"/>
              <w:jc w:val="center"/>
              <w:cnfStyle w:val="000000000000" w:firstRow="0" w:lastRow="0" w:firstColumn="0" w:lastColumn="0" w:oddVBand="0" w:evenVBand="0" w:oddHBand="0" w:evenHBand="0" w:firstRowFirstColumn="0" w:firstRowLastColumn="0" w:lastRowFirstColumn="0" w:lastRowLastColumn="0"/>
            </w:pPr>
            <w:r>
              <w:t>Cociente intelectual medio</w:t>
            </w:r>
          </w:p>
        </w:tc>
      </w:tr>
      <w:tr w:rsidR="004A402F" w14:paraId="4037E2A3"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E7BAA47" w14:textId="77777777" w:rsidR="004A402F" w:rsidRPr="0057384C" w:rsidRDefault="004A402F" w:rsidP="00B24FB2">
            <w:pPr>
              <w:pStyle w:val="Diana"/>
              <w:jc w:val="center"/>
              <w:rPr>
                <w:i/>
                <w:iCs/>
              </w:rPr>
            </w:pPr>
            <w:proofErr w:type="spellStart"/>
            <w:r w:rsidRPr="00444803">
              <w:rPr>
                <w:i/>
                <w:iCs/>
              </w:rPr>
              <w:t>education_expenditure_per_inhabitant</w:t>
            </w:r>
            <w:proofErr w:type="spellEnd"/>
          </w:p>
        </w:tc>
        <w:tc>
          <w:tcPr>
            <w:tcW w:w="4247" w:type="dxa"/>
            <w:vAlign w:val="center"/>
          </w:tcPr>
          <w:p w14:paraId="49403B83" w14:textId="77777777" w:rsidR="004A402F" w:rsidRDefault="004A402F" w:rsidP="00B24FB2">
            <w:pPr>
              <w:pStyle w:val="Diana"/>
              <w:jc w:val="center"/>
              <w:cnfStyle w:val="000000100000" w:firstRow="0" w:lastRow="0" w:firstColumn="0" w:lastColumn="0" w:oddVBand="0" w:evenVBand="0" w:oddHBand="1" w:evenHBand="0" w:firstRowFirstColumn="0" w:firstRowLastColumn="0" w:lastRowFirstColumn="0" w:lastRowLastColumn="0"/>
            </w:pPr>
            <w:r>
              <w:t>Gasto en educación en dólares</w:t>
            </w:r>
          </w:p>
        </w:tc>
      </w:tr>
      <w:tr w:rsidR="004A402F" w14:paraId="50142AA9"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3AFE5D15" w14:textId="77777777" w:rsidR="004A402F" w:rsidRPr="0057384C" w:rsidRDefault="004A402F" w:rsidP="00B24FB2">
            <w:pPr>
              <w:pStyle w:val="Diana"/>
              <w:jc w:val="center"/>
              <w:rPr>
                <w:i/>
                <w:iCs/>
              </w:rPr>
            </w:pPr>
            <w:proofErr w:type="spellStart"/>
            <w:r w:rsidRPr="00444803">
              <w:rPr>
                <w:i/>
                <w:iCs/>
              </w:rPr>
              <w:t>daily_max_temp</w:t>
            </w:r>
            <w:proofErr w:type="spellEnd"/>
          </w:p>
        </w:tc>
        <w:tc>
          <w:tcPr>
            <w:tcW w:w="4247" w:type="dxa"/>
            <w:vAlign w:val="center"/>
          </w:tcPr>
          <w:p w14:paraId="4B45CE9D" w14:textId="77777777" w:rsidR="004A402F" w:rsidRDefault="004A402F" w:rsidP="00B24FB2">
            <w:pPr>
              <w:pStyle w:val="Diana"/>
              <w:jc w:val="center"/>
              <w:cnfStyle w:val="000000000000" w:firstRow="0" w:lastRow="0" w:firstColumn="0" w:lastColumn="0" w:oddVBand="0" w:evenVBand="0" w:oddHBand="0" w:evenHBand="0" w:firstRowFirstColumn="0" w:firstRowLastColumn="0" w:lastRowFirstColumn="0" w:lastRowLastColumn="0"/>
            </w:pPr>
            <w:r>
              <w:t>Temperatura máxima al día en grados Celsius</w:t>
            </w:r>
          </w:p>
        </w:tc>
      </w:tr>
    </w:tbl>
    <w:p w14:paraId="17B37A84" w14:textId="2DB91656" w:rsidR="00F13A6D" w:rsidRDefault="00F13A6D" w:rsidP="00F13A6D"/>
    <w:p w14:paraId="0042583A" w14:textId="68808A33" w:rsidR="004A402F" w:rsidRDefault="004A402F" w:rsidP="004A402F">
      <w:pPr>
        <w:pStyle w:val="Diana"/>
      </w:pPr>
      <w:r>
        <w:t xml:space="preserve">En este caso, los únicos datos que van a interesar son los de la columna de </w:t>
      </w:r>
      <w:proofErr w:type="spellStart"/>
      <w:r>
        <w:rPr>
          <w:i/>
          <w:iCs/>
        </w:rPr>
        <w:t>iq</w:t>
      </w:r>
      <w:proofErr w:type="spellEnd"/>
      <w:r w:rsidR="003160F3">
        <w:t xml:space="preserve"> (estará en formato numérico)</w:t>
      </w:r>
      <w:r>
        <w:t>, de modo que se eliminan las anteriores y se añadirá una columna denominada categoría, que medirá el nivel de inteligencia de los habitantes en función del valor del cociente intelectual, siguiendo el siguiente criterio:</w:t>
      </w:r>
    </w:p>
    <w:p w14:paraId="1D89FE04" w14:textId="2F842714" w:rsidR="004A402F" w:rsidRDefault="004A402F" w:rsidP="004A402F">
      <w:pPr>
        <w:pStyle w:val="Diana"/>
        <w:numPr>
          <w:ilvl w:val="0"/>
          <w:numId w:val="39"/>
        </w:numPr>
      </w:pPr>
      <w:r>
        <w:t>Muy dotada: 130 o más</w:t>
      </w:r>
    </w:p>
    <w:p w14:paraId="7BDC0886" w14:textId="52739413" w:rsidR="004A402F" w:rsidRDefault="004A402F" w:rsidP="004A402F">
      <w:pPr>
        <w:pStyle w:val="Diana"/>
        <w:numPr>
          <w:ilvl w:val="0"/>
          <w:numId w:val="39"/>
        </w:numPr>
      </w:pPr>
      <w:r>
        <w:t>Dotada: entre 121 y 130</w:t>
      </w:r>
    </w:p>
    <w:p w14:paraId="008C5F22" w14:textId="0E46AB93" w:rsidR="004A402F" w:rsidRDefault="004A402F" w:rsidP="004A402F">
      <w:pPr>
        <w:pStyle w:val="Diana"/>
        <w:numPr>
          <w:ilvl w:val="0"/>
          <w:numId w:val="39"/>
        </w:numPr>
      </w:pPr>
      <w:r>
        <w:t>Inteligencia por encima de la media: entre 111 y 120</w:t>
      </w:r>
    </w:p>
    <w:p w14:paraId="4830D588" w14:textId="08A20C55" w:rsidR="004A402F" w:rsidRDefault="004A402F" w:rsidP="004A402F">
      <w:pPr>
        <w:pStyle w:val="Diana"/>
        <w:numPr>
          <w:ilvl w:val="0"/>
          <w:numId w:val="39"/>
        </w:numPr>
      </w:pPr>
      <w:r>
        <w:t>Inteligencia media: 90-110</w:t>
      </w:r>
    </w:p>
    <w:p w14:paraId="4BBFC5E9" w14:textId="3DC99E8F" w:rsidR="004A402F" w:rsidRDefault="004A402F" w:rsidP="004A402F">
      <w:pPr>
        <w:pStyle w:val="Diana"/>
        <w:numPr>
          <w:ilvl w:val="0"/>
          <w:numId w:val="39"/>
        </w:numPr>
      </w:pPr>
      <w:r>
        <w:t>Inteligencia por debajo de la media: 80-89</w:t>
      </w:r>
    </w:p>
    <w:p w14:paraId="08A87127" w14:textId="6073F135" w:rsidR="00FE7171" w:rsidRDefault="004A402F" w:rsidP="004A402F">
      <w:pPr>
        <w:pStyle w:val="Diana"/>
        <w:numPr>
          <w:ilvl w:val="0"/>
          <w:numId w:val="39"/>
        </w:numPr>
      </w:pPr>
      <w:r>
        <w:t>Discapacidad intelectual: 79-70</w:t>
      </w:r>
    </w:p>
    <w:p w14:paraId="64CE25E9" w14:textId="77777777" w:rsidR="00FE7171" w:rsidRDefault="00FE7171" w:rsidP="00FE7171">
      <w:pPr>
        <w:pStyle w:val="Diana"/>
        <w:keepNext/>
        <w:jc w:val="center"/>
      </w:pPr>
      <w:r>
        <w:rPr>
          <w:noProof/>
        </w:rPr>
        <w:drawing>
          <wp:inline distT="0" distB="0" distL="0" distR="0" wp14:anchorId="4FC1ACC9" wp14:editId="34C0DC7B">
            <wp:extent cx="5400040" cy="168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338" b="18269"/>
                    <a:stretch/>
                  </pic:blipFill>
                  <pic:spPr bwMode="auto">
                    <a:xfrm>
                      <a:off x="0" y="0"/>
                      <a:ext cx="5400040" cy="1682750"/>
                    </a:xfrm>
                    <a:prstGeom prst="rect">
                      <a:avLst/>
                    </a:prstGeom>
                    <a:ln>
                      <a:noFill/>
                    </a:ln>
                    <a:extLst>
                      <a:ext uri="{53640926-AAD7-44D8-BBD7-CCE9431645EC}">
                        <a14:shadowObscured xmlns:a14="http://schemas.microsoft.com/office/drawing/2010/main"/>
                      </a:ext>
                    </a:extLst>
                  </pic:spPr>
                </pic:pic>
              </a:graphicData>
            </a:graphic>
          </wp:inline>
        </w:drawing>
      </w:r>
    </w:p>
    <w:p w14:paraId="4D9D4EF5" w14:textId="457F2CBC" w:rsidR="004A402F" w:rsidRPr="00FE7171" w:rsidRDefault="00FE7171" w:rsidP="00FE7171">
      <w:pPr>
        <w:pStyle w:val="Descripcin"/>
        <w:jc w:val="center"/>
        <w:rPr>
          <w:rFonts w:ascii="Times New Roman" w:hAnsi="Times New Roman" w:cs="Times New Roman"/>
        </w:rPr>
      </w:pPr>
      <w:r w:rsidRPr="00FE7171">
        <w:rPr>
          <w:rFonts w:ascii="Times New Roman" w:hAnsi="Times New Roman" w:cs="Times New Roman"/>
        </w:rPr>
        <w:t xml:space="preserve">Ilustración </w:t>
      </w:r>
      <w:r w:rsidRPr="00FE7171">
        <w:rPr>
          <w:rFonts w:ascii="Times New Roman" w:hAnsi="Times New Roman" w:cs="Times New Roman"/>
        </w:rPr>
        <w:fldChar w:fldCharType="begin"/>
      </w:r>
      <w:r w:rsidRPr="00FE7171">
        <w:rPr>
          <w:rFonts w:ascii="Times New Roman" w:hAnsi="Times New Roman" w:cs="Times New Roman"/>
        </w:rPr>
        <w:instrText xml:space="preserve"> SEQ Ilustración \* ARABIC </w:instrText>
      </w:r>
      <w:r w:rsidRPr="00FE7171">
        <w:rPr>
          <w:rFonts w:ascii="Times New Roman" w:hAnsi="Times New Roman" w:cs="Times New Roman"/>
        </w:rPr>
        <w:fldChar w:fldCharType="separate"/>
      </w:r>
      <w:r w:rsidR="00694290">
        <w:rPr>
          <w:rFonts w:ascii="Times New Roman" w:hAnsi="Times New Roman" w:cs="Times New Roman"/>
          <w:noProof/>
        </w:rPr>
        <w:t>4</w:t>
      </w:r>
      <w:r w:rsidRPr="00FE7171">
        <w:rPr>
          <w:rFonts w:ascii="Times New Roman" w:hAnsi="Times New Roman" w:cs="Times New Roman"/>
        </w:rPr>
        <w:fldChar w:fldCharType="end"/>
      </w:r>
      <w:r w:rsidRPr="00FE7171">
        <w:rPr>
          <w:rFonts w:ascii="Times New Roman" w:hAnsi="Times New Roman" w:cs="Times New Roman"/>
        </w:rPr>
        <w:t xml:space="preserve">: categoría por países en función de su </w:t>
      </w:r>
      <w:proofErr w:type="spellStart"/>
      <w:r w:rsidRPr="00FE7171">
        <w:rPr>
          <w:rFonts w:ascii="Times New Roman" w:hAnsi="Times New Roman" w:cs="Times New Roman"/>
        </w:rPr>
        <w:t>iq</w:t>
      </w:r>
      <w:proofErr w:type="spellEnd"/>
    </w:p>
    <w:p w14:paraId="4485E6A1" w14:textId="77777777" w:rsidR="006657B0" w:rsidRDefault="006657B0" w:rsidP="00723807">
      <w:pPr>
        <w:pStyle w:val="Diana"/>
      </w:pPr>
    </w:p>
    <w:p w14:paraId="38BBB75C" w14:textId="77777777" w:rsidR="006657B0" w:rsidRDefault="006657B0" w:rsidP="00723807">
      <w:pPr>
        <w:pStyle w:val="Diana"/>
      </w:pPr>
    </w:p>
    <w:p w14:paraId="0ECAAC2D" w14:textId="77777777" w:rsidR="006657B0" w:rsidRDefault="006657B0" w:rsidP="00723807">
      <w:pPr>
        <w:pStyle w:val="Diana"/>
      </w:pPr>
    </w:p>
    <w:p w14:paraId="74928F9B" w14:textId="547D2545" w:rsidR="00F13A6D" w:rsidRDefault="00370B79" w:rsidP="00370B79">
      <w:pPr>
        <w:pStyle w:val="Diana"/>
      </w:pPr>
      <w:r>
        <w:lastRenderedPageBreak/>
        <w:t>El fichero resultante almacena la siguiente información:</w:t>
      </w:r>
    </w:p>
    <w:tbl>
      <w:tblPr>
        <w:tblStyle w:val="Tablanormal1"/>
        <w:tblW w:w="0" w:type="auto"/>
        <w:tblLook w:val="04A0" w:firstRow="1" w:lastRow="0" w:firstColumn="1" w:lastColumn="0" w:noHBand="0" w:noVBand="1"/>
      </w:tblPr>
      <w:tblGrid>
        <w:gridCol w:w="4247"/>
        <w:gridCol w:w="4247"/>
      </w:tblGrid>
      <w:tr w:rsidR="00370B79" w14:paraId="2F0CEE1C" w14:textId="77777777" w:rsidTr="00B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6D907CB" w14:textId="77777777" w:rsidR="00370B79" w:rsidRPr="00444803" w:rsidRDefault="00370B79" w:rsidP="00B24FB2">
            <w:pPr>
              <w:pStyle w:val="Diana"/>
              <w:jc w:val="center"/>
              <w:rPr>
                <w:b w:val="0"/>
                <w:bCs w:val="0"/>
              </w:rPr>
            </w:pPr>
            <w:r>
              <w:rPr>
                <w:i/>
                <w:iCs/>
              </w:rPr>
              <w:t>iq.xlsx</w:t>
            </w:r>
          </w:p>
        </w:tc>
      </w:tr>
      <w:tr w:rsidR="00370B79" w14:paraId="4B77EE6B"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E176936" w14:textId="77777777" w:rsidR="00370B79" w:rsidRPr="0057384C" w:rsidRDefault="00370B79" w:rsidP="00B24FB2">
            <w:pPr>
              <w:pStyle w:val="Diana"/>
              <w:jc w:val="center"/>
              <w:rPr>
                <w:i/>
                <w:iCs/>
              </w:rPr>
            </w:pPr>
            <w:r w:rsidRPr="0057384C">
              <w:rPr>
                <w:i/>
                <w:iCs/>
              </w:rPr>
              <w:t>country</w:t>
            </w:r>
          </w:p>
        </w:tc>
        <w:tc>
          <w:tcPr>
            <w:tcW w:w="4247" w:type="dxa"/>
            <w:vAlign w:val="center"/>
          </w:tcPr>
          <w:p w14:paraId="032C0993" w14:textId="77777777" w:rsidR="00370B79" w:rsidRDefault="00370B79" w:rsidP="00B24FB2">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370B79" w14:paraId="04DD7C0D"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53026A8B" w14:textId="77777777" w:rsidR="00370B79" w:rsidRPr="0057384C" w:rsidRDefault="00370B79" w:rsidP="00B24FB2">
            <w:pPr>
              <w:pStyle w:val="Diana"/>
              <w:jc w:val="center"/>
              <w:rPr>
                <w:i/>
                <w:iCs/>
              </w:rPr>
            </w:pPr>
            <w:proofErr w:type="spellStart"/>
            <w:r>
              <w:rPr>
                <w:i/>
                <w:iCs/>
              </w:rPr>
              <w:t>iq</w:t>
            </w:r>
            <w:proofErr w:type="spellEnd"/>
          </w:p>
        </w:tc>
        <w:tc>
          <w:tcPr>
            <w:tcW w:w="4247" w:type="dxa"/>
            <w:vAlign w:val="center"/>
          </w:tcPr>
          <w:p w14:paraId="1EBE4804" w14:textId="36D10D54" w:rsidR="00370B79" w:rsidRDefault="00370B79" w:rsidP="00B24FB2">
            <w:pPr>
              <w:pStyle w:val="Diana"/>
              <w:jc w:val="center"/>
              <w:cnfStyle w:val="000000000000" w:firstRow="0" w:lastRow="0" w:firstColumn="0" w:lastColumn="0" w:oddVBand="0" w:evenVBand="0" w:oddHBand="0" w:evenHBand="0" w:firstRowFirstColumn="0" w:firstRowLastColumn="0" w:lastRowFirstColumn="0" w:lastRowLastColumn="0"/>
            </w:pPr>
            <w:r>
              <w:t>Cociente intelectual medio</w:t>
            </w:r>
            <w:r w:rsidR="00F635F4">
              <w:t xml:space="preserve"> (en números)</w:t>
            </w:r>
          </w:p>
        </w:tc>
      </w:tr>
      <w:tr w:rsidR="00370B79" w14:paraId="33563783"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FECB3D9" w14:textId="7FA35F3F" w:rsidR="00370B79" w:rsidRPr="0057384C" w:rsidRDefault="00370B79" w:rsidP="00B24FB2">
            <w:pPr>
              <w:pStyle w:val="Diana"/>
              <w:jc w:val="center"/>
              <w:rPr>
                <w:i/>
                <w:iCs/>
              </w:rPr>
            </w:pPr>
            <w:r>
              <w:rPr>
                <w:i/>
                <w:iCs/>
              </w:rPr>
              <w:t>Categoría</w:t>
            </w:r>
          </w:p>
        </w:tc>
        <w:tc>
          <w:tcPr>
            <w:tcW w:w="4247" w:type="dxa"/>
            <w:vAlign w:val="center"/>
          </w:tcPr>
          <w:p w14:paraId="76BC5D5A" w14:textId="1C2E5B04" w:rsidR="00370B79" w:rsidRDefault="00370B79" w:rsidP="00B24FB2">
            <w:pPr>
              <w:pStyle w:val="Diana"/>
              <w:jc w:val="center"/>
              <w:cnfStyle w:val="000000100000" w:firstRow="0" w:lastRow="0" w:firstColumn="0" w:lastColumn="0" w:oddVBand="0" w:evenVBand="0" w:oddHBand="1" w:evenHBand="0" w:firstRowFirstColumn="0" w:firstRowLastColumn="0" w:lastRowFirstColumn="0" w:lastRowLastColumn="0"/>
            </w:pPr>
            <w:r>
              <w:t xml:space="preserve">Categoría en función del </w:t>
            </w:r>
            <w:proofErr w:type="spellStart"/>
            <w:r>
              <w:t>iq</w:t>
            </w:r>
            <w:proofErr w:type="spellEnd"/>
          </w:p>
        </w:tc>
      </w:tr>
    </w:tbl>
    <w:p w14:paraId="662B08CE" w14:textId="77777777" w:rsidR="006657B0" w:rsidRDefault="006657B0" w:rsidP="005B7859">
      <w:pPr>
        <w:pStyle w:val="Diana"/>
      </w:pPr>
    </w:p>
    <w:p w14:paraId="73C89846" w14:textId="103BEE20" w:rsidR="0023147C" w:rsidRDefault="001B50E4" w:rsidP="005B7859">
      <w:pPr>
        <w:pStyle w:val="Diana"/>
      </w:pPr>
      <w:r>
        <w:t>Se continúa con el siguiente fichero:</w:t>
      </w:r>
    </w:p>
    <w:tbl>
      <w:tblPr>
        <w:tblStyle w:val="Tablanormal1"/>
        <w:tblW w:w="0" w:type="auto"/>
        <w:tblLook w:val="04A0" w:firstRow="1" w:lastRow="0" w:firstColumn="1" w:lastColumn="0" w:noHBand="0" w:noVBand="1"/>
      </w:tblPr>
      <w:tblGrid>
        <w:gridCol w:w="4247"/>
        <w:gridCol w:w="4247"/>
      </w:tblGrid>
      <w:tr w:rsidR="005B7859" w14:paraId="563BAA64" w14:textId="77777777" w:rsidTr="00B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F68E590" w14:textId="77777777" w:rsidR="005B7859" w:rsidRPr="0057384C" w:rsidRDefault="005B7859" w:rsidP="00B24FB2">
            <w:pPr>
              <w:pStyle w:val="Diana"/>
              <w:jc w:val="center"/>
              <w:rPr>
                <w:i/>
                <w:iCs/>
              </w:rPr>
            </w:pPr>
            <w:r w:rsidRPr="0087137B">
              <w:rPr>
                <w:i/>
                <w:iCs/>
              </w:rPr>
              <w:t>life_expectancy</w:t>
            </w:r>
            <w:r>
              <w:rPr>
                <w:i/>
                <w:iCs/>
              </w:rPr>
              <w:t>.xlsx</w:t>
            </w:r>
          </w:p>
        </w:tc>
      </w:tr>
      <w:tr w:rsidR="005B7859" w14:paraId="0989CDC8"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A049971" w14:textId="77777777" w:rsidR="005B7859" w:rsidRPr="0057384C" w:rsidRDefault="005B7859" w:rsidP="00B24FB2">
            <w:pPr>
              <w:pStyle w:val="Diana"/>
              <w:jc w:val="center"/>
              <w:rPr>
                <w:i/>
                <w:iCs/>
              </w:rPr>
            </w:pPr>
            <w:r w:rsidRPr="0057384C">
              <w:rPr>
                <w:i/>
                <w:iCs/>
              </w:rPr>
              <w:t>country</w:t>
            </w:r>
          </w:p>
        </w:tc>
        <w:tc>
          <w:tcPr>
            <w:tcW w:w="4247" w:type="dxa"/>
            <w:vAlign w:val="center"/>
          </w:tcPr>
          <w:p w14:paraId="2D7F5919" w14:textId="77777777" w:rsidR="005B7859" w:rsidRDefault="005B7859" w:rsidP="00B24FB2">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5B7859" w14:paraId="6A60DA38"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06A81FE4" w14:textId="77777777" w:rsidR="005B7859" w:rsidRPr="0057384C" w:rsidRDefault="005B7859" w:rsidP="00B24FB2">
            <w:pPr>
              <w:pStyle w:val="Diana"/>
              <w:jc w:val="center"/>
              <w:rPr>
                <w:i/>
                <w:iCs/>
              </w:rPr>
            </w:pPr>
            <w:proofErr w:type="spellStart"/>
            <w:r w:rsidRPr="0087137B">
              <w:rPr>
                <w:i/>
                <w:iCs/>
              </w:rPr>
              <w:t>male_life_expectancy</w:t>
            </w:r>
            <w:proofErr w:type="spellEnd"/>
          </w:p>
        </w:tc>
        <w:tc>
          <w:tcPr>
            <w:tcW w:w="4247" w:type="dxa"/>
            <w:vAlign w:val="center"/>
          </w:tcPr>
          <w:p w14:paraId="7ADC2413" w14:textId="4AC2987F" w:rsidR="005B7859" w:rsidRDefault="005B7859" w:rsidP="00B24FB2">
            <w:pPr>
              <w:pStyle w:val="Diana"/>
              <w:jc w:val="center"/>
              <w:cnfStyle w:val="000000000000" w:firstRow="0" w:lastRow="0" w:firstColumn="0" w:lastColumn="0" w:oddVBand="0" w:evenVBand="0" w:oddHBand="0" w:evenHBand="0" w:firstRowFirstColumn="0" w:firstRowLastColumn="0" w:lastRowFirstColumn="0" w:lastRowLastColumn="0"/>
            </w:pPr>
            <w:r>
              <w:t>Esperanza de vida de los hombres</w:t>
            </w:r>
            <w:r w:rsidR="00F635F4">
              <w:t xml:space="preserve"> (en años)</w:t>
            </w:r>
          </w:p>
        </w:tc>
      </w:tr>
      <w:tr w:rsidR="005B7859" w14:paraId="03B76BED"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0A09726" w14:textId="77777777" w:rsidR="005B7859" w:rsidRPr="0057384C" w:rsidRDefault="005B7859" w:rsidP="00B24FB2">
            <w:pPr>
              <w:pStyle w:val="Diana"/>
              <w:jc w:val="center"/>
              <w:rPr>
                <w:i/>
                <w:iCs/>
              </w:rPr>
            </w:pPr>
            <w:proofErr w:type="spellStart"/>
            <w:r w:rsidRPr="0087137B">
              <w:rPr>
                <w:i/>
                <w:iCs/>
              </w:rPr>
              <w:t>female_life_expectancy</w:t>
            </w:r>
            <w:proofErr w:type="spellEnd"/>
          </w:p>
        </w:tc>
        <w:tc>
          <w:tcPr>
            <w:tcW w:w="4247" w:type="dxa"/>
            <w:vAlign w:val="center"/>
          </w:tcPr>
          <w:p w14:paraId="4BD3497F" w14:textId="101F5284" w:rsidR="005B7859" w:rsidRDefault="005B7859" w:rsidP="00B24FB2">
            <w:pPr>
              <w:pStyle w:val="Diana"/>
              <w:jc w:val="center"/>
              <w:cnfStyle w:val="000000100000" w:firstRow="0" w:lastRow="0" w:firstColumn="0" w:lastColumn="0" w:oddVBand="0" w:evenVBand="0" w:oddHBand="1" w:evenHBand="0" w:firstRowFirstColumn="0" w:firstRowLastColumn="0" w:lastRowFirstColumn="0" w:lastRowLastColumn="0"/>
            </w:pPr>
            <w:r>
              <w:t>Esperanza de vida de las mujeres</w:t>
            </w:r>
            <w:r w:rsidR="00F635F4">
              <w:t xml:space="preserve"> (en años)</w:t>
            </w:r>
          </w:p>
        </w:tc>
      </w:tr>
      <w:tr w:rsidR="005B7859" w14:paraId="22F03BDE"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2EB40DF5" w14:textId="77777777" w:rsidR="005B7859" w:rsidRPr="0057384C" w:rsidRDefault="005B7859" w:rsidP="00B24FB2">
            <w:pPr>
              <w:pStyle w:val="Diana"/>
              <w:jc w:val="center"/>
              <w:rPr>
                <w:i/>
                <w:iCs/>
              </w:rPr>
            </w:pPr>
            <w:proofErr w:type="spellStart"/>
            <w:r w:rsidRPr="0087137B">
              <w:rPr>
                <w:i/>
                <w:iCs/>
              </w:rPr>
              <w:t>birth_rate</w:t>
            </w:r>
            <w:proofErr w:type="spellEnd"/>
          </w:p>
        </w:tc>
        <w:tc>
          <w:tcPr>
            <w:tcW w:w="4247" w:type="dxa"/>
            <w:vAlign w:val="center"/>
          </w:tcPr>
          <w:p w14:paraId="4C8845F2" w14:textId="690F0082" w:rsidR="005B7859" w:rsidRDefault="005B7859" w:rsidP="00B24FB2">
            <w:pPr>
              <w:pStyle w:val="Diana"/>
              <w:jc w:val="center"/>
              <w:cnfStyle w:val="000000000000" w:firstRow="0" w:lastRow="0" w:firstColumn="0" w:lastColumn="0" w:oddVBand="0" w:evenVBand="0" w:oddHBand="0" w:evenHBand="0" w:firstRowFirstColumn="0" w:firstRowLastColumn="0" w:lastRowFirstColumn="0" w:lastRowLastColumn="0"/>
            </w:pPr>
            <w:r>
              <w:t>Tasa de natalidad</w:t>
            </w:r>
            <w:r w:rsidR="00F635F4">
              <w:t xml:space="preserve"> (en tanto por mil)</w:t>
            </w:r>
          </w:p>
        </w:tc>
      </w:tr>
      <w:tr w:rsidR="005B7859" w14:paraId="7FA2C0DA"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357D26" w14:textId="77777777" w:rsidR="005B7859" w:rsidRPr="0057384C" w:rsidRDefault="005B7859" w:rsidP="00B24FB2">
            <w:pPr>
              <w:pStyle w:val="Diana"/>
              <w:jc w:val="center"/>
              <w:rPr>
                <w:i/>
                <w:iCs/>
              </w:rPr>
            </w:pPr>
            <w:proofErr w:type="spellStart"/>
            <w:r w:rsidRPr="0087137B">
              <w:rPr>
                <w:i/>
                <w:iCs/>
              </w:rPr>
              <w:t>death_rate</w:t>
            </w:r>
            <w:proofErr w:type="spellEnd"/>
          </w:p>
        </w:tc>
        <w:tc>
          <w:tcPr>
            <w:tcW w:w="4247" w:type="dxa"/>
            <w:vAlign w:val="center"/>
          </w:tcPr>
          <w:p w14:paraId="200F2247" w14:textId="7CFFC80D" w:rsidR="005B7859" w:rsidRDefault="005B7859" w:rsidP="00B24FB2">
            <w:pPr>
              <w:pStyle w:val="Diana"/>
              <w:jc w:val="center"/>
              <w:cnfStyle w:val="000000100000" w:firstRow="0" w:lastRow="0" w:firstColumn="0" w:lastColumn="0" w:oddVBand="0" w:evenVBand="0" w:oddHBand="1" w:evenHBand="0" w:firstRowFirstColumn="0" w:firstRowLastColumn="0" w:lastRowFirstColumn="0" w:lastRowLastColumn="0"/>
            </w:pPr>
            <w:r>
              <w:t>Índice de mortalidad</w:t>
            </w:r>
            <w:r w:rsidR="00F635F4">
              <w:t xml:space="preserve"> (en tanto por mil)</w:t>
            </w:r>
          </w:p>
        </w:tc>
      </w:tr>
    </w:tbl>
    <w:p w14:paraId="580F984E" w14:textId="6952C5EB" w:rsidR="0023147C" w:rsidRDefault="0023147C" w:rsidP="00F13A6D"/>
    <w:p w14:paraId="277FC38E" w14:textId="3E3462A6" w:rsidR="0023147C" w:rsidRDefault="005B7859" w:rsidP="005B7859">
      <w:pPr>
        <w:pStyle w:val="Diana"/>
      </w:pPr>
      <w:r>
        <w:t>De este fichero interesan todos los datos, de modo que, lo único que se hará será modificar el formato de los números (sustituir puntos por comas y poner en formato numérico, poner en formato tanto por mil las tasas).</w:t>
      </w:r>
    </w:p>
    <w:p w14:paraId="0A1471C9" w14:textId="656CC31A" w:rsidR="003E76A7" w:rsidRDefault="003E76A7" w:rsidP="005B7859">
      <w:pPr>
        <w:pStyle w:val="Diana"/>
      </w:pPr>
      <w:r>
        <w:t>Del último fichero:</w:t>
      </w:r>
    </w:p>
    <w:tbl>
      <w:tblPr>
        <w:tblStyle w:val="Tablanormal1"/>
        <w:tblW w:w="0" w:type="auto"/>
        <w:tblLook w:val="04A0" w:firstRow="1" w:lastRow="0" w:firstColumn="1" w:lastColumn="0" w:noHBand="0" w:noVBand="1"/>
      </w:tblPr>
      <w:tblGrid>
        <w:gridCol w:w="4247"/>
        <w:gridCol w:w="4247"/>
      </w:tblGrid>
      <w:tr w:rsidR="003E76A7" w14:paraId="1391E056" w14:textId="77777777" w:rsidTr="00B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B7A0800" w14:textId="77777777" w:rsidR="003E76A7" w:rsidRPr="0057384C" w:rsidRDefault="003E76A7" w:rsidP="00B24FB2">
            <w:pPr>
              <w:pStyle w:val="Diana"/>
              <w:jc w:val="center"/>
              <w:rPr>
                <w:i/>
                <w:iCs/>
              </w:rPr>
            </w:pPr>
            <w:r>
              <w:rPr>
                <w:i/>
                <w:iCs/>
              </w:rPr>
              <w:t>quality_of_life.xlsx</w:t>
            </w:r>
          </w:p>
        </w:tc>
      </w:tr>
      <w:tr w:rsidR="003E76A7" w14:paraId="0A8B531C"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E58124A" w14:textId="77777777" w:rsidR="003E76A7" w:rsidRPr="0057384C" w:rsidRDefault="003E76A7" w:rsidP="00B24FB2">
            <w:pPr>
              <w:pStyle w:val="Diana"/>
              <w:jc w:val="center"/>
              <w:rPr>
                <w:i/>
                <w:iCs/>
              </w:rPr>
            </w:pPr>
            <w:r w:rsidRPr="0057384C">
              <w:rPr>
                <w:i/>
                <w:iCs/>
              </w:rPr>
              <w:t>country</w:t>
            </w:r>
          </w:p>
        </w:tc>
        <w:tc>
          <w:tcPr>
            <w:tcW w:w="4247" w:type="dxa"/>
            <w:vAlign w:val="center"/>
          </w:tcPr>
          <w:p w14:paraId="73C292EC" w14:textId="77777777" w:rsidR="003E76A7" w:rsidRDefault="003E76A7" w:rsidP="00B24FB2">
            <w:pPr>
              <w:pStyle w:val="Diana"/>
              <w:jc w:val="center"/>
              <w:cnfStyle w:val="000000100000" w:firstRow="0" w:lastRow="0" w:firstColumn="0" w:lastColumn="0" w:oddVBand="0" w:evenVBand="0" w:oddHBand="1" w:evenHBand="0" w:firstRowFirstColumn="0" w:firstRowLastColumn="0" w:lastRowFirstColumn="0" w:lastRowLastColumn="0"/>
            </w:pPr>
            <w:r>
              <w:t>País</w:t>
            </w:r>
          </w:p>
        </w:tc>
      </w:tr>
      <w:tr w:rsidR="003E76A7" w14:paraId="385114CF"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1E0017E4" w14:textId="77777777" w:rsidR="003E76A7" w:rsidRPr="0057384C" w:rsidRDefault="003E76A7" w:rsidP="00B24FB2">
            <w:pPr>
              <w:pStyle w:val="Diana"/>
              <w:jc w:val="center"/>
              <w:rPr>
                <w:i/>
                <w:iCs/>
              </w:rPr>
            </w:pPr>
            <w:proofErr w:type="spellStart"/>
            <w:r w:rsidRPr="00912E4C">
              <w:rPr>
                <w:i/>
                <w:iCs/>
              </w:rPr>
              <w:t>stability</w:t>
            </w:r>
            <w:proofErr w:type="spellEnd"/>
          </w:p>
        </w:tc>
        <w:tc>
          <w:tcPr>
            <w:tcW w:w="4247" w:type="dxa"/>
            <w:vAlign w:val="center"/>
          </w:tcPr>
          <w:p w14:paraId="04A13A95" w14:textId="77777777" w:rsidR="003E76A7" w:rsidRPr="00912E4C" w:rsidRDefault="003E76A7" w:rsidP="00B24FB2">
            <w:pPr>
              <w:pStyle w:val="Diana"/>
              <w:jc w:val="center"/>
              <w:cnfStyle w:val="000000000000" w:firstRow="0" w:lastRow="0" w:firstColumn="0" w:lastColumn="0" w:oddVBand="0" w:evenVBand="0" w:oddHBand="0" w:evenHBand="0" w:firstRowFirstColumn="0" w:firstRowLastColumn="0" w:lastRowFirstColumn="0" w:lastRowLastColumn="0"/>
              <w:rPr>
                <w:vertAlign w:val="superscript"/>
              </w:rPr>
            </w:pPr>
            <w:r>
              <w:t>Estabilidad sobre 100</w:t>
            </w:r>
          </w:p>
        </w:tc>
      </w:tr>
      <w:tr w:rsidR="003E76A7" w14:paraId="5770C6A6"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9982943" w14:textId="77777777" w:rsidR="003E76A7" w:rsidRPr="0057384C" w:rsidRDefault="003E76A7" w:rsidP="00B24FB2">
            <w:pPr>
              <w:pStyle w:val="Diana"/>
              <w:jc w:val="center"/>
              <w:rPr>
                <w:i/>
                <w:iCs/>
              </w:rPr>
            </w:pPr>
            <w:proofErr w:type="spellStart"/>
            <w:r w:rsidRPr="00912E4C">
              <w:rPr>
                <w:i/>
                <w:iCs/>
              </w:rPr>
              <w:t>rights</w:t>
            </w:r>
            <w:proofErr w:type="spellEnd"/>
          </w:p>
        </w:tc>
        <w:tc>
          <w:tcPr>
            <w:tcW w:w="4247" w:type="dxa"/>
            <w:vAlign w:val="center"/>
          </w:tcPr>
          <w:p w14:paraId="7D739D91" w14:textId="77777777" w:rsidR="003E76A7" w:rsidRDefault="003E76A7" w:rsidP="00B24FB2">
            <w:pPr>
              <w:pStyle w:val="Diana"/>
              <w:jc w:val="center"/>
              <w:cnfStyle w:val="000000100000" w:firstRow="0" w:lastRow="0" w:firstColumn="0" w:lastColumn="0" w:oddVBand="0" w:evenVBand="0" w:oddHBand="1" w:evenHBand="0" w:firstRowFirstColumn="0" w:firstRowLastColumn="0" w:lastRowFirstColumn="0" w:lastRowLastColumn="0"/>
            </w:pPr>
            <w:r>
              <w:t>Derechos sobre 100</w:t>
            </w:r>
          </w:p>
        </w:tc>
      </w:tr>
      <w:tr w:rsidR="003E76A7" w14:paraId="1CE36E80"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1C81BBA1" w14:textId="77777777" w:rsidR="003E76A7" w:rsidRPr="0057384C" w:rsidRDefault="003E76A7" w:rsidP="00B24FB2">
            <w:pPr>
              <w:pStyle w:val="Diana"/>
              <w:jc w:val="center"/>
              <w:rPr>
                <w:i/>
                <w:iCs/>
              </w:rPr>
            </w:pPr>
            <w:proofErr w:type="spellStart"/>
            <w:r w:rsidRPr="00912E4C">
              <w:rPr>
                <w:i/>
                <w:iCs/>
              </w:rPr>
              <w:t>health</w:t>
            </w:r>
            <w:proofErr w:type="spellEnd"/>
          </w:p>
        </w:tc>
        <w:tc>
          <w:tcPr>
            <w:tcW w:w="4247" w:type="dxa"/>
            <w:vAlign w:val="center"/>
          </w:tcPr>
          <w:p w14:paraId="3807C37D" w14:textId="77777777" w:rsidR="003E76A7" w:rsidRDefault="003E76A7" w:rsidP="00B24FB2">
            <w:pPr>
              <w:pStyle w:val="Diana"/>
              <w:jc w:val="center"/>
              <w:cnfStyle w:val="000000000000" w:firstRow="0" w:lastRow="0" w:firstColumn="0" w:lastColumn="0" w:oddVBand="0" w:evenVBand="0" w:oddHBand="0" w:evenHBand="0" w:firstRowFirstColumn="0" w:firstRowLastColumn="0" w:lastRowFirstColumn="0" w:lastRowLastColumn="0"/>
            </w:pPr>
            <w:r>
              <w:t>Salud sobre 100</w:t>
            </w:r>
          </w:p>
        </w:tc>
      </w:tr>
      <w:tr w:rsidR="003E76A7" w14:paraId="2EE1BEEF"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C12E10A" w14:textId="77777777" w:rsidR="003E76A7" w:rsidRPr="00912E4C" w:rsidRDefault="003E76A7" w:rsidP="00B24FB2">
            <w:pPr>
              <w:pStyle w:val="Diana"/>
              <w:jc w:val="center"/>
              <w:rPr>
                <w:i/>
                <w:iCs/>
              </w:rPr>
            </w:pPr>
            <w:r w:rsidRPr="00912E4C">
              <w:rPr>
                <w:i/>
                <w:iCs/>
              </w:rPr>
              <w:t>safety</w:t>
            </w:r>
          </w:p>
        </w:tc>
        <w:tc>
          <w:tcPr>
            <w:tcW w:w="4247" w:type="dxa"/>
            <w:vAlign w:val="center"/>
          </w:tcPr>
          <w:p w14:paraId="5B5033D8" w14:textId="77777777" w:rsidR="003E76A7" w:rsidRDefault="003E76A7" w:rsidP="00B24FB2">
            <w:pPr>
              <w:pStyle w:val="Diana"/>
              <w:jc w:val="center"/>
              <w:cnfStyle w:val="000000100000" w:firstRow="0" w:lastRow="0" w:firstColumn="0" w:lastColumn="0" w:oddVBand="0" w:evenVBand="0" w:oddHBand="1" w:evenHBand="0" w:firstRowFirstColumn="0" w:firstRowLastColumn="0" w:lastRowFirstColumn="0" w:lastRowLastColumn="0"/>
            </w:pPr>
            <w:r>
              <w:t>Seguridad sobre 100</w:t>
            </w:r>
          </w:p>
        </w:tc>
      </w:tr>
      <w:tr w:rsidR="003E76A7" w14:paraId="6FAB1F20"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2566AC05" w14:textId="77777777" w:rsidR="003E76A7" w:rsidRPr="00912E4C" w:rsidRDefault="003E76A7" w:rsidP="00B24FB2">
            <w:pPr>
              <w:pStyle w:val="Diana"/>
              <w:jc w:val="center"/>
              <w:rPr>
                <w:i/>
                <w:iCs/>
              </w:rPr>
            </w:pPr>
            <w:proofErr w:type="spellStart"/>
            <w:r w:rsidRPr="00912E4C">
              <w:rPr>
                <w:i/>
                <w:iCs/>
              </w:rPr>
              <w:t>climate</w:t>
            </w:r>
            <w:proofErr w:type="spellEnd"/>
          </w:p>
        </w:tc>
        <w:tc>
          <w:tcPr>
            <w:tcW w:w="4247" w:type="dxa"/>
            <w:vAlign w:val="center"/>
          </w:tcPr>
          <w:p w14:paraId="6EE20372" w14:textId="77777777" w:rsidR="003E76A7" w:rsidRDefault="003E76A7" w:rsidP="00B24FB2">
            <w:pPr>
              <w:pStyle w:val="Diana"/>
              <w:jc w:val="center"/>
              <w:cnfStyle w:val="000000000000" w:firstRow="0" w:lastRow="0" w:firstColumn="0" w:lastColumn="0" w:oddVBand="0" w:evenVBand="0" w:oddHBand="0" w:evenHBand="0" w:firstRowFirstColumn="0" w:firstRowLastColumn="0" w:lastRowFirstColumn="0" w:lastRowLastColumn="0"/>
            </w:pPr>
            <w:r>
              <w:t>Clima sobre 100</w:t>
            </w:r>
          </w:p>
        </w:tc>
      </w:tr>
      <w:tr w:rsidR="003E76A7" w14:paraId="0A3B6FF4"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D6126D" w14:textId="77777777" w:rsidR="003E76A7" w:rsidRPr="00912E4C" w:rsidRDefault="003E76A7" w:rsidP="00B24FB2">
            <w:pPr>
              <w:pStyle w:val="Diana"/>
              <w:jc w:val="center"/>
              <w:rPr>
                <w:i/>
                <w:iCs/>
              </w:rPr>
            </w:pPr>
            <w:proofErr w:type="spellStart"/>
            <w:r w:rsidRPr="00912E4C">
              <w:rPr>
                <w:i/>
                <w:iCs/>
              </w:rPr>
              <w:t>costs</w:t>
            </w:r>
            <w:proofErr w:type="spellEnd"/>
          </w:p>
        </w:tc>
        <w:tc>
          <w:tcPr>
            <w:tcW w:w="4247" w:type="dxa"/>
            <w:vAlign w:val="center"/>
          </w:tcPr>
          <w:p w14:paraId="398DA68E" w14:textId="77777777" w:rsidR="003E76A7" w:rsidRDefault="003E76A7" w:rsidP="00B24FB2">
            <w:pPr>
              <w:pStyle w:val="Diana"/>
              <w:jc w:val="center"/>
              <w:cnfStyle w:val="000000100000" w:firstRow="0" w:lastRow="0" w:firstColumn="0" w:lastColumn="0" w:oddVBand="0" w:evenVBand="0" w:oddHBand="1" w:evenHBand="0" w:firstRowFirstColumn="0" w:firstRowLastColumn="0" w:lastRowFirstColumn="0" w:lastRowLastColumn="0"/>
            </w:pPr>
            <w:r>
              <w:t>Costes sobre 100</w:t>
            </w:r>
          </w:p>
        </w:tc>
      </w:tr>
      <w:tr w:rsidR="003E76A7" w14:paraId="0250C227"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2542995E" w14:textId="77777777" w:rsidR="003E76A7" w:rsidRPr="00912E4C" w:rsidRDefault="003E76A7" w:rsidP="00B24FB2">
            <w:pPr>
              <w:pStyle w:val="Diana"/>
              <w:jc w:val="center"/>
              <w:rPr>
                <w:i/>
                <w:iCs/>
              </w:rPr>
            </w:pPr>
            <w:proofErr w:type="spellStart"/>
            <w:r w:rsidRPr="00912E4C">
              <w:rPr>
                <w:i/>
                <w:iCs/>
              </w:rPr>
              <w:t>popularity</w:t>
            </w:r>
            <w:proofErr w:type="spellEnd"/>
          </w:p>
        </w:tc>
        <w:tc>
          <w:tcPr>
            <w:tcW w:w="4247" w:type="dxa"/>
            <w:vAlign w:val="center"/>
          </w:tcPr>
          <w:p w14:paraId="070267B2" w14:textId="77777777" w:rsidR="003E76A7" w:rsidRDefault="003E76A7" w:rsidP="00B24FB2">
            <w:pPr>
              <w:pStyle w:val="Diana"/>
              <w:jc w:val="center"/>
              <w:cnfStyle w:val="000000000000" w:firstRow="0" w:lastRow="0" w:firstColumn="0" w:lastColumn="0" w:oddVBand="0" w:evenVBand="0" w:oddHBand="0" w:evenHBand="0" w:firstRowFirstColumn="0" w:firstRowLastColumn="0" w:lastRowFirstColumn="0" w:lastRowLastColumn="0"/>
            </w:pPr>
            <w:r>
              <w:t>Popularidad sobre 100</w:t>
            </w:r>
          </w:p>
        </w:tc>
      </w:tr>
      <w:tr w:rsidR="004F4639" w14:paraId="7D99FD17" w14:textId="77777777" w:rsidTr="00B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E2EDAD3" w14:textId="23AACCF9" w:rsidR="004F4639" w:rsidRPr="004F4639" w:rsidRDefault="004F4639" w:rsidP="00B24FB2">
            <w:pPr>
              <w:pStyle w:val="Diana"/>
              <w:jc w:val="center"/>
              <w:rPr>
                <w:i/>
                <w:iCs/>
              </w:rPr>
            </w:pPr>
            <w:proofErr w:type="spellStart"/>
            <w:r>
              <w:rPr>
                <w:i/>
                <w:iCs/>
              </w:rPr>
              <w:t>calidad_media</w:t>
            </w:r>
            <w:proofErr w:type="spellEnd"/>
          </w:p>
        </w:tc>
        <w:tc>
          <w:tcPr>
            <w:tcW w:w="4247" w:type="dxa"/>
            <w:vAlign w:val="center"/>
          </w:tcPr>
          <w:p w14:paraId="068D80FC" w14:textId="765AABB9" w:rsidR="004F4639" w:rsidRDefault="004F4639" w:rsidP="00B24FB2">
            <w:pPr>
              <w:pStyle w:val="Diana"/>
              <w:jc w:val="center"/>
              <w:cnfStyle w:val="000000100000" w:firstRow="0" w:lastRow="0" w:firstColumn="0" w:lastColumn="0" w:oddVBand="0" w:evenVBand="0" w:oddHBand="1" w:evenHBand="0" w:firstRowFirstColumn="0" w:firstRowLastColumn="0" w:lastRowFirstColumn="0" w:lastRowLastColumn="0"/>
            </w:pPr>
            <w:r>
              <w:t>Media sobre 100</w:t>
            </w:r>
          </w:p>
        </w:tc>
      </w:tr>
      <w:tr w:rsidR="003F7D80" w14:paraId="463CEB5C" w14:textId="77777777" w:rsidTr="00B24FB2">
        <w:tc>
          <w:tcPr>
            <w:cnfStyle w:val="001000000000" w:firstRow="0" w:lastRow="0" w:firstColumn="1" w:lastColumn="0" w:oddVBand="0" w:evenVBand="0" w:oddHBand="0" w:evenHBand="0" w:firstRowFirstColumn="0" w:firstRowLastColumn="0" w:lastRowFirstColumn="0" w:lastRowLastColumn="0"/>
            <w:tcW w:w="4247" w:type="dxa"/>
            <w:vAlign w:val="center"/>
          </w:tcPr>
          <w:p w14:paraId="243FDDB0" w14:textId="21826796" w:rsidR="003F7D80" w:rsidRPr="003F7D80" w:rsidRDefault="003F7D80" w:rsidP="00B24FB2">
            <w:pPr>
              <w:pStyle w:val="Diana"/>
              <w:jc w:val="center"/>
              <w:rPr>
                <w:i/>
                <w:iCs/>
              </w:rPr>
            </w:pPr>
            <w:proofErr w:type="spellStart"/>
            <w:r>
              <w:rPr>
                <w:i/>
                <w:iCs/>
              </w:rPr>
              <w:lastRenderedPageBreak/>
              <w:t>tipo_vida</w:t>
            </w:r>
            <w:proofErr w:type="spellEnd"/>
          </w:p>
        </w:tc>
        <w:tc>
          <w:tcPr>
            <w:tcW w:w="4247" w:type="dxa"/>
            <w:vAlign w:val="center"/>
          </w:tcPr>
          <w:p w14:paraId="4128687A" w14:textId="3794981C" w:rsidR="003F7D80" w:rsidRDefault="003F7D80" w:rsidP="00B24FB2">
            <w:pPr>
              <w:pStyle w:val="Diana"/>
              <w:jc w:val="center"/>
              <w:cnfStyle w:val="000000000000" w:firstRow="0" w:lastRow="0" w:firstColumn="0" w:lastColumn="0" w:oddVBand="0" w:evenVBand="0" w:oddHBand="0" w:evenHBand="0" w:firstRowFirstColumn="0" w:firstRowLastColumn="0" w:lastRowFirstColumn="0" w:lastRowLastColumn="0"/>
            </w:pPr>
            <w:r>
              <w:t>Clasificación del tipo de vida en función de la media</w:t>
            </w:r>
          </w:p>
        </w:tc>
      </w:tr>
    </w:tbl>
    <w:p w14:paraId="1885A02D" w14:textId="38918F1B" w:rsidR="003E76A7" w:rsidRDefault="003E76A7" w:rsidP="005B7859">
      <w:pPr>
        <w:pStyle w:val="Diana"/>
      </w:pPr>
    </w:p>
    <w:p w14:paraId="2C1DFCC6" w14:textId="5374FE22" w:rsidR="00EF5F83" w:rsidRDefault="003E76A7" w:rsidP="0011373A">
      <w:pPr>
        <w:pStyle w:val="Diana"/>
      </w:pPr>
      <w:r>
        <w:t>También interesan todos los datos, de modo que lo único que se hace es pasar a porcentajes los valores, ya que están sobre 100.</w:t>
      </w:r>
      <w:r w:rsidR="007B6A58">
        <w:t xml:space="preserve"> </w:t>
      </w:r>
      <w:r w:rsidR="00E51B4D">
        <w:t>Se ha añade una nueva columna, producto de hacer la media del resto de los factores. Se trabajará con este valor para comprobar el nivel de felicidad</w:t>
      </w:r>
      <w:r w:rsidR="006021CE">
        <w:t xml:space="preserve"> o calidad de vida</w:t>
      </w:r>
      <w:r w:rsidR="00E51B4D">
        <w:t>.</w:t>
      </w:r>
    </w:p>
    <w:p w14:paraId="2A55F842" w14:textId="62E8B41E" w:rsidR="00FA3500" w:rsidRDefault="00FA3500" w:rsidP="00FA3500">
      <w:pPr>
        <w:pStyle w:val="Ttulo1"/>
        <w:spacing w:line="360" w:lineRule="auto"/>
        <w:jc w:val="both"/>
        <w:rPr>
          <w:rFonts w:ascii="Times New Roman" w:eastAsiaTheme="minorHAnsi" w:hAnsi="Times New Roman" w:cs="Times New Roman"/>
          <w:b/>
          <w:bCs/>
          <w:smallCaps/>
          <w:color w:val="auto"/>
          <w:sz w:val="28"/>
          <w:szCs w:val="28"/>
        </w:rPr>
      </w:pPr>
      <w:bookmarkStart w:id="3" w:name="_Toc116939131"/>
      <w:r>
        <w:rPr>
          <w:rFonts w:ascii="Times New Roman" w:eastAsiaTheme="minorHAnsi" w:hAnsi="Times New Roman" w:cs="Times New Roman"/>
          <w:b/>
          <w:bCs/>
          <w:smallCaps/>
          <w:color w:val="auto"/>
          <w:sz w:val="28"/>
          <w:szCs w:val="28"/>
        </w:rPr>
        <w:t>Estudio de los datos</w:t>
      </w:r>
      <w:bookmarkEnd w:id="3"/>
    </w:p>
    <w:p w14:paraId="3880E60E" w14:textId="4519DA47" w:rsidR="0002191E" w:rsidRDefault="001F0067" w:rsidP="001F0067">
      <w:pPr>
        <w:pStyle w:val="Diana"/>
      </w:pPr>
      <w:r>
        <w:t xml:space="preserve">Se creará un nuevo documento Excel: </w:t>
      </w:r>
      <w:r>
        <w:rPr>
          <w:i/>
          <w:iCs/>
        </w:rPr>
        <w:t>P3.4-VA_DianaMascarenasSande</w:t>
      </w:r>
      <w:r>
        <w:t xml:space="preserve">, que recogerá en </w:t>
      </w:r>
      <w:r w:rsidR="006021CE">
        <w:t>cuatro</w:t>
      </w:r>
      <w:r>
        <w:t xml:space="preserve"> hojas distintas el contenido de los cinco documentos tratados hasta ahora</w:t>
      </w:r>
      <w:r w:rsidR="002D5229">
        <w:t xml:space="preserve"> (se prescinde de la hoja</w:t>
      </w:r>
      <w:r>
        <w:t>.</w:t>
      </w:r>
      <w:r w:rsidR="009F53B9">
        <w:t xml:space="preserve"> Por otra parte, la primera hoja de este documento será el diccionario de datos de cada hoja, explicando qué contiene cada una y en qué unidades</w:t>
      </w:r>
      <w:r w:rsidR="0002191E">
        <w:t>, tal y como se ha explicado en este documento anteriormente.</w:t>
      </w:r>
    </w:p>
    <w:p w14:paraId="0BD79F00" w14:textId="77E478B5" w:rsidR="008424BE" w:rsidRPr="008424BE" w:rsidRDefault="008424BE" w:rsidP="001F0067">
      <w:pPr>
        <w:pStyle w:val="Diana"/>
      </w:pPr>
      <w:r w:rsidRPr="008424BE">
        <w:t>Se eliminan de</w:t>
      </w:r>
      <w:r w:rsidR="009C2AA2">
        <w:t xml:space="preserve"> las tres tablas de análisis </w:t>
      </w:r>
      <w:r w:rsidRPr="008424BE">
        <w:t xml:space="preserve">las filas que no estaban contenidas en </w:t>
      </w:r>
      <w:proofErr w:type="spellStart"/>
      <w:r w:rsidRPr="008424BE">
        <w:rPr>
          <w:i/>
          <w:iCs/>
        </w:rPr>
        <w:t>quality_of_life</w:t>
      </w:r>
      <w:proofErr w:type="spellEnd"/>
      <w:r>
        <w:t>.</w:t>
      </w:r>
    </w:p>
    <w:p w14:paraId="52638950" w14:textId="4F97B5D3" w:rsidR="0011373A" w:rsidRDefault="00A175CD" w:rsidP="0011373A">
      <w:pPr>
        <w:pStyle w:val="Diana"/>
      </w:pPr>
      <w:r>
        <w:t>A continuación, se añadirán todas las tablas al modelo de datos sobre el que se va a trabajar. Todas las tablas tienen un campo común: el país (</w:t>
      </w:r>
      <w:r>
        <w:rPr>
          <w:i/>
          <w:iCs/>
        </w:rPr>
        <w:t>country</w:t>
      </w:r>
      <w:r>
        <w:t>), de modo que se establecerán conexiones entre todas las tablas a través de este campo:</w:t>
      </w:r>
    </w:p>
    <w:p w14:paraId="0D7920EB" w14:textId="3F559C8C" w:rsidR="00A175CD" w:rsidRDefault="0011373A" w:rsidP="00A175CD">
      <w:pPr>
        <w:pStyle w:val="Diana"/>
        <w:keepNext/>
        <w:jc w:val="center"/>
      </w:pPr>
      <w:r>
        <w:rPr>
          <w:noProof/>
        </w:rPr>
        <w:drawing>
          <wp:inline distT="0" distB="0" distL="0" distR="0" wp14:anchorId="52B792E3" wp14:editId="1E806955">
            <wp:extent cx="3764477" cy="20897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500" r="30271" b="9691"/>
                    <a:stretch/>
                  </pic:blipFill>
                  <pic:spPr bwMode="auto">
                    <a:xfrm>
                      <a:off x="0" y="0"/>
                      <a:ext cx="3765396" cy="2090295"/>
                    </a:xfrm>
                    <a:prstGeom prst="rect">
                      <a:avLst/>
                    </a:prstGeom>
                    <a:ln>
                      <a:noFill/>
                    </a:ln>
                    <a:extLst>
                      <a:ext uri="{53640926-AAD7-44D8-BBD7-CCE9431645EC}">
                        <a14:shadowObscured xmlns:a14="http://schemas.microsoft.com/office/drawing/2010/main"/>
                      </a:ext>
                    </a:extLst>
                  </pic:spPr>
                </pic:pic>
              </a:graphicData>
            </a:graphic>
          </wp:inline>
        </w:drawing>
      </w:r>
      <w:r w:rsidR="003F7D80">
        <w:rPr>
          <w:noProof/>
        </w:rPr>
        <w:t xml:space="preserve"> </w:t>
      </w:r>
    </w:p>
    <w:p w14:paraId="123CE713" w14:textId="72C7658B" w:rsidR="00A175CD" w:rsidRPr="00A175CD" w:rsidRDefault="00A175CD" w:rsidP="00A175CD">
      <w:pPr>
        <w:pStyle w:val="Descripcin"/>
        <w:jc w:val="center"/>
        <w:rPr>
          <w:rFonts w:ascii="Times New Roman" w:hAnsi="Times New Roman" w:cs="Times New Roman"/>
        </w:rPr>
      </w:pPr>
      <w:r w:rsidRPr="00A175CD">
        <w:rPr>
          <w:rFonts w:ascii="Times New Roman" w:hAnsi="Times New Roman" w:cs="Times New Roman"/>
        </w:rPr>
        <w:t xml:space="preserve">Ilustración </w:t>
      </w:r>
      <w:r w:rsidRPr="00A175CD">
        <w:rPr>
          <w:rFonts w:ascii="Times New Roman" w:hAnsi="Times New Roman" w:cs="Times New Roman"/>
        </w:rPr>
        <w:fldChar w:fldCharType="begin"/>
      </w:r>
      <w:r w:rsidRPr="00A175CD">
        <w:rPr>
          <w:rFonts w:ascii="Times New Roman" w:hAnsi="Times New Roman" w:cs="Times New Roman"/>
        </w:rPr>
        <w:instrText xml:space="preserve"> SEQ Ilustración \* ARABIC </w:instrText>
      </w:r>
      <w:r w:rsidRPr="00A175CD">
        <w:rPr>
          <w:rFonts w:ascii="Times New Roman" w:hAnsi="Times New Roman" w:cs="Times New Roman"/>
        </w:rPr>
        <w:fldChar w:fldCharType="separate"/>
      </w:r>
      <w:r w:rsidR="00694290">
        <w:rPr>
          <w:rFonts w:ascii="Times New Roman" w:hAnsi="Times New Roman" w:cs="Times New Roman"/>
          <w:noProof/>
        </w:rPr>
        <w:t>5</w:t>
      </w:r>
      <w:r w:rsidRPr="00A175CD">
        <w:rPr>
          <w:rFonts w:ascii="Times New Roman" w:hAnsi="Times New Roman" w:cs="Times New Roman"/>
        </w:rPr>
        <w:fldChar w:fldCharType="end"/>
      </w:r>
      <w:r w:rsidRPr="00A175CD">
        <w:rPr>
          <w:rFonts w:ascii="Times New Roman" w:hAnsi="Times New Roman" w:cs="Times New Roman"/>
        </w:rPr>
        <w:t>: tablas relacionadas en el modelo de datos a través del campo de país</w:t>
      </w:r>
    </w:p>
    <w:p w14:paraId="403D0873" w14:textId="2C3BEBC4" w:rsidR="001F0067" w:rsidRDefault="00393999" w:rsidP="00393999">
      <w:pPr>
        <w:pStyle w:val="Diana"/>
      </w:pPr>
      <w:r>
        <w:t xml:space="preserve">A partir de este modelo, se genera una tabla dinámica en una hoja nueva, llamada </w:t>
      </w:r>
      <w:r>
        <w:rPr>
          <w:i/>
          <w:iCs/>
        </w:rPr>
        <w:t>Tabla Dinámica</w:t>
      </w:r>
      <w:r>
        <w:t xml:space="preserve">. Se creará una hoja nueva llamada </w:t>
      </w:r>
      <w:r>
        <w:rPr>
          <w:i/>
          <w:iCs/>
        </w:rPr>
        <w:t xml:space="preserve">Colores y </w:t>
      </w:r>
      <w:r w:rsidRPr="00393999">
        <w:t>Tipografía</w:t>
      </w:r>
      <w:r>
        <w:t xml:space="preserve">, donde se especificarán </w:t>
      </w:r>
      <w:r>
        <w:lastRenderedPageBreak/>
        <w:t>qué escala de colores y tipo de letra se emplearán en los dashboards.</w:t>
      </w:r>
      <w:r w:rsidR="00066A30">
        <w:t xml:space="preserve"> </w:t>
      </w:r>
      <w:r w:rsidRPr="00393999">
        <w:t>A</w:t>
      </w:r>
      <w:r>
        <w:t xml:space="preserve"> partir de este momento, com</w:t>
      </w:r>
      <w:r w:rsidR="00066A30">
        <w:t>ienza</w:t>
      </w:r>
      <w:r>
        <w:t xml:space="preserve"> el estudio.</w:t>
      </w:r>
    </w:p>
    <w:p w14:paraId="11D08FCE" w14:textId="76437B1C" w:rsidR="00D36382" w:rsidRDefault="00D36382" w:rsidP="00393999">
      <w:pPr>
        <w:pStyle w:val="Diana"/>
      </w:pPr>
      <w:r>
        <w:t xml:space="preserve">A partir del modelo de datos se </w:t>
      </w:r>
      <w:r w:rsidR="00214855">
        <w:t xml:space="preserve">generan las tablas dinámicas sobre las que se </w:t>
      </w:r>
      <w:r>
        <w:t>construirán los siguientes gráficos</w:t>
      </w:r>
      <w:r w:rsidR="00613CA8">
        <w:t xml:space="preserve"> (todos ellos ordenados en función del campo de la calidad de vida)</w:t>
      </w:r>
      <w:r>
        <w:t>:</w:t>
      </w:r>
    </w:p>
    <w:p w14:paraId="15D6E7BF" w14:textId="6ED763EC" w:rsidR="006A0AD0" w:rsidRDefault="006A0AD0" w:rsidP="006A0AD0">
      <w:pPr>
        <w:pStyle w:val="Diana"/>
        <w:numPr>
          <w:ilvl w:val="0"/>
          <w:numId w:val="39"/>
        </w:numPr>
      </w:pPr>
      <w:r>
        <w:t xml:space="preserve">Gráfico de tarjeta que representa el número total de países que se encuentran en la tabla de </w:t>
      </w:r>
      <w:proofErr w:type="spellStart"/>
      <w:r>
        <w:rPr>
          <w:i/>
          <w:iCs/>
        </w:rPr>
        <w:t>quality_of_life</w:t>
      </w:r>
      <w:proofErr w:type="spellEnd"/>
      <w:r>
        <w:t>, la cual será la tabla principal del estudio. Son 137, de modo que no se puede visualizar todos los datos de estos 137 países en cada gráfica, puesto que no se acabaría entendiendo ningún dato. Es por esto que se selecciona el top 15 de países con mejor calidad de vida y el top 15 de países con peor calidad de vida. Estos estarán representados bajo el gráfico de tarjeta en forma de dos tablas, en las que se representará la calidad de vida mediante el formato condicional&gt;barras de datos&gt;relleno sólido.</w:t>
      </w:r>
      <w:r w:rsidR="002F5EBF">
        <w:t xml:space="preserve"> Será con este total de 30 países con los que se trabajará de ahora en adelante.</w:t>
      </w:r>
    </w:p>
    <w:p w14:paraId="2A5E3AE4" w14:textId="6B4F8EC8" w:rsidR="00D36382" w:rsidRDefault="00D36382" w:rsidP="00D36382">
      <w:pPr>
        <w:pStyle w:val="Diana"/>
        <w:numPr>
          <w:ilvl w:val="0"/>
          <w:numId w:val="39"/>
        </w:numPr>
      </w:pPr>
      <w:r>
        <w:t xml:space="preserve">Índice de Masa Corporal en los 15 países con mejor calidad de vida. </w:t>
      </w:r>
      <w:r w:rsidR="00613CA8">
        <w:t xml:space="preserve">Para ello se </w:t>
      </w:r>
      <w:r w:rsidR="00214855">
        <w:t xml:space="preserve">introducen los valores correspondientes en las filas de la tabla dinámica, a partir de la cual </w:t>
      </w:r>
      <w:r w:rsidR="00613CA8">
        <w:t>construirá un gráfico combinado que permitirá ver los valores IMC de hombres y mujeres, además del valor de la calidad de vida de forma clara y fácilmente visible. Se ha elegido este gráfico porque resulta adecuado para representar varios conjuntos de datos.</w:t>
      </w:r>
    </w:p>
    <w:p w14:paraId="7F904FC4" w14:textId="5075D282" w:rsidR="00613CA8" w:rsidRDefault="00613CA8" w:rsidP="00D36382">
      <w:pPr>
        <w:pStyle w:val="Diana"/>
        <w:numPr>
          <w:ilvl w:val="0"/>
          <w:numId w:val="39"/>
        </w:numPr>
      </w:pPr>
      <w:r>
        <w:t>Índice de Masa Corporal en los 15 países con peor calidad de vida.</w:t>
      </w:r>
      <w:r w:rsidR="00E3708B">
        <w:t xml:space="preserve"> Se sigue el mismo procedimiento que en el gráfico anteriormente explicado.</w:t>
      </w:r>
    </w:p>
    <w:p w14:paraId="5319B0BF" w14:textId="38C6B9E3" w:rsidR="00887BC7" w:rsidRPr="00393999" w:rsidRDefault="00887BC7" w:rsidP="00D36382">
      <w:pPr>
        <w:pStyle w:val="Diana"/>
        <w:numPr>
          <w:ilvl w:val="0"/>
          <w:numId w:val="39"/>
        </w:numPr>
      </w:pPr>
      <w:r>
        <w:t>IQ de los países con mejor calidad de vida. Como solo se analiza un valor en función del país y calidad de vida, resulta más visual construir un gráfico de sectores</w:t>
      </w:r>
      <w:r w:rsidR="0030592E">
        <w:t>. A</w:t>
      </w:r>
      <w:r>
        <w:t>unque no se estén tratando porcentajes, ya que son relativamente pocos campos</w:t>
      </w:r>
      <w:r w:rsidR="0030592E">
        <w:t>, s</w:t>
      </w:r>
      <w:r>
        <w:t>e puede ver a qué país corresponde cada IP. Otra opción sería un gráfico de columnas o de barras, que se podría ordenar de mayor a menor. Sin embargo, como no interesa conocer esta ordenación en este caso concreto, si no los valores generales, no resulta vital elegir este gráfico de barras.</w:t>
      </w:r>
    </w:p>
    <w:p w14:paraId="61D81982" w14:textId="2131D10A" w:rsidR="001F0067" w:rsidRDefault="00AD129E" w:rsidP="00AD129E">
      <w:pPr>
        <w:pStyle w:val="Diana"/>
        <w:numPr>
          <w:ilvl w:val="0"/>
          <w:numId w:val="39"/>
        </w:numPr>
      </w:pPr>
      <w:r>
        <w:t>IQ de los países con peor calidad de vida. Se sigue el mismo procedimiento que en el gráfico anteriormente explicado.</w:t>
      </w:r>
    </w:p>
    <w:p w14:paraId="133A9BEC" w14:textId="77777777" w:rsidR="003E481C" w:rsidRDefault="00304C08" w:rsidP="00AD129E">
      <w:pPr>
        <w:pStyle w:val="Diana"/>
        <w:numPr>
          <w:ilvl w:val="0"/>
          <w:numId w:val="39"/>
        </w:numPr>
      </w:pPr>
      <w:r>
        <w:lastRenderedPageBreak/>
        <w:t xml:space="preserve">Esperanza de vida de los 15 países con mejor calidad de vida. Se elige un gráfico de </w:t>
      </w:r>
      <w:r w:rsidR="00C07D1A">
        <w:t>columnas en 2D, donde no se representa la calidad de vida porque ya se sabe que se encuentra en sus 15 valores más altos (ordenados de mayor a menor sobre el eje X), y se facilita la visualización de los datos referidos a la esperanza de vida de las personas de estos 15 países.</w:t>
      </w:r>
    </w:p>
    <w:p w14:paraId="0F2D213C" w14:textId="643C1A84" w:rsidR="00304C08" w:rsidRDefault="00C07D1A" w:rsidP="00AD129E">
      <w:pPr>
        <w:pStyle w:val="Diana"/>
        <w:numPr>
          <w:ilvl w:val="0"/>
          <w:numId w:val="39"/>
        </w:numPr>
      </w:pPr>
      <w:r>
        <w:t xml:space="preserve"> </w:t>
      </w:r>
      <w:r w:rsidR="003E481C">
        <w:t xml:space="preserve">Esperanza de vida de los 15 países con </w:t>
      </w:r>
      <w:r w:rsidR="003E481C">
        <w:t>peor</w:t>
      </w:r>
      <w:r w:rsidR="003E481C">
        <w:t xml:space="preserve"> calidad de vida.</w:t>
      </w:r>
      <w:r w:rsidR="003E481C">
        <w:t xml:space="preserve"> Se sigue el mismo procedimiento que en el gráfico anteriormente explicado.</w:t>
      </w:r>
    </w:p>
    <w:p w14:paraId="70D22267" w14:textId="328ECA79" w:rsidR="004705E9" w:rsidRDefault="004705E9" w:rsidP="00AD129E">
      <w:pPr>
        <w:pStyle w:val="Diana"/>
        <w:numPr>
          <w:ilvl w:val="0"/>
          <w:numId w:val="39"/>
        </w:numPr>
      </w:pPr>
      <w:r>
        <w:t xml:space="preserve">Tasa de natalidad e índice de mortalidad de los 15 países con mejor calidad de vida. Se crea otro gráfico de barras en 2D. Para facilitar la visualización de los datos, </w:t>
      </w:r>
      <w:r w:rsidR="0070251D">
        <w:t>se pone un límite en el eje Y de 30, ya que a pesar de que, los elementos que no aparezcan en la hoja de calidad de vida no aparecerán en el resto, sí puede ocurrir que haya países en esta hoja que no estén contemplados en el resto de hojas, de modo que los agrupa y suman un valor muy alto. Si se ajustara la escala de la gráfica a este valor, no se apreciarían los datos de estudio que realmente interesan.</w:t>
      </w:r>
      <w:r w:rsidR="00801E34">
        <w:t xml:space="preserve"> </w:t>
      </w:r>
      <w:r w:rsidR="0070251D">
        <w:t xml:space="preserve">  </w:t>
      </w:r>
    </w:p>
    <w:p w14:paraId="16E5CB6E" w14:textId="5A410509" w:rsidR="00CB54F6" w:rsidRDefault="00801E34" w:rsidP="005767A5">
      <w:pPr>
        <w:pStyle w:val="Diana"/>
        <w:numPr>
          <w:ilvl w:val="0"/>
          <w:numId w:val="39"/>
        </w:numPr>
      </w:pPr>
      <w:r>
        <w:t xml:space="preserve">Tasa de natalidad e índice de mortalidad de los 15 países con </w:t>
      </w:r>
      <w:r>
        <w:t>peor</w:t>
      </w:r>
      <w:r>
        <w:t xml:space="preserve"> calidad de vida.</w:t>
      </w:r>
      <w:r>
        <w:t xml:space="preserve"> Se sigue el mismo procedimiento que en el gráfico anteriormente explicado pero, en este caso no se necesitaría hacer esa escala para limitar los valores del eje Y, ya que se está tratando con los valores más bajos de la calidad de vida.</w:t>
      </w:r>
    </w:p>
    <w:p w14:paraId="0B6B0250" w14:textId="73DAEC40" w:rsidR="00D36C84" w:rsidRDefault="00D36C84" w:rsidP="005767A5">
      <w:pPr>
        <w:pStyle w:val="Diana"/>
        <w:numPr>
          <w:ilvl w:val="0"/>
          <w:numId w:val="39"/>
        </w:numPr>
      </w:pPr>
      <w:r>
        <w:t xml:space="preserve">Se añade un gráfico de segmentación en función de </w:t>
      </w:r>
      <w:proofErr w:type="spellStart"/>
      <w:r>
        <w:rPr>
          <w:i/>
          <w:iCs/>
        </w:rPr>
        <w:t>tipo_vida</w:t>
      </w:r>
      <w:proofErr w:type="spellEnd"/>
      <w:r>
        <w:t xml:space="preserve"> que estará conectado a todas las gráficas salvo las de sectores, ya que en ese caso </w:t>
      </w:r>
      <w:r w:rsidR="00B65253">
        <w:t xml:space="preserve">concreto </w:t>
      </w:r>
      <w:r>
        <w:t>interesa conocer su valor fijo.</w:t>
      </w:r>
    </w:p>
    <w:p w14:paraId="64CB3496" w14:textId="4EAE7DF3" w:rsidR="005767A5" w:rsidRDefault="005767A5" w:rsidP="005767A5">
      <w:pPr>
        <w:pStyle w:val="Diana"/>
      </w:pPr>
      <w:r>
        <w:t xml:space="preserve">Se podría haber dividido toda esta información en dos dashboards: uno para para cada top 15 de países. Así, se dividirían las gráficas a la mitad en cada uno. Sin embargo, como es un estudio comparativo, </w:t>
      </w:r>
      <w:r w:rsidR="00AC64B3">
        <w:t>ha resultado</w:t>
      </w:r>
      <w:r>
        <w:t xml:space="preserve"> de más utilidad mantenerlos en el mismo dashboard.</w:t>
      </w:r>
    </w:p>
    <w:p w14:paraId="1722C03A" w14:textId="2B352898" w:rsidR="009E449C" w:rsidRDefault="009E449C" w:rsidP="005767A5">
      <w:pPr>
        <w:pStyle w:val="Diana"/>
      </w:pPr>
    </w:p>
    <w:p w14:paraId="3163198D" w14:textId="41D7F0E4" w:rsidR="009E449C" w:rsidRDefault="009E449C" w:rsidP="005767A5">
      <w:pPr>
        <w:pStyle w:val="Diana"/>
      </w:pPr>
    </w:p>
    <w:p w14:paraId="14413D49" w14:textId="25D8E6EC" w:rsidR="009E449C" w:rsidRDefault="009E449C" w:rsidP="005767A5">
      <w:pPr>
        <w:pStyle w:val="Diana"/>
      </w:pPr>
    </w:p>
    <w:p w14:paraId="5314706A" w14:textId="4EC8D47B" w:rsidR="005767A5" w:rsidRDefault="005767A5" w:rsidP="005767A5">
      <w:pPr>
        <w:pStyle w:val="Ttulo1"/>
        <w:spacing w:line="360" w:lineRule="auto"/>
        <w:jc w:val="both"/>
        <w:rPr>
          <w:rFonts w:ascii="Times New Roman" w:eastAsiaTheme="minorHAnsi" w:hAnsi="Times New Roman" w:cs="Times New Roman"/>
          <w:b/>
          <w:bCs/>
          <w:smallCaps/>
          <w:color w:val="auto"/>
          <w:sz w:val="28"/>
          <w:szCs w:val="28"/>
        </w:rPr>
      </w:pPr>
      <w:bookmarkStart w:id="4" w:name="_Toc116939132"/>
      <w:r>
        <w:rPr>
          <w:rFonts w:ascii="Times New Roman" w:eastAsiaTheme="minorHAnsi" w:hAnsi="Times New Roman" w:cs="Times New Roman"/>
          <w:b/>
          <w:bCs/>
          <w:smallCaps/>
          <w:color w:val="auto"/>
          <w:sz w:val="28"/>
          <w:szCs w:val="28"/>
        </w:rPr>
        <w:lastRenderedPageBreak/>
        <w:t>Análisis de los resultados</w:t>
      </w:r>
      <w:bookmarkEnd w:id="4"/>
    </w:p>
    <w:p w14:paraId="16F0CA28" w14:textId="4B05CBCD" w:rsidR="001F0067" w:rsidRDefault="00674818" w:rsidP="00F57446">
      <w:pPr>
        <w:pStyle w:val="Diana"/>
      </w:pPr>
      <w:r>
        <w:t>Se realiza un a</w:t>
      </w:r>
      <w:r w:rsidR="00F57446">
        <w:t xml:space="preserve">nálisis del impacto de la calidad de vida en el índice de masa corporal. Inicialmente, se ha supuesto que la calidad de vida podría afectar a este valor porque </w:t>
      </w:r>
      <w:r w:rsidR="00CA1B40">
        <w:t xml:space="preserve">se podía </w:t>
      </w:r>
      <w:r w:rsidR="009E449C">
        <w:t>sospechar</w:t>
      </w:r>
      <w:r w:rsidR="00CA1B40">
        <w:t xml:space="preserve"> que los países con mayor calidad de vida iban a ser los más desarrollados, y viceversa. De este modo, podrían deducirse más casos de sobrepeso u obesidad en los de mejor calidad de vida que en el top 15 inferior. Sin embargo, al analizar las gráficas de IMC, se puede ver cómo los valores no distan mucho entre una gráfica y otra. Se concluye así que la calidad de vida </w:t>
      </w:r>
      <w:r w:rsidR="004D4C03">
        <w:t xml:space="preserve">no es una cuestión decisiva </w:t>
      </w:r>
      <w:r w:rsidR="00CA1B40">
        <w:t xml:space="preserve">en este </w:t>
      </w:r>
      <w:r w:rsidR="009E449C">
        <w:t>factor</w:t>
      </w:r>
      <w:r w:rsidR="009E449C">
        <w:t xml:space="preserve"> </w:t>
      </w:r>
      <w:r w:rsidR="00CA1B40">
        <w:t>determinado.</w:t>
      </w:r>
    </w:p>
    <w:p w14:paraId="7E83CAFA" w14:textId="5C6F271E" w:rsidR="009D0BE9" w:rsidRDefault="009D0BE9" w:rsidP="009D0BE9">
      <w:pPr>
        <w:pStyle w:val="Diana"/>
        <w:keepNext/>
      </w:pPr>
      <w:r>
        <w:rPr>
          <w:noProof/>
        </w:rPr>
        <w:drawing>
          <wp:inline distT="0" distB="0" distL="0" distR="0" wp14:anchorId="602B95D1" wp14:editId="3EA394D6">
            <wp:extent cx="5414211" cy="2398295"/>
            <wp:effectExtent l="0" t="0" r="15240" b="2540"/>
            <wp:docPr id="8" name="Gráfico 8">
              <a:extLst xmlns:a="http://schemas.openxmlformats.org/drawingml/2006/main">
                <a:ext uri="{FF2B5EF4-FFF2-40B4-BE49-F238E27FC236}">
                  <a16:creationId xmlns:a16="http://schemas.microsoft.com/office/drawing/2014/main" id="{ECE6A402-A840-44BD-B6BC-12938445F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C40B39" w14:textId="609B288C" w:rsidR="009E449C" w:rsidRPr="009E449C" w:rsidRDefault="009D0BE9" w:rsidP="009E449C">
      <w:pPr>
        <w:pStyle w:val="Descripcin"/>
        <w:jc w:val="center"/>
        <w:rPr>
          <w:rFonts w:ascii="Times New Roman" w:hAnsi="Times New Roman" w:cs="Times New Roman"/>
          <w:noProof/>
        </w:rPr>
      </w:pPr>
      <w:r>
        <w:rPr>
          <w:rFonts w:ascii="Times New Roman" w:hAnsi="Times New Roman" w:cs="Times New Roman"/>
        </w:rPr>
        <w:t>I</w:t>
      </w:r>
      <w:r w:rsidRPr="009D0BE9">
        <w:rPr>
          <w:rFonts w:ascii="Times New Roman" w:hAnsi="Times New Roman" w:cs="Times New Roman"/>
        </w:rPr>
        <w:t xml:space="preserve">lustración </w:t>
      </w:r>
      <w:r w:rsidRPr="009D0BE9">
        <w:rPr>
          <w:rFonts w:ascii="Times New Roman" w:hAnsi="Times New Roman" w:cs="Times New Roman"/>
        </w:rPr>
        <w:fldChar w:fldCharType="begin"/>
      </w:r>
      <w:r w:rsidRPr="009D0BE9">
        <w:rPr>
          <w:rFonts w:ascii="Times New Roman" w:hAnsi="Times New Roman" w:cs="Times New Roman"/>
        </w:rPr>
        <w:instrText xml:space="preserve"> SEQ Ilustración \* ARABIC </w:instrText>
      </w:r>
      <w:r w:rsidRPr="009D0BE9">
        <w:rPr>
          <w:rFonts w:ascii="Times New Roman" w:hAnsi="Times New Roman" w:cs="Times New Roman"/>
        </w:rPr>
        <w:fldChar w:fldCharType="separate"/>
      </w:r>
      <w:r w:rsidR="00694290">
        <w:rPr>
          <w:rFonts w:ascii="Times New Roman" w:hAnsi="Times New Roman" w:cs="Times New Roman"/>
          <w:noProof/>
        </w:rPr>
        <w:t>6</w:t>
      </w:r>
      <w:r w:rsidRPr="009D0BE9">
        <w:rPr>
          <w:rFonts w:ascii="Times New Roman" w:hAnsi="Times New Roman" w:cs="Times New Roman"/>
        </w:rPr>
        <w:fldChar w:fldCharType="end"/>
      </w:r>
      <w:r w:rsidRPr="009D0BE9">
        <w:rPr>
          <w:rFonts w:ascii="Times New Roman" w:hAnsi="Times New Roman" w:cs="Times New Roman"/>
        </w:rPr>
        <w:t xml:space="preserve">: IMC top 15 </w:t>
      </w:r>
      <w:r w:rsidRPr="009D0BE9">
        <w:rPr>
          <w:rFonts w:ascii="Times New Roman" w:hAnsi="Times New Roman" w:cs="Times New Roman"/>
          <w:noProof/>
        </w:rPr>
        <w:t>países con mejor calidad de vida</w:t>
      </w:r>
    </w:p>
    <w:p w14:paraId="0B6ABEC0" w14:textId="77777777" w:rsidR="009D0BE9" w:rsidRDefault="009D0BE9" w:rsidP="009D0BE9">
      <w:pPr>
        <w:keepNext/>
      </w:pPr>
      <w:r>
        <w:rPr>
          <w:noProof/>
        </w:rPr>
        <w:drawing>
          <wp:inline distT="0" distB="0" distL="0" distR="0" wp14:anchorId="6C911F7A" wp14:editId="71FEF0F7">
            <wp:extent cx="5398169" cy="2446422"/>
            <wp:effectExtent l="0" t="0" r="12065" b="11430"/>
            <wp:docPr id="9" name="Gráfico 9">
              <a:extLst xmlns:a="http://schemas.openxmlformats.org/drawingml/2006/main">
                <a:ext uri="{FF2B5EF4-FFF2-40B4-BE49-F238E27FC236}">
                  <a16:creationId xmlns:a16="http://schemas.microsoft.com/office/drawing/2014/main" id="{807BC45F-F3BF-45C2-A7BF-DF196C841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0C7148" w14:textId="56490ADB" w:rsidR="001F0067" w:rsidRPr="009D0BE9" w:rsidRDefault="009D0BE9" w:rsidP="009D0BE9">
      <w:pPr>
        <w:pStyle w:val="Descripcin"/>
        <w:jc w:val="center"/>
        <w:rPr>
          <w:rFonts w:ascii="Times New Roman" w:hAnsi="Times New Roman" w:cs="Times New Roman"/>
        </w:rPr>
      </w:pPr>
      <w:r w:rsidRPr="009D0BE9">
        <w:rPr>
          <w:rFonts w:ascii="Times New Roman" w:hAnsi="Times New Roman" w:cs="Times New Roman"/>
        </w:rPr>
        <w:t xml:space="preserve">Ilustración </w:t>
      </w:r>
      <w:r w:rsidRPr="009D0BE9">
        <w:rPr>
          <w:rFonts w:ascii="Times New Roman" w:hAnsi="Times New Roman" w:cs="Times New Roman"/>
        </w:rPr>
        <w:fldChar w:fldCharType="begin"/>
      </w:r>
      <w:r w:rsidRPr="009D0BE9">
        <w:rPr>
          <w:rFonts w:ascii="Times New Roman" w:hAnsi="Times New Roman" w:cs="Times New Roman"/>
        </w:rPr>
        <w:instrText xml:space="preserve"> SEQ Ilustración \* ARABIC </w:instrText>
      </w:r>
      <w:r w:rsidRPr="009D0BE9">
        <w:rPr>
          <w:rFonts w:ascii="Times New Roman" w:hAnsi="Times New Roman" w:cs="Times New Roman"/>
        </w:rPr>
        <w:fldChar w:fldCharType="separate"/>
      </w:r>
      <w:r w:rsidR="00694290">
        <w:rPr>
          <w:rFonts w:ascii="Times New Roman" w:hAnsi="Times New Roman" w:cs="Times New Roman"/>
          <w:noProof/>
        </w:rPr>
        <w:t>7</w:t>
      </w:r>
      <w:r w:rsidRPr="009D0BE9">
        <w:rPr>
          <w:rFonts w:ascii="Times New Roman" w:hAnsi="Times New Roman" w:cs="Times New Roman"/>
        </w:rPr>
        <w:fldChar w:fldCharType="end"/>
      </w:r>
      <w:r w:rsidRPr="009D0BE9">
        <w:rPr>
          <w:rFonts w:ascii="Times New Roman" w:hAnsi="Times New Roman" w:cs="Times New Roman"/>
        </w:rPr>
        <w:t>: IMC top 15 países con peor calidad de vida</w:t>
      </w:r>
    </w:p>
    <w:p w14:paraId="7E9A33E0" w14:textId="0E4CD2EF" w:rsidR="001F0067" w:rsidRDefault="001F0067" w:rsidP="00F13A6D"/>
    <w:p w14:paraId="3444D498" w14:textId="4F9CA6C8" w:rsidR="00D905E2" w:rsidRDefault="00D905E2" w:rsidP="00F13A6D"/>
    <w:p w14:paraId="47B71F25" w14:textId="5732BC23" w:rsidR="00D905E2" w:rsidRDefault="00D905E2" w:rsidP="00F13A6D"/>
    <w:p w14:paraId="1AF9CABE" w14:textId="524D6039" w:rsidR="00D905E2" w:rsidRDefault="00D905E2" w:rsidP="00D905E2">
      <w:pPr>
        <w:pStyle w:val="Diana"/>
      </w:pPr>
      <w:r>
        <w:lastRenderedPageBreak/>
        <w:t xml:space="preserve">Se realiza un análisis del impacto de la calidad de vida en el valor del IQ. En este caso, sí se aprecia una diferencia notable entre ambas gráficas. En el top 15 de mejor calidad de vida se aprecian valores superiores de IQ, mientras que en el top 15 inferior hay valores muy bajos de IQ. Sin embargo, al no especificarse en el dataset qué tipo de test se le ha realizado a la muestra de la población de la que se han obtenido los datos, quizás </w:t>
      </w:r>
      <w:r w:rsidR="003D11EE">
        <w:t>la prueba sea más bien subjetiva, y no se aplicara a diferentes tipos de inteligencia (emocional, musical… entre otros).</w:t>
      </w:r>
      <w:r w:rsidR="00B40153">
        <w:t xml:space="preserve"> </w:t>
      </w:r>
      <w:r w:rsidR="00380E01">
        <w:t xml:space="preserve">No se puede concluir con seguridad que, para todos los tipos de inteligencia, la calidad de vida afecte. Sin embargo, se puede ver cómo </w:t>
      </w:r>
      <w:r w:rsidR="00877E12">
        <w:t xml:space="preserve">este factor </w:t>
      </w:r>
      <w:r w:rsidR="00380E01">
        <w:t xml:space="preserve">sí </w:t>
      </w:r>
      <w:r w:rsidR="00F009DE">
        <w:t>influye</w:t>
      </w:r>
      <w:r w:rsidR="00380E01">
        <w:t>, aunque sea de forma parcial.</w:t>
      </w:r>
    </w:p>
    <w:p w14:paraId="64329883" w14:textId="77777777" w:rsidR="00D905E2" w:rsidRDefault="00D905E2" w:rsidP="00D905E2">
      <w:pPr>
        <w:keepNext/>
      </w:pPr>
      <w:r>
        <w:rPr>
          <w:noProof/>
        </w:rPr>
        <w:drawing>
          <wp:inline distT="0" distB="0" distL="0" distR="0" wp14:anchorId="53A32D35" wp14:editId="2491B9C6">
            <wp:extent cx="5338638" cy="2765192"/>
            <wp:effectExtent l="0" t="0" r="14605" b="16510"/>
            <wp:docPr id="10" name="Gráfico 10">
              <a:extLst xmlns:a="http://schemas.openxmlformats.org/drawingml/2006/main">
                <a:ext uri="{FF2B5EF4-FFF2-40B4-BE49-F238E27FC236}">
                  <a16:creationId xmlns:a16="http://schemas.microsoft.com/office/drawing/2014/main" id="{1D5324C8-A43B-4639-8A31-2C921D0FA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11B2C2" w14:textId="3E04C6F1" w:rsidR="00D905E2" w:rsidRPr="00D905E2" w:rsidRDefault="00D905E2" w:rsidP="00D905E2">
      <w:pPr>
        <w:pStyle w:val="Descripcin"/>
        <w:jc w:val="center"/>
        <w:rPr>
          <w:rFonts w:ascii="Times New Roman" w:hAnsi="Times New Roman" w:cs="Times New Roman"/>
        </w:rPr>
      </w:pPr>
      <w:r w:rsidRPr="00D905E2">
        <w:rPr>
          <w:rFonts w:ascii="Times New Roman" w:hAnsi="Times New Roman" w:cs="Times New Roman"/>
        </w:rPr>
        <w:t xml:space="preserve">Ilustración </w:t>
      </w:r>
      <w:r w:rsidRPr="00D905E2">
        <w:rPr>
          <w:rFonts w:ascii="Times New Roman" w:hAnsi="Times New Roman" w:cs="Times New Roman"/>
        </w:rPr>
        <w:fldChar w:fldCharType="begin"/>
      </w:r>
      <w:r w:rsidRPr="00D905E2">
        <w:rPr>
          <w:rFonts w:ascii="Times New Roman" w:hAnsi="Times New Roman" w:cs="Times New Roman"/>
        </w:rPr>
        <w:instrText xml:space="preserve"> SEQ Ilustración \* ARABIC </w:instrText>
      </w:r>
      <w:r w:rsidRPr="00D905E2">
        <w:rPr>
          <w:rFonts w:ascii="Times New Roman" w:hAnsi="Times New Roman" w:cs="Times New Roman"/>
        </w:rPr>
        <w:fldChar w:fldCharType="separate"/>
      </w:r>
      <w:r w:rsidR="00694290">
        <w:rPr>
          <w:rFonts w:ascii="Times New Roman" w:hAnsi="Times New Roman" w:cs="Times New Roman"/>
          <w:noProof/>
        </w:rPr>
        <w:t>8</w:t>
      </w:r>
      <w:r w:rsidRPr="00D905E2">
        <w:rPr>
          <w:rFonts w:ascii="Times New Roman" w:hAnsi="Times New Roman" w:cs="Times New Roman"/>
        </w:rPr>
        <w:fldChar w:fldCharType="end"/>
      </w:r>
      <w:r w:rsidRPr="00D905E2">
        <w:rPr>
          <w:rFonts w:ascii="Times New Roman" w:hAnsi="Times New Roman" w:cs="Times New Roman"/>
        </w:rPr>
        <w:t>: IQ top 15 países con mejor calidad de vida</w:t>
      </w:r>
    </w:p>
    <w:p w14:paraId="2E23B501" w14:textId="77777777" w:rsidR="00D905E2" w:rsidRDefault="00D905E2" w:rsidP="00D905E2">
      <w:pPr>
        <w:keepNext/>
      </w:pPr>
      <w:r>
        <w:rPr>
          <w:noProof/>
        </w:rPr>
        <w:drawing>
          <wp:inline distT="0" distB="0" distL="0" distR="0" wp14:anchorId="3E737A41" wp14:editId="196BAAFF">
            <wp:extent cx="5338637" cy="2756542"/>
            <wp:effectExtent l="0" t="0" r="14605" b="5715"/>
            <wp:docPr id="11" name="Gráfico 11">
              <a:extLst xmlns:a="http://schemas.openxmlformats.org/drawingml/2006/main">
                <a:ext uri="{FF2B5EF4-FFF2-40B4-BE49-F238E27FC236}">
                  <a16:creationId xmlns:a16="http://schemas.microsoft.com/office/drawing/2014/main" id="{0CC723E5-AB16-4A48-BE6F-2E05D2FD0C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4DD3E3" w14:textId="706EBCAC" w:rsidR="001F0067" w:rsidRPr="00496B21" w:rsidRDefault="00D905E2" w:rsidP="00496B21">
      <w:pPr>
        <w:pStyle w:val="Descripcin"/>
        <w:jc w:val="center"/>
        <w:rPr>
          <w:rFonts w:ascii="Times New Roman" w:hAnsi="Times New Roman" w:cs="Times New Roman"/>
        </w:rPr>
      </w:pPr>
      <w:r w:rsidRPr="00D905E2">
        <w:rPr>
          <w:rFonts w:ascii="Times New Roman" w:hAnsi="Times New Roman" w:cs="Times New Roman"/>
        </w:rPr>
        <w:t xml:space="preserve">Ilustración </w:t>
      </w:r>
      <w:r w:rsidRPr="00D905E2">
        <w:rPr>
          <w:rFonts w:ascii="Times New Roman" w:hAnsi="Times New Roman" w:cs="Times New Roman"/>
        </w:rPr>
        <w:fldChar w:fldCharType="begin"/>
      </w:r>
      <w:r w:rsidRPr="00D905E2">
        <w:rPr>
          <w:rFonts w:ascii="Times New Roman" w:hAnsi="Times New Roman" w:cs="Times New Roman"/>
        </w:rPr>
        <w:instrText xml:space="preserve"> SEQ Ilustración \* ARABIC </w:instrText>
      </w:r>
      <w:r w:rsidRPr="00D905E2">
        <w:rPr>
          <w:rFonts w:ascii="Times New Roman" w:hAnsi="Times New Roman" w:cs="Times New Roman"/>
        </w:rPr>
        <w:fldChar w:fldCharType="separate"/>
      </w:r>
      <w:r w:rsidR="00694290">
        <w:rPr>
          <w:rFonts w:ascii="Times New Roman" w:hAnsi="Times New Roman" w:cs="Times New Roman"/>
          <w:noProof/>
        </w:rPr>
        <w:t>9</w:t>
      </w:r>
      <w:r w:rsidRPr="00D905E2">
        <w:rPr>
          <w:rFonts w:ascii="Times New Roman" w:hAnsi="Times New Roman" w:cs="Times New Roman"/>
        </w:rPr>
        <w:fldChar w:fldCharType="end"/>
      </w:r>
      <w:r w:rsidRPr="00D905E2">
        <w:rPr>
          <w:rFonts w:ascii="Times New Roman" w:hAnsi="Times New Roman" w:cs="Times New Roman"/>
        </w:rPr>
        <w:t>: IQ top 15 países con peor calidad de vida</w:t>
      </w:r>
    </w:p>
    <w:p w14:paraId="5489B9AD" w14:textId="398CAD5F" w:rsidR="00B40153" w:rsidRDefault="00B40153" w:rsidP="00B40153">
      <w:pPr>
        <w:pStyle w:val="Diana"/>
      </w:pPr>
      <w:r>
        <w:lastRenderedPageBreak/>
        <w:t>Se realiza un análisis del impacto de la calidad de vida en el valor de</w:t>
      </w:r>
      <w:r>
        <w:t xml:space="preserve"> la esperanza de vida de hombres y mujeres.</w:t>
      </w:r>
      <w:r w:rsidR="00380E01">
        <w:t xml:space="preserve"> En este caso sí se puede apreciar</w:t>
      </w:r>
      <w:r w:rsidR="00496B21">
        <w:t xml:space="preserve"> una diferencia entre la esperanza de vida en las diferentes gráficas. En el top 15 superior, se alcanzan los 88 años de esperanza de vida para las mujeres, mientras que en el top 15 inferior llega a un máximo de 80. En el caso de los hombres, en el top 15 superior alcanzan los 83 años, mientras que en el inferior, apenas superan los 75. Se concluye así que la calidad de vida afecta a la esperanza de la misma.</w:t>
      </w:r>
    </w:p>
    <w:p w14:paraId="43BCB2B4" w14:textId="77777777" w:rsidR="00B40153" w:rsidRDefault="00B40153" w:rsidP="00B40153">
      <w:pPr>
        <w:keepNext/>
      </w:pPr>
      <w:r>
        <w:rPr>
          <w:noProof/>
        </w:rPr>
        <w:drawing>
          <wp:inline distT="0" distB="0" distL="0" distR="0" wp14:anchorId="438833D9" wp14:editId="0590A737">
            <wp:extent cx="5370911" cy="2668979"/>
            <wp:effectExtent l="0" t="0" r="1270" b="17145"/>
            <wp:docPr id="12" name="Gráfico 12">
              <a:extLst xmlns:a="http://schemas.openxmlformats.org/drawingml/2006/main">
                <a:ext uri="{FF2B5EF4-FFF2-40B4-BE49-F238E27FC236}">
                  <a16:creationId xmlns:a16="http://schemas.microsoft.com/office/drawing/2014/main" id="{C3C5C06E-6564-41A9-B360-0A2452BBC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207331" w14:textId="5326420B" w:rsidR="00B40153" w:rsidRPr="00B40153" w:rsidRDefault="00B40153" w:rsidP="00B40153">
      <w:pPr>
        <w:pStyle w:val="Descripcin"/>
        <w:jc w:val="center"/>
        <w:rPr>
          <w:rFonts w:ascii="Times New Roman" w:hAnsi="Times New Roman" w:cs="Times New Roman"/>
        </w:rPr>
      </w:pPr>
      <w:r w:rsidRPr="00B40153">
        <w:rPr>
          <w:rFonts w:ascii="Times New Roman" w:hAnsi="Times New Roman" w:cs="Times New Roman"/>
        </w:rPr>
        <w:t xml:space="preserve">Ilustración </w:t>
      </w:r>
      <w:r w:rsidRPr="00B40153">
        <w:rPr>
          <w:rFonts w:ascii="Times New Roman" w:hAnsi="Times New Roman" w:cs="Times New Roman"/>
        </w:rPr>
        <w:fldChar w:fldCharType="begin"/>
      </w:r>
      <w:r w:rsidRPr="00B40153">
        <w:rPr>
          <w:rFonts w:ascii="Times New Roman" w:hAnsi="Times New Roman" w:cs="Times New Roman"/>
        </w:rPr>
        <w:instrText xml:space="preserve"> SEQ Ilustración \* ARABIC </w:instrText>
      </w:r>
      <w:r w:rsidRPr="00B40153">
        <w:rPr>
          <w:rFonts w:ascii="Times New Roman" w:hAnsi="Times New Roman" w:cs="Times New Roman"/>
        </w:rPr>
        <w:fldChar w:fldCharType="separate"/>
      </w:r>
      <w:r w:rsidR="00694290">
        <w:rPr>
          <w:rFonts w:ascii="Times New Roman" w:hAnsi="Times New Roman" w:cs="Times New Roman"/>
          <w:noProof/>
        </w:rPr>
        <w:t>10</w:t>
      </w:r>
      <w:r w:rsidRPr="00B40153">
        <w:rPr>
          <w:rFonts w:ascii="Times New Roman" w:hAnsi="Times New Roman" w:cs="Times New Roman"/>
        </w:rPr>
        <w:fldChar w:fldCharType="end"/>
      </w:r>
      <w:r w:rsidRPr="00B40153">
        <w:rPr>
          <w:rFonts w:ascii="Times New Roman" w:hAnsi="Times New Roman" w:cs="Times New Roman"/>
        </w:rPr>
        <w:t>: esperanza de vida top 15 países con mejor calidad de vida</w:t>
      </w:r>
    </w:p>
    <w:p w14:paraId="6A6585C9" w14:textId="77777777" w:rsidR="00B40153" w:rsidRDefault="00B40153" w:rsidP="00B40153">
      <w:pPr>
        <w:keepNext/>
      </w:pPr>
      <w:r>
        <w:rPr>
          <w:noProof/>
        </w:rPr>
        <w:drawing>
          <wp:inline distT="0" distB="0" distL="0" distR="0" wp14:anchorId="57B10335" wp14:editId="528BAD16">
            <wp:extent cx="5324121" cy="2753084"/>
            <wp:effectExtent l="0" t="0" r="10160" b="9525"/>
            <wp:docPr id="13" name="Gráfico 13">
              <a:extLst xmlns:a="http://schemas.openxmlformats.org/drawingml/2006/main">
                <a:ext uri="{FF2B5EF4-FFF2-40B4-BE49-F238E27FC236}">
                  <a16:creationId xmlns:a16="http://schemas.microsoft.com/office/drawing/2014/main" id="{1FA434E2-D570-40FA-AA84-10C0D4735D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6B72AD" w14:textId="2FB98C99" w:rsidR="001F0067" w:rsidRDefault="00B40153" w:rsidP="00B40153">
      <w:pPr>
        <w:pStyle w:val="Descripcin"/>
        <w:jc w:val="center"/>
      </w:pPr>
      <w:r w:rsidRPr="00B40153">
        <w:rPr>
          <w:rFonts w:ascii="Times New Roman" w:hAnsi="Times New Roman" w:cs="Times New Roman"/>
        </w:rPr>
        <w:t xml:space="preserve">Ilustración </w:t>
      </w:r>
      <w:r w:rsidRPr="00B40153">
        <w:rPr>
          <w:rFonts w:ascii="Times New Roman" w:hAnsi="Times New Roman" w:cs="Times New Roman"/>
        </w:rPr>
        <w:fldChar w:fldCharType="begin"/>
      </w:r>
      <w:r w:rsidRPr="00B40153">
        <w:rPr>
          <w:rFonts w:ascii="Times New Roman" w:hAnsi="Times New Roman" w:cs="Times New Roman"/>
        </w:rPr>
        <w:instrText xml:space="preserve"> SEQ Ilustración \* ARABIC </w:instrText>
      </w:r>
      <w:r w:rsidRPr="00B40153">
        <w:rPr>
          <w:rFonts w:ascii="Times New Roman" w:hAnsi="Times New Roman" w:cs="Times New Roman"/>
        </w:rPr>
        <w:fldChar w:fldCharType="separate"/>
      </w:r>
      <w:r w:rsidR="00694290">
        <w:rPr>
          <w:rFonts w:ascii="Times New Roman" w:hAnsi="Times New Roman" w:cs="Times New Roman"/>
          <w:noProof/>
        </w:rPr>
        <w:t>11</w:t>
      </w:r>
      <w:r w:rsidRPr="00B40153">
        <w:rPr>
          <w:rFonts w:ascii="Times New Roman" w:hAnsi="Times New Roman" w:cs="Times New Roman"/>
        </w:rPr>
        <w:fldChar w:fldCharType="end"/>
      </w:r>
      <w:r w:rsidRPr="00B40153">
        <w:rPr>
          <w:rFonts w:ascii="Times New Roman" w:hAnsi="Times New Roman" w:cs="Times New Roman"/>
        </w:rPr>
        <w:t>:</w:t>
      </w:r>
      <w:r>
        <w:t xml:space="preserve"> </w:t>
      </w:r>
      <w:r w:rsidRPr="00B40153">
        <w:rPr>
          <w:rFonts w:ascii="Times New Roman" w:hAnsi="Times New Roman" w:cs="Times New Roman"/>
        </w:rPr>
        <w:t xml:space="preserve">esperanza de vida top 15 países con </w:t>
      </w:r>
      <w:r>
        <w:rPr>
          <w:rFonts w:ascii="Times New Roman" w:hAnsi="Times New Roman" w:cs="Times New Roman"/>
        </w:rPr>
        <w:t>peor</w:t>
      </w:r>
      <w:r w:rsidRPr="00B40153">
        <w:rPr>
          <w:rFonts w:ascii="Times New Roman" w:hAnsi="Times New Roman" w:cs="Times New Roman"/>
        </w:rPr>
        <w:t xml:space="preserve"> calidad de vida</w:t>
      </w:r>
    </w:p>
    <w:p w14:paraId="3A51B31D" w14:textId="4EC682C4" w:rsidR="001F0067" w:rsidRDefault="001F0067" w:rsidP="00F13A6D"/>
    <w:p w14:paraId="328AA755" w14:textId="6D70E086" w:rsidR="001F0067" w:rsidRDefault="001F0067" w:rsidP="00F13A6D"/>
    <w:p w14:paraId="1E626081" w14:textId="78CE0191" w:rsidR="00B07A27" w:rsidRDefault="00B07A27" w:rsidP="00B07A27">
      <w:pPr>
        <w:pStyle w:val="Diana"/>
      </w:pPr>
      <w:r>
        <w:lastRenderedPageBreak/>
        <w:t>Finalmente, se analiza la tasa de natalidad e índice de mortalidad en función de la calidad de la vida de hombres y mujeres.</w:t>
      </w:r>
      <w:r w:rsidR="004B6DAC">
        <w:t xml:space="preserve"> Se puede apreciar que en el top 15 inferior hay una tasa de natalidad mayor que en el top 15 superior. Si se tiene en cuenta la falta de medios anticonceptivos (peor calidad de vida), este resultado tendría sentido. Por otra parte, fijándose en el valor del índice de mortalidad, </w:t>
      </w:r>
      <w:r w:rsidR="005579B6">
        <w:t xml:space="preserve">en </w:t>
      </w:r>
      <w:r w:rsidR="004B6DAC">
        <w:t>contra</w:t>
      </w:r>
      <w:r w:rsidR="005579B6">
        <w:t xml:space="preserve"> de</w:t>
      </w:r>
      <w:r w:rsidR="004B6DAC">
        <w:t xml:space="preserve"> lo que se pudiera creer en un primer momento, son valores bastante parecidos entre ambas gráficas, llegando </w:t>
      </w:r>
      <w:r w:rsidR="005579B6">
        <w:t xml:space="preserve">a </w:t>
      </w:r>
      <w:r w:rsidR="004B6DAC">
        <w:t>ser mayor el índice de mortalidad en el top 15 superior que el</w:t>
      </w:r>
      <w:r w:rsidR="005579B6">
        <w:t xml:space="preserve"> del</w:t>
      </w:r>
      <w:r w:rsidR="004B6DAC">
        <w:t xml:space="preserve"> inferior en algún caso. Sin embargo, sería interesante realizar un estudio en </w:t>
      </w:r>
      <w:r w:rsidR="006D1D28">
        <w:t xml:space="preserve">mayor </w:t>
      </w:r>
      <w:r w:rsidR="004B6DAC">
        <w:t>profundidad sobre estos datos ya que, como se ha visto anteriormente, la esperanza de vida es menor en el top 15 inferior.</w:t>
      </w:r>
    </w:p>
    <w:p w14:paraId="7E79B6CE" w14:textId="77777777" w:rsidR="00B07A27" w:rsidRDefault="00B07A27" w:rsidP="00B07A27">
      <w:pPr>
        <w:pStyle w:val="Diana"/>
        <w:keepNext/>
      </w:pPr>
      <w:r>
        <w:rPr>
          <w:noProof/>
        </w:rPr>
        <w:drawing>
          <wp:inline distT="0" distB="0" distL="0" distR="0" wp14:anchorId="380B28B4" wp14:editId="537C0486">
            <wp:extent cx="5385427" cy="2668979"/>
            <wp:effectExtent l="0" t="0" r="6350" b="17145"/>
            <wp:docPr id="14" name="Gráfico 14">
              <a:extLst xmlns:a="http://schemas.openxmlformats.org/drawingml/2006/main">
                <a:ext uri="{FF2B5EF4-FFF2-40B4-BE49-F238E27FC236}">
                  <a16:creationId xmlns:a16="http://schemas.microsoft.com/office/drawing/2014/main" id="{AE486451-D360-488B-B587-921A2A96A2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670AD4" w14:textId="79792F79" w:rsidR="00B07A27" w:rsidRPr="00B07A27" w:rsidRDefault="00B07A27" w:rsidP="00B07A27">
      <w:pPr>
        <w:pStyle w:val="Descripcin"/>
        <w:jc w:val="center"/>
        <w:rPr>
          <w:rFonts w:ascii="Times New Roman" w:hAnsi="Times New Roman" w:cs="Times New Roman"/>
        </w:rPr>
      </w:pPr>
      <w:r w:rsidRPr="00B07A27">
        <w:rPr>
          <w:rFonts w:ascii="Times New Roman" w:hAnsi="Times New Roman" w:cs="Times New Roman"/>
        </w:rPr>
        <w:t xml:space="preserve">Ilustración </w:t>
      </w:r>
      <w:r w:rsidRPr="00B07A27">
        <w:rPr>
          <w:rFonts w:ascii="Times New Roman" w:hAnsi="Times New Roman" w:cs="Times New Roman"/>
        </w:rPr>
        <w:fldChar w:fldCharType="begin"/>
      </w:r>
      <w:r w:rsidRPr="00B07A27">
        <w:rPr>
          <w:rFonts w:ascii="Times New Roman" w:hAnsi="Times New Roman" w:cs="Times New Roman"/>
        </w:rPr>
        <w:instrText xml:space="preserve"> SEQ Ilustración \* ARABIC </w:instrText>
      </w:r>
      <w:r w:rsidRPr="00B07A27">
        <w:rPr>
          <w:rFonts w:ascii="Times New Roman" w:hAnsi="Times New Roman" w:cs="Times New Roman"/>
        </w:rPr>
        <w:fldChar w:fldCharType="separate"/>
      </w:r>
      <w:r w:rsidR="00694290">
        <w:rPr>
          <w:rFonts w:ascii="Times New Roman" w:hAnsi="Times New Roman" w:cs="Times New Roman"/>
          <w:noProof/>
        </w:rPr>
        <w:t>12</w:t>
      </w:r>
      <w:r w:rsidRPr="00B07A27">
        <w:rPr>
          <w:rFonts w:ascii="Times New Roman" w:hAnsi="Times New Roman" w:cs="Times New Roman"/>
        </w:rPr>
        <w:fldChar w:fldCharType="end"/>
      </w:r>
      <w:r w:rsidRPr="00B07A27">
        <w:rPr>
          <w:rFonts w:ascii="Times New Roman" w:hAnsi="Times New Roman" w:cs="Times New Roman"/>
        </w:rPr>
        <w:t>: tasa de natalidad e índice de mortalidad top 15 países con mejor calidad de vida</w:t>
      </w:r>
    </w:p>
    <w:p w14:paraId="0F5202C8" w14:textId="77777777" w:rsidR="00B07A27" w:rsidRDefault="00B07A27" w:rsidP="00B07A27">
      <w:pPr>
        <w:pStyle w:val="Diana"/>
        <w:keepNext/>
      </w:pPr>
      <w:r>
        <w:rPr>
          <w:noProof/>
        </w:rPr>
        <w:drawing>
          <wp:inline distT="0" distB="0" distL="0" distR="0" wp14:anchorId="75C54824" wp14:editId="57C67939">
            <wp:extent cx="5385427" cy="2656279"/>
            <wp:effectExtent l="0" t="0" r="6350" b="10795"/>
            <wp:docPr id="15" name="Gráfico 15">
              <a:extLst xmlns:a="http://schemas.openxmlformats.org/drawingml/2006/main">
                <a:ext uri="{FF2B5EF4-FFF2-40B4-BE49-F238E27FC236}">
                  <a16:creationId xmlns:a16="http://schemas.microsoft.com/office/drawing/2014/main" id="{EB42A963-A4AA-46AD-A11C-1B9C700C5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5F57F3" w14:textId="40035461" w:rsidR="00B07A27" w:rsidRPr="00B07A27" w:rsidRDefault="00B07A27" w:rsidP="00B07A27">
      <w:pPr>
        <w:pStyle w:val="Descripcin"/>
        <w:jc w:val="center"/>
        <w:rPr>
          <w:rFonts w:ascii="Times New Roman" w:hAnsi="Times New Roman" w:cs="Times New Roman"/>
        </w:rPr>
      </w:pPr>
      <w:r w:rsidRPr="00B07A27">
        <w:rPr>
          <w:rFonts w:ascii="Times New Roman" w:hAnsi="Times New Roman" w:cs="Times New Roman"/>
        </w:rPr>
        <w:t xml:space="preserve">Ilustración </w:t>
      </w:r>
      <w:r w:rsidRPr="00B07A27">
        <w:rPr>
          <w:rFonts w:ascii="Times New Roman" w:hAnsi="Times New Roman" w:cs="Times New Roman"/>
        </w:rPr>
        <w:fldChar w:fldCharType="begin"/>
      </w:r>
      <w:r w:rsidRPr="00B07A27">
        <w:rPr>
          <w:rFonts w:ascii="Times New Roman" w:hAnsi="Times New Roman" w:cs="Times New Roman"/>
        </w:rPr>
        <w:instrText xml:space="preserve"> SEQ Ilustración \* ARABIC </w:instrText>
      </w:r>
      <w:r w:rsidRPr="00B07A27">
        <w:rPr>
          <w:rFonts w:ascii="Times New Roman" w:hAnsi="Times New Roman" w:cs="Times New Roman"/>
        </w:rPr>
        <w:fldChar w:fldCharType="separate"/>
      </w:r>
      <w:r w:rsidR="00694290">
        <w:rPr>
          <w:rFonts w:ascii="Times New Roman" w:hAnsi="Times New Roman" w:cs="Times New Roman"/>
          <w:noProof/>
        </w:rPr>
        <w:t>13</w:t>
      </w:r>
      <w:r w:rsidRPr="00B07A27">
        <w:rPr>
          <w:rFonts w:ascii="Times New Roman" w:hAnsi="Times New Roman" w:cs="Times New Roman"/>
        </w:rPr>
        <w:fldChar w:fldCharType="end"/>
      </w:r>
      <w:r w:rsidRPr="00B07A27">
        <w:rPr>
          <w:rFonts w:ascii="Times New Roman" w:hAnsi="Times New Roman" w:cs="Times New Roman"/>
        </w:rPr>
        <w:t>: tasa de natalidad e índice de mortalidad top 15 países con peor calidad de vida</w:t>
      </w:r>
    </w:p>
    <w:p w14:paraId="4CBBBA98" w14:textId="4AADFD7C" w:rsidR="00753771" w:rsidRDefault="00753771" w:rsidP="00753771">
      <w:pPr>
        <w:pStyle w:val="Ttulo1"/>
        <w:spacing w:line="360" w:lineRule="auto"/>
        <w:jc w:val="both"/>
        <w:rPr>
          <w:rFonts w:ascii="Times New Roman" w:eastAsiaTheme="minorHAnsi" w:hAnsi="Times New Roman" w:cs="Times New Roman"/>
          <w:b/>
          <w:bCs/>
          <w:smallCaps/>
          <w:color w:val="auto"/>
          <w:sz w:val="28"/>
          <w:szCs w:val="28"/>
        </w:rPr>
      </w:pPr>
      <w:bookmarkStart w:id="5" w:name="_Toc116939133"/>
      <w:r>
        <w:rPr>
          <w:rFonts w:ascii="Times New Roman" w:eastAsiaTheme="minorHAnsi" w:hAnsi="Times New Roman" w:cs="Times New Roman"/>
          <w:b/>
          <w:bCs/>
          <w:smallCaps/>
          <w:color w:val="auto"/>
          <w:sz w:val="28"/>
          <w:szCs w:val="28"/>
        </w:rPr>
        <w:lastRenderedPageBreak/>
        <w:t>Bibliografía</w:t>
      </w:r>
      <w:bookmarkEnd w:id="5"/>
    </w:p>
    <w:p w14:paraId="0FE25425" w14:textId="7FAD4DE3" w:rsidR="00753771" w:rsidRDefault="00753771" w:rsidP="00753771">
      <w:pPr>
        <w:pStyle w:val="Diana"/>
      </w:pPr>
      <w:r>
        <w:t xml:space="preserve">[1] Fuente de datos. </w:t>
      </w:r>
      <w:proofErr w:type="spellStart"/>
      <w:r w:rsidRPr="00753771">
        <w:rPr>
          <w:i/>
          <w:iCs/>
        </w:rPr>
        <w:t>World</w:t>
      </w:r>
      <w:proofErr w:type="spellEnd"/>
      <w:r w:rsidRPr="00753771">
        <w:rPr>
          <w:i/>
          <w:iCs/>
        </w:rPr>
        <w:t xml:space="preserve"> </w:t>
      </w:r>
      <w:proofErr w:type="spellStart"/>
      <w:r w:rsidRPr="00753771">
        <w:rPr>
          <w:i/>
          <w:iCs/>
        </w:rPr>
        <w:t>Population</w:t>
      </w:r>
      <w:proofErr w:type="spellEnd"/>
      <w:r w:rsidRPr="00753771">
        <w:rPr>
          <w:i/>
          <w:iCs/>
        </w:rPr>
        <w:t xml:space="preserve"> Data</w:t>
      </w:r>
      <w:r w:rsidRPr="00753771">
        <w:t xml:space="preserve"> (por </w:t>
      </w:r>
      <w:proofErr w:type="spellStart"/>
      <w:r w:rsidRPr="00753771">
        <w:t>Madhur</w:t>
      </w:r>
      <w:proofErr w:type="spellEnd"/>
      <w:r w:rsidRPr="00753771">
        <w:t xml:space="preserve"> </w:t>
      </w:r>
      <w:proofErr w:type="spellStart"/>
      <w:r w:rsidRPr="00753771">
        <w:t>Pant</w:t>
      </w:r>
      <w:proofErr w:type="spellEnd"/>
      <w:r w:rsidRPr="00753771">
        <w:t>, actualizado el 23 de</w:t>
      </w:r>
      <w:r>
        <w:t xml:space="preserve"> septiembre de 2022). </w:t>
      </w:r>
      <w:hyperlink r:id="rId22" w:history="1">
        <w:r w:rsidRPr="009F3A32">
          <w:rPr>
            <w:rStyle w:val="Hipervnculo"/>
          </w:rPr>
          <w:t>https://www.kaggle.com/datasets/madhurpant/world-population-data?select=iq.csv</w:t>
        </w:r>
      </w:hyperlink>
      <w:r>
        <w:t xml:space="preserve"> (última visita realizada el 16/10/2022).</w:t>
      </w:r>
    </w:p>
    <w:p w14:paraId="3691F3B4" w14:textId="69473064" w:rsidR="00F13A6D" w:rsidRDefault="00F13A6D" w:rsidP="00753771">
      <w:pPr>
        <w:pStyle w:val="Diana"/>
      </w:pPr>
      <w:r>
        <w:t xml:space="preserve">[2] Criterio de clasificación de nivel de peso de adultos. </w:t>
      </w:r>
      <w:r>
        <w:rPr>
          <w:i/>
          <w:iCs/>
        </w:rPr>
        <w:t xml:space="preserve">Acerca del índice corporal para </w:t>
      </w:r>
      <w:r w:rsidRPr="00F13A6D">
        <w:rPr>
          <w:i/>
          <w:iCs/>
        </w:rPr>
        <w:t>adultos</w:t>
      </w:r>
      <w:r>
        <w:t xml:space="preserve"> (publicado por Centros para el Control y la Prevención de Enfermedades). </w:t>
      </w:r>
      <w:hyperlink r:id="rId23" w:history="1">
        <w:r w:rsidRPr="00405171">
          <w:rPr>
            <w:rStyle w:val="Hipervnculo"/>
          </w:rPr>
          <w:t>https://www.cdc.gov/healthyweight/spanish/assessing/bmi/adult_bmi/index.html</w:t>
        </w:r>
      </w:hyperlink>
      <w:r>
        <w:t xml:space="preserve"> (última visita realizada el 17/10/2022).</w:t>
      </w:r>
    </w:p>
    <w:p w14:paraId="6B186C3A" w14:textId="253F2517" w:rsidR="004E7E27" w:rsidRPr="004E7E27" w:rsidRDefault="004E7E27" w:rsidP="00753771">
      <w:pPr>
        <w:pStyle w:val="Diana"/>
      </w:pPr>
      <w:r>
        <w:t xml:space="preserve">[3] </w:t>
      </w:r>
      <w:r w:rsidRPr="004E7E27">
        <w:t xml:space="preserve">Criterio de clasificación de categoría en función de </w:t>
      </w:r>
      <w:proofErr w:type="spellStart"/>
      <w:r w:rsidRPr="004E7E27">
        <w:t>iq</w:t>
      </w:r>
      <w:proofErr w:type="spellEnd"/>
      <w:r w:rsidRPr="004E7E27">
        <w:t xml:space="preserve">. </w:t>
      </w:r>
      <w:r w:rsidRPr="004E7E27">
        <w:rPr>
          <w:i/>
          <w:iCs/>
        </w:rPr>
        <w:t>¿Cuál es el coeficiente intelectual promedio de una persona?</w:t>
      </w:r>
      <w:r>
        <w:rPr>
          <w:i/>
          <w:iCs/>
        </w:rPr>
        <w:t xml:space="preserve"> </w:t>
      </w:r>
      <w:r>
        <w:t>(publicado por El Universo, El Mayor Diario Nacional)</w:t>
      </w:r>
      <w:r w:rsidR="003B65DF">
        <w:t xml:space="preserve">. </w:t>
      </w:r>
      <w:hyperlink r:id="rId24" w:history="1">
        <w:r w:rsidR="003B65DF" w:rsidRPr="00405171">
          <w:rPr>
            <w:rStyle w:val="Hipervnculo"/>
          </w:rPr>
          <w:t>https://www.eluniverso.com/larevista/sociedad/cual-es-el-coeficiente-intelectual-promedio-en-una-persona-nota/</w:t>
        </w:r>
      </w:hyperlink>
      <w:r w:rsidR="003B65DF">
        <w:t xml:space="preserve"> (última visita realizada el 17/10/2022).</w:t>
      </w:r>
    </w:p>
    <w:p w14:paraId="447E3C03" w14:textId="4F65AC94" w:rsidR="00ED39B5" w:rsidRPr="00753771" w:rsidRDefault="00ED39B5" w:rsidP="00753771">
      <w:pPr>
        <w:pStyle w:val="Diana"/>
      </w:pPr>
    </w:p>
    <w:p w14:paraId="175B0C26" w14:textId="77C9B902" w:rsidR="00753771" w:rsidRPr="00753771" w:rsidRDefault="00753771" w:rsidP="00753771">
      <w:pPr>
        <w:pStyle w:val="Diana"/>
      </w:pPr>
    </w:p>
    <w:p w14:paraId="2F3CD204" w14:textId="4B51C037" w:rsidR="00753771" w:rsidRDefault="00753771" w:rsidP="00BC7086">
      <w:pPr>
        <w:pStyle w:val="Diana"/>
      </w:pPr>
    </w:p>
    <w:p w14:paraId="30D61E6B" w14:textId="77777777" w:rsidR="00BC7086" w:rsidRPr="00222FD1" w:rsidRDefault="00BC7086" w:rsidP="002256BC">
      <w:pPr>
        <w:pStyle w:val="Diana"/>
      </w:pPr>
    </w:p>
    <w:sectPr w:rsidR="00BC7086" w:rsidRPr="00222FD1" w:rsidSect="001E0357">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5990" w14:textId="77777777" w:rsidR="007F14BE" w:rsidRDefault="007F14BE" w:rsidP="001E0357">
      <w:pPr>
        <w:spacing w:after="0" w:line="240" w:lineRule="auto"/>
      </w:pPr>
      <w:r>
        <w:separator/>
      </w:r>
    </w:p>
  </w:endnote>
  <w:endnote w:type="continuationSeparator" w:id="0">
    <w:p w14:paraId="2332E244" w14:textId="77777777" w:rsidR="007F14BE" w:rsidRDefault="007F14BE" w:rsidP="001E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68751"/>
      <w:docPartObj>
        <w:docPartGallery w:val="Page Numbers (Bottom of Page)"/>
        <w:docPartUnique/>
      </w:docPartObj>
    </w:sdtPr>
    <w:sdtContent>
      <w:p w14:paraId="680378CB" w14:textId="58C2D33F" w:rsidR="001E0357" w:rsidRDefault="001E0357" w:rsidP="002025AF">
        <w:pPr>
          <w:pStyle w:val="Diana"/>
          <w:jc w:val="right"/>
        </w:pPr>
        <w:r>
          <w:fldChar w:fldCharType="begin"/>
        </w:r>
        <w:r>
          <w:instrText>PAGE   \* MERGEFORMAT</w:instrText>
        </w:r>
        <w:r>
          <w:fldChar w:fldCharType="separate"/>
        </w:r>
        <w:r>
          <w:t>2</w:t>
        </w:r>
        <w:r>
          <w:fldChar w:fldCharType="end"/>
        </w:r>
      </w:p>
    </w:sdtContent>
  </w:sdt>
  <w:p w14:paraId="1895DCC5" w14:textId="77777777" w:rsidR="001E0357" w:rsidRDefault="001E03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7D1B" w14:textId="77777777" w:rsidR="007F14BE" w:rsidRDefault="007F14BE" w:rsidP="001E0357">
      <w:pPr>
        <w:spacing w:after="0" w:line="240" w:lineRule="auto"/>
      </w:pPr>
      <w:r>
        <w:separator/>
      </w:r>
    </w:p>
  </w:footnote>
  <w:footnote w:type="continuationSeparator" w:id="0">
    <w:p w14:paraId="0C8491B3" w14:textId="77777777" w:rsidR="007F14BE" w:rsidRDefault="007F14BE" w:rsidP="001E0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CC6"/>
    <w:multiLevelType w:val="hybridMultilevel"/>
    <w:tmpl w:val="66D68D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7E4A0A"/>
    <w:multiLevelType w:val="hybridMultilevel"/>
    <w:tmpl w:val="6CBA92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56BFF"/>
    <w:multiLevelType w:val="hybridMultilevel"/>
    <w:tmpl w:val="DD8AB26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D547902"/>
    <w:multiLevelType w:val="hybridMultilevel"/>
    <w:tmpl w:val="2E38758E"/>
    <w:lvl w:ilvl="0" w:tplc="7640FD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6D510F"/>
    <w:multiLevelType w:val="hybridMultilevel"/>
    <w:tmpl w:val="4CD4EDA0"/>
    <w:lvl w:ilvl="0" w:tplc="9E7452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5C006C"/>
    <w:multiLevelType w:val="hybridMultilevel"/>
    <w:tmpl w:val="1F02D44E"/>
    <w:lvl w:ilvl="0" w:tplc="F3A48B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2A4A4E"/>
    <w:multiLevelType w:val="hybridMultilevel"/>
    <w:tmpl w:val="4B0682AE"/>
    <w:lvl w:ilvl="0" w:tplc="034268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7333A6"/>
    <w:multiLevelType w:val="hybridMultilevel"/>
    <w:tmpl w:val="DD8AB26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6062978"/>
    <w:multiLevelType w:val="hybridMultilevel"/>
    <w:tmpl w:val="219018BA"/>
    <w:lvl w:ilvl="0" w:tplc="050CF07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9E7240"/>
    <w:multiLevelType w:val="hybridMultilevel"/>
    <w:tmpl w:val="C52E20AE"/>
    <w:lvl w:ilvl="0" w:tplc="8BEC5824">
      <w:start w:val="9"/>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C008ED"/>
    <w:multiLevelType w:val="hybridMultilevel"/>
    <w:tmpl w:val="4DC4EEFA"/>
    <w:lvl w:ilvl="0" w:tplc="7D18712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E90839"/>
    <w:multiLevelType w:val="hybridMultilevel"/>
    <w:tmpl w:val="6CBA92D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513B21"/>
    <w:multiLevelType w:val="hybridMultilevel"/>
    <w:tmpl w:val="FE3023E0"/>
    <w:lvl w:ilvl="0" w:tplc="B0B2396A">
      <w:start w:val="9"/>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7E3D58"/>
    <w:multiLevelType w:val="hybridMultilevel"/>
    <w:tmpl w:val="29DC3174"/>
    <w:lvl w:ilvl="0" w:tplc="7640FD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8D2DC6"/>
    <w:multiLevelType w:val="hybridMultilevel"/>
    <w:tmpl w:val="B68C8A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D20FFD"/>
    <w:multiLevelType w:val="hybridMultilevel"/>
    <w:tmpl w:val="148E0B5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286F63BF"/>
    <w:multiLevelType w:val="hybridMultilevel"/>
    <w:tmpl w:val="3AD20514"/>
    <w:lvl w:ilvl="0" w:tplc="067657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93B736B"/>
    <w:multiLevelType w:val="hybridMultilevel"/>
    <w:tmpl w:val="55620B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C76F1E"/>
    <w:multiLevelType w:val="hybridMultilevel"/>
    <w:tmpl w:val="DD8AB264"/>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8D1790B"/>
    <w:multiLevelType w:val="hybridMultilevel"/>
    <w:tmpl w:val="B68C8A22"/>
    <w:lvl w:ilvl="0" w:tplc="034268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EC36DE"/>
    <w:multiLevelType w:val="hybridMultilevel"/>
    <w:tmpl w:val="A6B28A52"/>
    <w:lvl w:ilvl="0" w:tplc="F0F2F24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F4F74E5"/>
    <w:multiLevelType w:val="hybridMultilevel"/>
    <w:tmpl w:val="592EB82E"/>
    <w:lvl w:ilvl="0" w:tplc="B874EDC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5C6130"/>
    <w:multiLevelType w:val="hybridMultilevel"/>
    <w:tmpl w:val="5B48474C"/>
    <w:lvl w:ilvl="0" w:tplc="50E6F49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45F3342"/>
    <w:multiLevelType w:val="hybridMultilevel"/>
    <w:tmpl w:val="DCEA86F4"/>
    <w:lvl w:ilvl="0" w:tplc="F3A48B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88F5926"/>
    <w:multiLevelType w:val="hybridMultilevel"/>
    <w:tmpl w:val="812257A8"/>
    <w:lvl w:ilvl="0" w:tplc="F3A48B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DC26F7"/>
    <w:multiLevelType w:val="hybridMultilevel"/>
    <w:tmpl w:val="5BA09798"/>
    <w:lvl w:ilvl="0" w:tplc="600AB7A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4B6074C"/>
    <w:multiLevelType w:val="hybridMultilevel"/>
    <w:tmpl w:val="AFB8C6E8"/>
    <w:lvl w:ilvl="0" w:tplc="7640FD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7A75D42"/>
    <w:multiLevelType w:val="hybridMultilevel"/>
    <w:tmpl w:val="F82C4E02"/>
    <w:lvl w:ilvl="0" w:tplc="F3A48B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5215C3"/>
    <w:multiLevelType w:val="hybridMultilevel"/>
    <w:tmpl w:val="DD8AB26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4833D5D"/>
    <w:multiLevelType w:val="hybridMultilevel"/>
    <w:tmpl w:val="A014CC28"/>
    <w:lvl w:ilvl="0" w:tplc="7640FD4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6DA196E"/>
    <w:multiLevelType w:val="hybridMultilevel"/>
    <w:tmpl w:val="DD8AB264"/>
    <w:lvl w:ilvl="0" w:tplc="0C0A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9954214"/>
    <w:multiLevelType w:val="hybridMultilevel"/>
    <w:tmpl w:val="6CBA92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031FCA"/>
    <w:multiLevelType w:val="hybridMultilevel"/>
    <w:tmpl w:val="3AFA1444"/>
    <w:lvl w:ilvl="0" w:tplc="F3A48B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0CD32B9"/>
    <w:multiLevelType w:val="hybridMultilevel"/>
    <w:tmpl w:val="DF2ADD98"/>
    <w:lvl w:ilvl="0" w:tplc="7640FD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9D749A"/>
    <w:multiLevelType w:val="hybridMultilevel"/>
    <w:tmpl w:val="092C54A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601659"/>
    <w:multiLevelType w:val="hybridMultilevel"/>
    <w:tmpl w:val="08F27660"/>
    <w:lvl w:ilvl="0" w:tplc="F3A48B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FE2C41"/>
    <w:multiLevelType w:val="hybridMultilevel"/>
    <w:tmpl w:val="985EF9E0"/>
    <w:lvl w:ilvl="0" w:tplc="14B4B78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CDE3391"/>
    <w:multiLevelType w:val="hybridMultilevel"/>
    <w:tmpl w:val="0A8E2D42"/>
    <w:lvl w:ilvl="0" w:tplc="7640FD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D1022DC"/>
    <w:multiLevelType w:val="hybridMultilevel"/>
    <w:tmpl w:val="DD8AB264"/>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73329661">
    <w:abstractNumId w:val="17"/>
  </w:num>
  <w:num w:numId="2" w16cid:durableId="1235893885">
    <w:abstractNumId w:val="6"/>
  </w:num>
  <w:num w:numId="3" w16cid:durableId="469059079">
    <w:abstractNumId w:val="19"/>
  </w:num>
  <w:num w:numId="4" w16cid:durableId="1510025180">
    <w:abstractNumId w:val="12"/>
  </w:num>
  <w:num w:numId="5" w16cid:durableId="782310488">
    <w:abstractNumId w:val="14"/>
  </w:num>
  <w:num w:numId="6" w16cid:durableId="2104181543">
    <w:abstractNumId w:val="34"/>
  </w:num>
  <w:num w:numId="7" w16cid:durableId="659890938">
    <w:abstractNumId w:val="11"/>
  </w:num>
  <w:num w:numId="8" w16cid:durableId="1045450534">
    <w:abstractNumId w:val="31"/>
  </w:num>
  <w:num w:numId="9" w16cid:durableId="784732750">
    <w:abstractNumId w:val="1"/>
  </w:num>
  <w:num w:numId="10" w16cid:durableId="1634480661">
    <w:abstractNumId w:val="0"/>
  </w:num>
  <w:num w:numId="11" w16cid:durableId="269700460">
    <w:abstractNumId w:val="35"/>
  </w:num>
  <w:num w:numId="12" w16cid:durableId="1203129066">
    <w:abstractNumId w:val="24"/>
  </w:num>
  <w:num w:numId="13" w16cid:durableId="1761413090">
    <w:abstractNumId w:val="5"/>
  </w:num>
  <w:num w:numId="14" w16cid:durableId="1094744799">
    <w:abstractNumId w:val="32"/>
  </w:num>
  <w:num w:numId="15" w16cid:durableId="1914898017">
    <w:abstractNumId w:val="27"/>
  </w:num>
  <w:num w:numId="16" w16cid:durableId="181549839">
    <w:abstractNumId w:val="23"/>
  </w:num>
  <w:num w:numId="17" w16cid:durableId="1320040636">
    <w:abstractNumId w:val="13"/>
  </w:num>
  <w:num w:numId="18" w16cid:durableId="271282660">
    <w:abstractNumId w:val="3"/>
  </w:num>
  <w:num w:numId="19" w16cid:durableId="1421366267">
    <w:abstractNumId w:val="20"/>
  </w:num>
  <w:num w:numId="20" w16cid:durableId="1801528609">
    <w:abstractNumId w:val="36"/>
  </w:num>
  <w:num w:numId="21" w16cid:durableId="1057708761">
    <w:abstractNumId w:val="33"/>
  </w:num>
  <w:num w:numId="22" w16cid:durableId="617492962">
    <w:abstractNumId w:val="26"/>
  </w:num>
  <w:num w:numId="23" w16cid:durableId="277756000">
    <w:abstractNumId w:val="37"/>
  </w:num>
  <w:num w:numId="24" w16cid:durableId="1388064452">
    <w:abstractNumId w:val="29"/>
  </w:num>
  <w:num w:numId="25" w16cid:durableId="1370227256">
    <w:abstractNumId w:val="9"/>
  </w:num>
  <w:num w:numId="26" w16cid:durableId="1299920760">
    <w:abstractNumId w:val="15"/>
  </w:num>
  <w:num w:numId="27" w16cid:durableId="1580749703">
    <w:abstractNumId w:val="25"/>
  </w:num>
  <w:num w:numId="28" w16cid:durableId="1420830578">
    <w:abstractNumId w:val="30"/>
  </w:num>
  <w:num w:numId="29" w16cid:durableId="1858274593">
    <w:abstractNumId w:val="8"/>
  </w:num>
  <w:num w:numId="30" w16cid:durableId="351689667">
    <w:abstractNumId w:val="16"/>
  </w:num>
  <w:num w:numId="31" w16cid:durableId="926962040">
    <w:abstractNumId w:val="22"/>
  </w:num>
  <w:num w:numId="32" w16cid:durableId="369766987">
    <w:abstractNumId w:val="28"/>
  </w:num>
  <w:num w:numId="33" w16cid:durableId="1986931774">
    <w:abstractNumId w:val="2"/>
  </w:num>
  <w:num w:numId="34" w16cid:durableId="757824563">
    <w:abstractNumId w:val="7"/>
  </w:num>
  <w:num w:numId="35" w16cid:durableId="182788649">
    <w:abstractNumId w:val="38"/>
  </w:num>
  <w:num w:numId="36" w16cid:durableId="630014436">
    <w:abstractNumId w:val="18"/>
  </w:num>
  <w:num w:numId="37" w16cid:durableId="1864248961">
    <w:abstractNumId w:val="4"/>
  </w:num>
  <w:num w:numId="38" w16cid:durableId="116222344">
    <w:abstractNumId w:val="21"/>
  </w:num>
  <w:num w:numId="39" w16cid:durableId="654141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62"/>
    <w:rsid w:val="00006092"/>
    <w:rsid w:val="0002191E"/>
    <w:rsid w:val="0002336D"/>
    <w:rsid w:val="00066A30"/>
    <w:rsid w:val="00076653"/>
    <w:rsid w:val="0008793B"/>
    <w:rsid w:val="000B055B"/>
    <w:rsid w:val="000B26B8"/>
    <w:rsid w:val="000B45F4"/>
    <w:rsid w:val="000B4AD4"/>
    <w:rsid w:val="000B69BC"/>
    <w:rsid w:val="000E0239"/>
    <w:rsid w:val="000E232E"/>
    <w:rsid w:val="000E523A"/>
    <w:rsid w:val="000E5A55"/>
    <w:rsid w:val="00100ACA"/>
    <w:rsid w:val="0010146B"/>
    <w:rsid w:val="0011373A"/>
    <w:rsid w:val="001175FA"/>
    <w:rsid w:val="00123174"/>
    <w:rsid w:val="00125DC4"/>
    <w:rsid w:val="00132038"/>
    <w:rsid w:val="00140591"/>
    <w:rsid w:val="00146284"/>
    <w:rsid w:val="00163417"/>
    <w:rsid w:val="00163EC7"/>
    <w:rsid w:val="00164676"/>
    <w:rsid w:val="0017541B"/>
    <w:rsid w:val="00175B7A"/>
    <w:rsid w:val="0017678F"/>
    <w:rsid w:val="0018388F"/>
    <w:rsid w:val="001858CB"/>
    <w:rsid w:val="00195348"/>
    <w:rsid w:val="001A36FB"/>
    <w:rsid w:val="001A76EC"/>
    <w:rsid w:val="001B237B"/>
    <w:rsid w:val="001B50E4"/>
    <w:rsid w:val="001D5B9E"/>
    <w:rsid w:val="001E0357"/>
    <w:rsid w:val="001E1A1D"/>
    <w:rsid w:val="001E1B97"/>
    <w:rsid w:val="001E6674"/>
    <w:rsid w:val="001E70EB"/>
    <w:rsid w:val="001F0067"/>
    <w:rsid w:val="001F24E7"/>
    <w:rsid w:val="002025AF"/>
    <w:rsid w:val="00212647"/>
    <w:rsid w:val="00214855"/>
    <w:rsid w:val="002206C0"/>
    <w:rsid w:val="00222FD1"/>
    <w:rsid w:val="002256BC"/>
    <w:rsid w:val="002300E2"/>
    <w:rsid w:val="0023147C"/>
    <w:rsid w:val="00237414"/>
    <w:rsid w:val="00244F8A"/>
    <w:rsid w:val="0026178C"/>
    <w:rsid w:val="00286D73"/>
    <w:rsid w:val="002913DC"/>
    <w:rsid w:val="002A4EBE"/>
    <w:rsid w:val="002B1B4C"/>
    <w:rsid w:val="002B4428"/>
    <w:rsid w:val="002C572D"/>
    <w:rsid w:val="002D499D"/>
    <w:rsid w:val="002D5229"/>
    <w:rsid w:val="002E0840"/>
    <w:rsid w:val="002F21CC"/>
    <w:rsid w:val="002F5EBF"/>
    <w:rsid w:val="00304C08"/>
    <w:rsid w:val="0030592E"/>
    <w:rsid w:val="003160F3"/>
    <w:rsid w:val="00326482"/>
    <w:rsid w:val="00342BAB"/>
    <w:rsid w:val="00354537"/>
    <w:rsid w:val="003577FA"/>
    <w:rsid w:val="00366E93"/>
    <w:rsid w:val="00370B79"/>
    <w:rsid w:val="00380E01"/>
    <w:rsid w:val="003832C5"/>
    <w:rsid w:val="0038677E"/>
    <w:rsid w:val="00393999"/>
    <w:rsid w:val="003B65DF"/>
    <w:rsid w:val="003C2E14"/>
    <w:rsid w:val="003D11EE"/>
    <w:rsid w:val="003D2569"/>
    <w:rsid w:val="003D4EF9"/>
    <w:rsid w:val="003D5A56"/>
    <w:rsid w:val="003E481C"/>
    <w:rsid w:val="003E5FE8"/>
    <w:rsid w:val="003E76A7"/>
    <w:rsid w:val="003F4A5F"/>
    <w:rsid w:val="003F7D80"/>
    <w:rsid w:val="0041779E"/>
    <w:rsid w:val="00421A4E"/>
    <w:rsid w:val="00441E36"/>
    <w:rsid w:val="00444803"/>
    <w:rsid w:val="00456C9E"/>
    <w:rsid w:val="004705E9"/>
    <w:rsid w:val="00496B21"/>
    <w:rsid w:val="004A402F"/>
    <w:rsid w:val="004B186C"/>
    <w:rsid w:val="004B6DAC"/>
    <w:rsid w:val="004D36D8"/>
    <w:rsid w:val="004D4C03"/>
    <w:rsid w:val="004D73A2"/>
    <w:rsid w:val="004E4B01"/>
    <w:rsid w:val="004E7E27"/>
    <w:rsid w:val="004F4639"/>
    <w:rsid w:val="00504BB2"/>
    <w:rsid w:val="00513794"/>
    <w:rsid w:val="00526F68"/>
    <w:rsid w:val="00527941"/>
    <w:rsid w:val="00532061"/>
    <w:rsid w:val="0053354B"/>
    <w:rsid w:val="00540E25"/>
    <w:rsid w:val="00543162"/>
    <w:rsid w:val="00554656"/>
    <w:rsid w:val="005579B6"/>
    <w:rsid w:val="0057384C"/>
    <w:rsid w:val="005767A5"/>
    <w:rsid w:val="005A13F4"/>
    <w:rsid w:val="005B7859"/>
    <w:rsid w:val="005C14FB"/>
    <w:rsid w:val="005E1C11"/>
    <w:rsid w:val="005E295F"/>
    <w:rsid w:val="005E4C86"/>
    <w:rsid w:val="00600792"/>
    <w:rsid w:val="006021CE"/>
    <w:rsid w:val="00606453"/>
    <w:rsid w:val="00613CA8"/>
    <w:rsid w:val="006151E3"/>
    <w:rsid w:val="00622636"/>
    <w:rsid w:val="006263BA"/>
    <w:rsid w:val="0063354D"/>
    <w:rsid w:val="00635C4D"/>
    <w:rsid w:val="006452A5"/>
    <w:rsid w:val="006550A8"/>
    <w:rsid w:val="00657BFC"/>
    <w:rsid w:val="006657B0"/>
    <w:rsid w:val="00672D59"/>
    <w:rsid w:val="00674818"/>
    <w:rsid w:val="0068173B"/>
    <w:rsid w:val="0068467A"/>
    <w:rsid w:val="00694290"/>
    <w:rsid w:val="00697533"/>
    <w:rsid w:val="006A0AD0"/>
    <w:rsid w:val="006A2494"/>
    <w:rsid w:val="006A4436"/>
    <w:rsid w:val="006A4680"/>
    <w:rsid w:val="006A4A26"/>
    <w:rsid w:val="006A5E6F"/>
    <w:rsid w:val="006B115F"/>
    <w:rsid w:val="006B1A48"/>
    <w:rsid w:val="006B1EB9"/>
    <w:rsid w:val="006C53A0"/>
    <w:rsid w:val="006D1D28"/>
    <w:rsid w:val="006D377A"/>
    <w:rsid w:val="006D55D8"/>
    <w:rsid w:val="006E0E8C"/>
    <w:rsid w:val="006E57FB"/>
    <w:rsid w:val="0070251D"/>
    <w:rsid w:val="00703570"/>
    <w:rsid w:val="007145AC"/>
    <w:rsid w:val="00723807"/>
    <w:rsid w:val="00723E50"/>
    <w:rsid w:val="00743B3A"/>
    <w:rsid w:val="007500CB"/>
    <w:rsid w:val="00753771"/>
    <w:rsid w:val="00794D7B"/>
    <w:rsid w:val="007A0D04"/>
    <w:rsid w:val="007A690F"/>
    <w:rsid w:val="007A696E"/>
    <w:rsid w:val="007B0235"/>
    <w:rsid w:val="007B6A58"/>
    <w:rsid w:val="007C0A55"/>
    <w:rsid w:val="007C2239"/>
    <w:rsid w:val="007C5C0C"/>
    <w:rsid w:val="007C7D9E"/>
    <w:rsid w:val="007D1282"/>
    <w:rsid w:val="007F14BE"/>
    <w:rsid w:val="00801E34"/>
    <w:rsid w:val="00805958"/>
    <w:rsid w:val="00816089"/>
    <w:rsid w:val="008424BE"/>
    <w:rsid w:val="00867114"/>
    <w:rsid w:val="0087137B"/>
    <w:rsid w:val="0087147F"/>
    <w:rsid w:val="00873D29"/>
    <w:rsid w:val="00877E12"/>
    <w:rsid w:val="00883200"/>
    <w:rsid w:val="008873DD"/>
    <w:rsid w:val="00887BC7"/>
    <w:rsid w:val="0089019D"/>
    <w:rsid w:val="00894A94"/>
    <w:rsid w:val="008B6A39"/>
    <w:rsid w:val="008C433A"/>
    <w:rsid w:val="008E413E"/>
    <w:rsid w:val="008E48C9"/>
    <w:rsid w:val="008E5F13"/>
    <w:rsid w:val="008E798C"/>
    <w:rsid w:val="008F1026"/>
    <w:rsid w:val="008F359D"/>
    <w:rsid w:val="008F55E4"/>
    <w:rsid w:val="009023FC"/>
    <w:rsid w:val="00912E4C"/>
    <w:rsid w:val="00922B6E"/>
    <w:rsid w:val="00927801"/>
    <w:rsid w:val="00936D42"/>
    <w:rsid w:val="009611CF"/>
    <w:rsid w:val="0096518C"/>
    <w:rsid w:val="00986E39"/>
    <w:rsid w:val="00987A50"/>
    <w:rsid w:val="009A267C"/>
    <w:rsid w:val="009B03DD"/>
    <w:rsid w:val="009B1908"/>
    <w:rsid w:val="009C2AA2"/>
    <w:rsid w:val="009C3E96"/>
    <w:rsid w:val="009C4511"/>
    <w:rsid w:val="009D0BE9"/>
    <w:rsid w:val="009D461B"/>
    <w:rsid w:val="009D6EE6"/>
    <w:rsid w:val="009D792E"/>
    <w:rsid w:val="009E0085"/>
    <w:rsid w:val="009E2764"/>
    <w:rsid w:val="009E449C"/>
    <w:rsid w:val="009F53B9"/>
    <w:rsid w:val="009F5DC3"/>
    <w:rsid w:val="00A040DF"/>
    <w:rsid w:val="00A13827"/>
    <w:rsid w:val="00A175CD"/>
    <w:rsid w:val="00A27FFB"/>
    <w:rsid w:val="00A5293B"/>
    <w:rsid w:val="00A536F1"/>
    <w:rsid w:val="00A60A1F"/>
    <w:rsid w:val="00A666FD"/>
    <w:rsid w:val="00A75685"/>
    <w:rsid w:val="00A843B3"/>
    <w:rsid w:val="00A91585"/>
    <w:rsid w:val="00AA523B"/>
    <w:rsid w:val="00AA548A"/>
    <w:rsid w:val="00AA5690"/>
    <w:rsid w:val="00AA5A3E"/>
    <w:rsid w:val="00AB244A"/>
    <w:rsid w:val="00AC64B3"/>
    <w:rsid w:val="00AD129E"/>
    <w:rsid w:val="00AE290A"/>
    <w:rsid w:val="00B07A27"/>
    <w:rsid w:val="00B12AB7"/>
    <w:rsid w:val="00B13C54"/>
    <w:rsid w:val="00B22CD4"/>
    <w:rsid w:val="00B33643"/>
    <w:rsid w:val="00B36D1B"/>
    <w:rsid w:val="00B373CD"/>
    <w:rsid w:val="00B40153"/>
    <w:rsid w:val="00B579A1"/>
    <w:rsid w:val="00B65253"/>
    <w:rsid w:val="00B70C97"/>
    <w:rsid w:val="00B74AA7"/>
    <w:rsid w:val="00B94A2D"/>
    <w:rsid w:val="00BC1452"/>
    <w:rsid w:val="00BC7086"/>
    <w:rsid w:val="00BE661F"/>
    <w:rsid w:val="00BE6C53"/>
    <w:rsid w:val="00BF3B2F"/>
    <w:rsid w:val="00BF576F"/>
    <w:rsid w:val="00C02BAF"/>
    <w:rsid w:val="00C07D1A"/>
    <w:rsid w:val="00C11890"/>
    <w:rsid w:val="00C17199"/>
    <w:rsid w:val="00C21A82"/>
    <w:rsid w:val="00C264D5"/>
    <w:rsid w:val="00C47D55"/>
    <w:rsid w:val="00C56734"/>
    <w:rsid w:val="00C60A25"/>
    <w:rsid w:val="00C6740E"/>
    <w:rsid w:val="00C7309A"/>
    <w:rsid w:val="00C85C23"/>
    <w:rsid w:val="00C95D92"/>
    <w:rsid w:val="00CA0822"/>
    <w:rsid w:val="00CA0948"/>
    <w:rsid w:val="00CA1B40"/>
    <w:rsid w:val="00CA6EEA"/>
    <w:rsid w:val="00CB021E"/>
    <w:rsid w:val="00CB1589"/>
    <w:rsid w:val="00CB15C2"/>
    <w:rsid w:val="00CB54F6"/>
    <w:rsid w:val="00CC5FFD"/>
    <w:rsid w:val="00CD0D5C"/>
    <w:rsid w:val="00CD46E6"/>
    <w:rsid w:val="00CE25A4"/>
    <w:rsid w:val="00CE6307"/>
    <w:rsid w:val="00D01256"/>
    <w:rsid w:val="00D11CC6"/>
    <w:rsid w:val="00D25BB8"/>
    <w:rsid w:val="00D311AB"/>
    <w:rsid w:val="00D319AF"/>
    <w:rsid w:val="00D35285"/>
    <w:rsid w:val="00D36382"/>
    <w:rsid w:val="00D36C84"/>
    <w:rsid w:val="00D40009"/>
    <w:rsid w:val="00D50CE1"/>
    <w:rsid w:val="00D53A33"/>
    <w:rsid w:val="00D62404"/>
    <w:rsid w:val="00D65FAA"/>
    <w:rsid w:val="00D81D3C"/>
    <w:rsid w:val="00D905E2"/>
    <w:rsid w:val="00DA2BBF"/>
    <w:rsid w:val="00DA6D47"/>
    <w:rsid w:val="00DB1C2A"/>
    <w:rsid w:val="00DB211E"/>
    <w:rsid w:val="00DD477C"/>
    <w:rsid w:val="00DD78B8"/>
    <w:rsid w:val="00DE6A5D"/>
    <w:rsid w:val="00DF491F"/>
    <w:rsid w:val="00E15D5F"/>
    <w:rsid w:val="00E35E48"/>
    <w:rsid w:val="00E3708B"/>
    <w:rsid w:val="00E467FF"/>
    <w:rsid w:val="00E51B4D"/>
    <w:rsid w:val="00E807BC"/>
    <w:rsid w:val="00E839C2"/>
    <w:rsid w:val="00E8770A"/>
    <w:rsid w:val="00EB4F31"/>
    <w:rsid w:val="00EC7508"/>
    <w:rsid w:val="00ED0012"/>
    <w:rsid w:val="00ED218C"/>
    <w:rsid w:val="00ED34CD"/>
    <w:rsid w:val="00ED39B5"/>
    <w:rsid w:val="00EE6521"/>
    <w:rsid w:val="00EF0835"/>
    <w:rsid w:val="00EF5F83"/>
    <w:rsid w:val="00F009DE"/>
    <w:rsid w:val="00F02DED"/>
    <w:rsid w:val="00F02F52"/>
    <w:rsid w:val="00F03F56"/>
    <w:rsid w:val="00F046D2"/>
    <w:rsid w:val="00F12E1F"/>
    <w:rsid w:val="00F13A6D"/>
    <w:rsid w:val="00F15EF0"/>
    <w:rsid w:val="00F56F44"/>
    <w:rsid w:val="00F57446"/>
    <w:rsid w:val="00F61995"/>
    <w:rsid w:val="00F635F4"/>
    <w:rsid w:val="00F63D4C"/>
    <w:rsid w:val="00F702F2"/>
    <w:rsid w:val="00F7198E"/>
    <w:rsid w:val="00F802EC"/>
    <w:rsid w:val="00F849E7"/>
    <w:rsid w:val="00F95B7E"/>
    <w:rsid w:val="00FA3500"/>
    <w:rsid w:val="00FB4FA6"/>
    <w:rsid w:val="00FD2A8A"/>
    <w:rsid w:val="00FD4D6B"/>
    <w:rsid w:val="00FD7CB0"/>
    <w:rsid w:val="00FE7171"/>
    <w:rsid w:val="00FF1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5B75"/>
  <w15:chartTrackingRefBased/>
  <w15:docId w15:val="{9B71057B-80AC-4975-8710-87569C9A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6A7"/>
  </w:style>
  <w:style w:type="paragraph" w:styleId="Ttulo1">
    <w:name w:val="heading 1"/>
    <w:basedOn w:val="Normal"/>
    <w:next w:val="Normal"/>
    <w:link w:val="Ttulo1Car"/>
    <w:uiPriority w:val="9"/>
    <w:qFormat/>
    <w:rsid w:val="00816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162"/>
    <w:pPr>
      <w:ind w:left="720"/>
      <w:contextualSpacing/>
    </w:pPr>
  </w:style>
  <w:style w:type="paragraph" w:customStyle="1" w:styleId="Diana">
    <w:name w:val="Diana"/>
    <w:basedOn w:val="Normal"/>
    <w:link w:val="DianaCar"/>
    <w:qFormat/>
    <w:rsid w:val="00C85C23"/>
    <w:pPr>
      <w:spacing w:line="360" w:lineRule="auto"/>
      <w:jc w:val="both"/>
    </w:pPr>
    <w:rPr>
      <w:rFonts w:ascii="Times New Roman" w:hAnsi="Times New Roman" w:cs="Times New Roman"/>
      <w:sz w:val="24"/>
      <w:szCs w:val="28"/>
    </w:rPr>
  </w:style>
  <w:style w:type="table" w:styleId="Tablaconcuadrcula">
    <w:name w:val="Table Grid"/>
    <w:basedOn w:val="Tablanormal"/>
    <w:uiPriority w:val="39"/>
    <w:rsid w:val="009B0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anaCar">
    <w:name w:val="Diana Car"/>
    <w:basedOn w:val="Fuentedeprrafopredeter"/>
    <w:link w:val="Diana"/>
    <w:rsid w:val="00C85C23"/>
    <w:rPr>
      <w:rFonts w:ascii="Times New Roman" w:hAnsi="Times New Roman" w:cs="Times New Roman"/>
      <w:sz w:val="24"/>
      <w:szCs w:val="28"/>
    </w:rPr>
  </w:style>
  <w:style w:type="paragraph" w:styleId="Encabezado">
    <w:name w:val="header"/>
    <w:basedOn w:val="Normal"/>
    <w:link w:val="EncabezadoCar"/>
    <w:uiPriority w:val="99"/>
    <w:unhideWhenUsed/>
    <w:rsid w:val="001E03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0357"/>
  </w:style>
  <w:style w:type="paragraph" w:styleId="Piedepgina">
    <w:name w:val="footer"/>
    <w:basedOn w:val="Normal"/>
    <w:link w:val="PiedepginaCar"/>
    <w:uiPriority w:val="99"/>
    <w:unhideWhenUsed/>
    <w:rsid w:val="001E03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0357"/>
  </w:style>
  <w:style w:type="character" w:customStyle="1" w:styleId="Ttulo1Car">
    <w:name w:val="Título 1 Car"/>
    <w:basedOn w:val="Fuentedeprrafopredeter"/>
    <w:link w:val="Ttulo1"/>
    <w:uiPriority w:val="9"/>
    <w:rsid w:val="008160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57BFC"/>
    <w:rPr>
      <w:color w:val="0563C1" w:themeColor="hyperlink"/>
      <w:u w:val="single"/>
    </w:rPr>
  </w:style>
  <w:style w:type="character" w:styleId="Mencinsinresolver">
    <w:name w:val="Unresolved Mention"/>
    <w:basedOn w:val="Fuentedeprrafopredeter"/>
    <w:uiPriority w:val="99"/>
    <w:semiHidden/>
    <w:unhideWhenUsed/>
    <w:rsid w:val="00657BFC"/>
    <w:rPr>
      <w:color w:val="605E5C"/>
      <w:shd w:val="clear" w:color="auto" w:fill="E1DFDD"/>
    </w:rPr>
  </w:style>
  <w:style w:type="paragraph" w:styleId="Descripcin">
    <w:name w:val="caption"/>
    <w:basedOn w:val="Normal"/>
    <w:next w:val="Normal"/>
    <w:uiPriority w:val="35"/>
    <w:unhideWhenUsed/>
    <w:qFormat/>
    <w:rsid w:val="00125DC4"/>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E70EB"/>
    <w:pPr>
      <w:ind w:left="360" w:hanging="360"/>
      <w:outlineLvl w:val="9"/>
    </w:pPr>
    <w:rPr>
      <w:rFonts w:ascii="Times New Roman" w:hAnsi="Times New Roman"/>
      <w:color w:val="auto"/>
      <w:sz w:val="36"/>
      <w:lang w:eastAsia="es-ES"/>
    </w:rPr>
  </w:style>
  <w:style w:type="paragraph" w:styleId="TDC1">
    <w:name w:val="toc 1"/>
    <w:basedOn w:val="Normal"/>
    <w:next w:val="Normal"/>
    <w:autoRedefine/>
    <w:uiPriority w:val="39"/>
    <w:unhideWhenUsed/>
    <w:rsid w:val="001E70EB"/>
    <w:pPr>
      <w:tabs>
        <w:tab w:val="right" w:leader="dot" w:pos="8494"/>
      </w:tabs>
      <w:spacing w:after="100"/>
    </w:pPr>
    <w:rPr>
      <w:rFonts w:eastAsiaTheme="minorEastAsia" w:cs="Times New Roman"/>
      <w:lang w:eastAsia="es-ES"/>
    </w:rPr>
  </w:style>
  <w:style w:type="paragraph" w:styleId="TDC2">
    <w:name w:val="toc 2"/>
    <w:basedOn w:val="Normal"/>
    <w:next w:val="Normal"/>
    <w:autoRedefine/>
    <w:uiPriority w:val="39"/>
    <w:unhideWhenUsed/>
    <w:rsid w:val="001E70EB"/>
    <w:pPr>
      <w:spacing w:after="100"/>
      <w:ind w:left="220"/>
    </w:pPr>
  </w:style>
  <w:style w:type="table" w:styleId="Tablanormal1">
    <w:name w:val="Plain Table 1"/>
    <w:basedOn w:val="Tablanormal"/>
    <w:uiPriority w:val="41"/>
    <w:rsid w:val="005738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5379">
      <w:bodyDiv w:val="1"/>
      <w:marLeft w:val="0"/>
      <w:marRight w:val="0"/>
      <w:marTop w:val="0"/>
      <w:marBottom w:val="0"/>
      <w:divBdr>
        <w:top w:val="none" w:sz="0" w:space="0" w:color="auto"/>
        <w:left w:val="none" w:sz="0" w:space="0" w:color="auto"/>
        <w:bottom w:val="none" w:sz="0" w:space="0" w:color="auto"/>
        <w:right w:val="none" w:sz="0" w:space="0" w:color="auto"/>
      </w:divBdr>
    </w:div>
    <w:div w:id="557784045">
      <w:bodyDiv w:val="1"/>
      <w:marLeft w:val="0"/>
      <w:marRight w:val="0"/>
      <w:marTop w:val="0"/>
      <w:marBottom w:val="0"/>
      <w:divBdr>
        <w:top w:val="none" w:sz="0" w:space="0" w:color="auto"/>
        <w:left w:val="none" w:sz="0" w:space="0" w:color="auto"/>
        <w:bottom w:val="none" w:sz="0" w:space="0" w:color="auto"/>
        <w:right w:val="none" w:sz="0" w:space="0" w:color="auto"/>
      </w:divBdr>
    </w:div>
    <w:div w:id="1436097743">
      <w:bodyDiv w:val="1"/>
      <w:marLeft w:val="0"/>
      <w:marRight w:val="0"/>
      <w:marTop w:val="0"/>
      <w:marBottom w:val="0"/>
      <w:divBdr>
        <w:top w:val="none" w:sz="0" w:space="0" w:color="auto"/>
        <w:left w:val="none" w:sz="0" w:space="0" w:color="auto"/>
        <w:bottom w:val="none" w:sz="0" w:space="0" w:color="auto"/>
        <w:right w:val="none" w:sz="0" w:space="0" w:color="auto"/>
      </w:divBdr>
    </w:div>
    <w:div w:id="15296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luniverso.com/larevista/sociedad/cual-es-el-coeficiente-intelectual-promedio-en-una-persona-nota/" TargetMode="Externa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www.cdc.gov/healthyweight/spanish/assessing/bmi/adult_bmi/index.html" TargetMode="External"/><Relationship Id="rId10" Type="http://schemas.openxmlformats.org/officeDocument/2006/relationships/image" Target="media/image4.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hyperlink" Target="https://www.kaggle.com/datasets/madhurpant/world-population-data?select=iq.csv"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REI\4&#186;curso\VA\P3.4\P3.4-VA_DianaMascarenasSand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[P3.4-VA_DianaMascarenasSande.xlsx]Tabla Dinámica!TablaDinámica8</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s-ES" sz="1800" b="0" i="0" baseline="0">
                <a:effectLst/>
                <a:latin typeface="Bahnschrift SemiBold SemiConden" panose="020B0502040204020203" pitchFamily="34" charset="0"/>
              </a:rPr>
              <a:t>IMC DE LOS 15 PAÍSES CON MEJOR CALIDAD DE VIDA</a:t>
            </a:r>
            <a:endParaRPr lang="es-ES">
              <a:effectLst/>
              <a:latin typeface="Bahnschrift SemiBold SemiConden" panose="020B05020402040202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s-E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C00000"/>
            </a:solidFill>
            <a:round/>
          </a:ln>
          <a:effectLst/>
        </c:spPr>
        <c:marker>
          <c:symbol val="none"/>
        </c:marker>
      </c:pivotFmt>
      <c:pivotFmt>
        <c:idx val="1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'Tabla Dinámica'!$H$3</c:f>
              <c:strCache>
                <c:ptCount val="1"/>
                <c:pt idx="0">
                  <c:v>Suma de calidad_media</c:v>
                </c:pt>
              </c:strCache>
            </c:strRef>
          </c:tx>
          <c:spPr>
            <a:solidFill>
              <a:srgbClr val="00B050"/>
            </a:solidFill>
            <a:ln>
              <a:noFill/>
            </a:ln>
            <a:effectLst/>
          </c:spPr>
          <c:invertIfNegative val="0"/>
          <c:cat>
            <c:strRef>
              <c:f>'Tabla Dinámica'!$G$4:$G$18</c:f>
              <c:strCache>
                <c:ptCount val="15"/>
                <c:pt idx="0">
                  <c:v>Hong Kong</c:v>
                </c:pt>
                <c:pt idx="1">
                  <c:v>Australia</c:v>
                </c:pt>
                <c:pt idx="2">
                  <c:v>Macao</c:v>
                </c:pt>
                <c:pt idx="3">
                  <c:v>San Marino</c:v>
                </c:pt>
                <c:pt idx="4">
                  <c:v>Spain</c:v>
                </c:pt>
                <c:pt idx="5">
                  <c:v>Malta</c:v>
                </c:pt>
                <c:pt idx="6">
                  <c:v>Switzerland</c:v>
                </c:pt>
                <c:pt idx="7">
                  <c:v>Singapore</c:v>
                </c:pt>
                <c:pt idx="8">
                  <c:v>Bermuda</c:v>
                </c:pt>
                <c:pt idx="9">
                  <c:v>Luxembourg</c:v>
                </c:pt>
                <c:pt idx="10">
                  <c:v>Japan</c:v>
                </c:pt>
                <c:pt idx="11">
                  <c:v>South Korea</c:v>
                </c:pt>
                <c:pt idx="12">
                  <c:v>Portugal</c:v>
                </c:pt>
                <c:pt idx="13">
                  <c:v>Cyprus</c:v>
                </c:pt>
                <c:pt idx="14">
                  <c:v>France</c:v>
                </c:pt>
              </c:strCache>
            </c:strRef>
          </c:cat>
          <c:val>
            <c:numRef>
              <c:f>'Tabla Dinámica'!$H$4:$H$18</c:f>
              <c:numCache>
                <c:formatCode>0</c:formatCode>
                <c:ptCount val="15"/>
                <c:pt idx="0">
                  <c:v>74.428571428571431</c:v>
                </c:pt>
                <c:pt idx="1">
                  <c:v>74.142857142857139</c:v>
                </c:pt>
                <c:pt idx="2">
                  <c:v>73.285714285714292</c:v>
                </c:pt>
                <c:pt idx="3">
                  <c:v>72.857142857142861</c:v>
                </c:pt>
                <c:pt idx="4">
                  <c:v>72</c:v>
                </c:pt>
                <c:pt idx="5">
                  <c:v>71.571428571428569</c:v>
                </c:pt>
                <c:pt idx="6">
                  <c:v>71.428571428571431</c:v>
                </c:pt>
                <c:pt idx="7">
                  <c:v>70.428571428571431</c:v>
                </c:pt>
                <c:pt idx="8">
                  <c:v>70.428571428571431</c:v>
                </c:pt>
                <c:pt idx="9">
                  <c:v>70</c:v>
                </c:pt>
                <c:pt idx="10">
                  <c:v>69.142857142857139</c:v>
                </c:pt>
                <c:pt idx="11">
                  <c:v>68.857142857142861</c:v>
                </c:pt>
                <c:pt idx="12">
                  <c:v>68.857142857142861</c:v>
                </c:pt>
                <c:pt idx="13">
                  <c:v>68.714285714285708</c:v>
                </c:pt>
                <c:pt idx="14">
                  <c:v>68.571428571428569</c:v>
                </c:pt>
              </c:numCache>
            </c:numRef>
          </c:val>
          <c:extLst>
            <c:ext xmlns:c16="http://schemas.microsoft.com/office/drawing/2014/chart" uri="{C3380CC4-5D6E-409C-BE32-E72D297353CC}">
              <c16:uniqueId val="{00000000-E6D9-4045-84FD-1405F215BA9F}"/>
            </c:ext>
          </c:extLst>
        </c:ser>
        <c:ser>
          <c:idx val="1"/>
          <c:order val="1"/>
          <c:tx>
            <c:strRef>
              <c:f>'Tabla Dinámica'!$I$3</c:f>
              <c:strCache>
                <c:ptCount val="1"/>
                <c:pt idx="0">
                  <c:v>Suma de male_bmi</c:v>
                </c:pt>
              </c:strCache>
            </c:strRef>
          </c:tx>
          <c:spPr>
            <a:solidFill>
              <a:srgbClr val="FFC000"/>
            </a:solidFill>
            <a:ln>
              <a:noFill/>
            </a:ln>
            <a:effectLst/>
          </c:spPr>
          <c:invertIfNegative val="0"/>
          <c:cat>
            <c:strRef>
              <c:f>'Tabla Dinámica'!$G$4:$G$18</c:f>
              <c:strCache>
                <c:ptCount val="15"/>
                <c:pt idx="0">
                  <c:v>Hong Kong</c:v>
                </c:pt>
                <c:pt idx="1">
                  <c:v>Australia</c:v>
                </c:pt>
                <c:pt idx="2">
                  <c:v>Macao</c:v>
                </c:pt>
                <c:pt idx="3">
                  <c:v>San Marino</c:v>
                </c:pt>
                <c:pt idx="4">
                  <c:v>Spain</c:v>
                </c:pt>
                <c:pt idx="5">
                  <c:v>Malta</c:v>
                </c:pt>
                <c:pt idx="6">
                  <c:v>Switzerland</c:v>
                </c:pt>
                <c:pt idx="7">
                  <c:v>Singapore</c:v>
                </c:pt>
                <c:pt idx="8">
                  <c:v>Bermuda</c:v>
                </c:pt>
                <c:pt idx="9">
                  <c:v>Luxembourg</c:v>
                </c:pt>
                <c:pt idx="10">
                  <c:v>Japan</c:v>
                </c:pt>
                <c:pt idx="11">
                  <c:v>South Korea</c:v>
                </c:pt>
                <c:pt idx="12">
                  <c:v>Portugal</c:v>
                </c:pt>
                <c:pt idx="13">
                  <c:v>Cyprus</c:v>
                </c:pt>
                <c:pt idx="14">
                  <c:v>France</c:v>
                </c:pt>
              </c:strCache>
            </c:strRef>
          </c:cat>
          <c:val>
            <c:numRef>
              <c:f>'Tabla Dinámica'!$I$4:$I$18</c:f>
              <c:numCache>
                <c:formatCode>General</c:formatCode>
                <c:ptCount val="15"/>
                <c:pt idx="0">
                  <c:v>24.5</c:v>
                </c:pt>
                <c:pt idx="1">
                  <c:v>27.7</c:v>
                </c:pt>
                <c:pt idx="4">
                  <c:v>27.2</c:v>
                </c:pt>
                <c:pt idx="5">
                  <c:v>27.9</c:v>
                </c:pt>
                <c:pt idx="6">
                  <c:v>26.8</c:v>
                </c:pt>
                <c:pt idx="7">
                  <c:v>24.3</c:v>
                </c:pt>
                <c:pt idx="8">
                  <c:v>27.6</c:v>
                </c:pt>
                <c:pt idx="9">
                  <c:v>27.2</c:v>
                </c:pt>
                <c:pt idx="10">
                  <c:v>23.6</c:v>
                </c:pt>
                <c:pt idx="11">
                  <c:v>24.4</c:v>
                </c:pt>
                <c:pt idx="12">
                  <c:v>26.3</c:v>
                </c:pt>
                <c:pt idx="14">
                  <c:v>26</c:v>
                </c:pt>
              </c:numCache>
            </c:numRef>
          </c:val>
          <c:extLst>
            <c:ext xmlns:c16="http://schemas.microsoft.com/office/drawing/2014/chart" uri="{C3380CC4-5D6E-409C-BE32-E72D297353CC}">
              <c16:uniqueId val="{00000001-E6D9-4045-84FD-1405F215BA9F}"/>
            </c:ext>
          </c:extLst>
        </c:ser>
        <c:dLbls>
          <c:showLegendKey val="0"/>
          <c:showVal val="0"/>
          <c:showCatName val="0"/>
          <c:showSerName val="0"/>
          <c:showPercent val="0"/>
          <c:showBubbleSize val="0"/>
        </c:dLbls>
        <c:gapWidth val="269"/>
        <c:axId val="571213304"/>
        <c:axId val="571205432"/>
      </c:barChart>
      <c:lineChart>
        <c:grouping val="standard"/>
        <c:varyColors val="0"/>
        <c:ser>
          <c:idx val="2"/>
          <c:order val="2"/>
          <c:tx>
            <c:strRef>
              <c:f>'Tabla Dinámica'!$J$3</c:f>
              <c:strCache>
                <c:ptCount val="1"/>
                <c:pt idx="0">
                  <c:v>Suma de female_bmi</c:v>
                </c:pt>
              </c:strCache>
            </c:strRef>
          </c:tx>
          <c:spPr>
            <a:ln w="28575" cap="rnd">
              <a:solidFill>
                <a:srgbClr val="C00000"/>
              </a:solidFill>
              <a:round/>
            </a:ln>
            <a:effectLst/>
          </c:spPr>
          <c:marker>
            <c:symbol val="none"/>
          </c:marker>
          <c:cat>
            <c:strRef>
              <c:f>'Tabla Dinámica'!$G$4:$G$18</c:f>
              <c:strCache>
                <c:ptCount val="15"/>
                <c:pt idx="0">
                  <c:v>Hong Kong</c:v>
                </c:pt>
                <c:pt idx="1">
                  <c:v>Australia</c:v>
                </c:pt>
                <c:pt idx="2">
                  <c:v>Macao</c:v>
                </c:pt>
                <c:pt idx="3">
                  <c:v>San Marino</c:v>
                </c:pt>
                <c:pt idx="4">
                  <c:v>Spain</c:v>
                </c:pt>
                <c:pt idx="5">
                  <c:v>Malta</c:v>
                </c:pt>
                <c:pt idx="6">
                  <c:v>Switzerland</c:v>
                </c:pt>
                <c:pt idx="7">
                  <c:v>Singapore</c:v>
                </c:pt>
                <c:pt idx="8">
                  <c:v>Bermuda</c:v>
                </c:pt>
                <c:pt idx="9">
                  <c:v>Luxembourg</c:v>
                </c:pt>
                <c:pt idx="10">
                  <c:v>Japan</c:v>
                </c:pt>
                <c:pt idx="11">
                  <c:v>South Korea</c:v>
                </c:pt>
                <c:pt idx="12">
                  <c:v>Portugal</c:v>
                </c:pt>
                <c:pt idx="13">
                  <c:v>Cyprus</c:v>
                </c:pt>
                <c:pt idx="14">
                  <c:v>France</c:v>
                </c:pt>
              </c:strCache>
            </c:strRef>
          </c:cat>
          <c:val>
            <c:numRef>
              <c:f>'Tabla Dinámica'!$J$4:$J$18</c:f>
              <c:numCache>
                <c:formatCode>General</c:formatCode>
                <c:ptCount val="15"/>
                <c:pt idx="0">
                  <c:v>23.8</c:v>
                </c:pt>
                <c:pt idx="1">
                  <c:v>26.8</c:v>
                </c:pt>
                <c:pt idx="4">
                  <c:v>25.1</c:v>
                </c:pt>
                <c:pt idx="5">
                  <c:v>26.7</c:v>
                </c:pt>
                <c:pt idx="6">
                  <c:v>23.8</c:v>
                </c:pt>
                <c:pt idx="7">
                  <c:v>23.2</c:v>
                </c:pt>
                <c:pt idx="8">
                  <c:v>29.3</c:v>
                </c:pt>
                <c:pt idx="9">
                  <c:v>25.7</c:v>
                </c:pt>
                <c:pt idx="10">
                  <c:v>21.9</c:v>
                </c:pt>
                <c:pt idx="11">
                  <c:v>23.1</c:v>
                </c:pt>
                <c:pt idx="12">
                  <c:v>25.4</c:v>
                </c:pt>
                <c:pt idx="14">
                  <c:v>24.4</c:v>
                </c:pt>
              </c:numCache>
            </c:numRef>
          </c:val>
          <c:smooth val="0"/>
          <c:extLst>
            <c:ext xmlns:c16="http://schemas.microsoft.com/office/drawing/2014/chart" uri="{C3380CC4-5D6E-409C-BE32-E72D297353CC}">
              <c16:uniqueId val="{00000002-E6D9-4045-84FD-1405F215BA9F}"/>
            </c:ext>
          </c:extLst>
        </c:ser>
        <c:dLbls>
          <c:showLegendKey val="0"/>
          <c:showVal val="0"/>
          <c:showCatName val="0"/>
          <c:showSerName val="0"/>
          <c:showPercent val="0"/>
          <c:showBubbleSize val="0"/>
        </c:dLbls>
        <c:marker val="1"/>
        <c:smooth val="0"/>
        <c:axId val="571213304"/>
        <c:axId val="571205432"/>
      </c:lineChart>
      <c:catAx>
        <c:axId val="57121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571205432"/>
        <c:crosses val="autoZero"/>
        <c:auto val="1"/>
        <c:lblAlgn val="ctr"/>
        <c:lblOffset val="100"/>
        <c:noMultiLvlLbl val="0"/>
      </c:catAx>
      <c:valAx>
        <c:axId val="57120543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571213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s-ES" sz="1800" b="0" i="0" baseline="0">
                <a:effectLst/>
              </a:rPr>
              <a:t>IMC DE LOS 15 PAÍSES CON PEOR CALIDAD DE VIDA</a:t>
            </a:r>
            <a:endParaRPr lang="es-E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s-E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Suma de calidad_media</c:v>
          </c:tx>
          <c:spPr>
            <a:solidFill>
              <a:srgbClr val="00B050"/>
            </a:solidFill>
            <a:ln>
              <a:noFill/>
            </a:ln>
            <a:effectLst/>
          </c:spPr>
          <c:invertIfNegative val="0"/>
          <c:cat>
            <c:strLit>
              <c:ptCount val="15"/>
              <c:pt idx="0">
                <c:v>Sierra Leone</c:v>
              </c:pt>
              <c:pt idx="1">
                <c:v>Ivory Coast</c:v>
              </c:pt>
              <c:pt idx="2">
                <c:v>El Salvador</c:v>
              </c:pt>
              <c:pt idx="3">
                <c:v>Zimbabwe</c:v>
              </c:pt>
              <c:pt idx="4">
                <c:v>Lesotho</c:v>
              </c:pt>
              <c:pt idx="5">
                <c:v>Ethiopia</c:v>
              </c:pt>
              <c:pt idx="6">
                <c:v>Afghanistan</c:v>
              </c:pt>
              <c:pt idx="7">
                <c:v>Angola</c:v>
              </c:pt>
              <c:pt idx="8">
                <c:v>Mozambique</c:v>
              </c:pt>
              <c:pt idx="9">
                <c:v>Iraq</c:v>
              </c:pt>
              <c:pt idx="10">
                <c:v>Cameroon</c:v>
              </c:pt>
              <c:pt idx="11">
                <c:v>Chad</c:v>
              </c:pt>
              <c:pt idx="12">
                <c:v>Nigeria</c:v>
              </c:pt>
              <c:pt idx="13">
                <c:v>Sudan</c:v>
              </c:pt>
              <c:pt idx="14">
                <c:v>Congo (Dem. Republic)</c:v>
              </c:pt>
            </c:strLit>
          </c:cat>
          <c:val>
            <c:numLit>
              <c:formatCode>General</c:formatCode>
              <c:ptCount val="15"/>
              <c:pt idx="0">
                <c:v>43</c:v>
              </c:pt>
              <c:pt idx="1">
                <c:v>42.714285714285715</c:v>
              </c:pt>
              <c:pt idx="2">
                <c:v>42.571428571428569</c:v>
              </c:pt>
              <c:pt idx="3">
                <c:v>42.142857142857146</c:v>
              </c:pt>
              <c:pt idx="4">
                <c:v>42.142857142857146</c:v>
              </c:pt>
              <c:pt idx="5">
                <c:v>41.571428571428569</c:v>
              </c:pt>
              <c:pt idx="6">
                <c:v>38</c:v>
              </c:pt>
              <c:pt idx="7">
                <c:v>37.571428571428569</c:v>
              </c:pt>
              <c:pt idx="8">
                <c:v>35</c:v>
              </c:pt>
              <c:pt idx="9">
                <c:v>34.857142857142854</c:v>
              </c:pt>
              <c:pt idx="10">
                <c:v>34.285714285714285</c:v>
              </c:pt>
              <c:pt idx="11">
                <c:v>33.142857142857146</c:v>
              </c:pt>
              <c:pt idx="12">
                <c:v>32.428571428571431</c:v>
              </c:pt>
              <c:pt idx="13">
                <c:v>31.714285714285715</c:v>
              </c:pt>
              <c:pt idx="14">
                <c:v>29.285714285714285</c:v>
              </c:pt>
            </c:numLit>
          </c:val>
          <c:extLst>
            <c:ext xmlns:c16="http://schemas.microsoft.com/office/drawing/2014/chart" uri="{C3380CC4-5D6E-409C-BE32-E72D297353CC}">
              <c16:uniqueId val="{00000000-050B-4D15-B6FA-9F5B7FDF2367}"/>
            </c:ext>
          </c:extLst>
        </c:ser>
        <c:ser>
          <c:idx val="1"/>
          <c:order val="1"/>
          <c:tx>
            <c:v>Suma de male_bmi</c:v>
          </c:tx>
          <c:spPr>
            <a:solidFill>
              <a:srgbClr val="FFC000"/>
            </a:solidFill>
            <a:ln>
              <a:noFill/>
            </a:ln>
            <a:effectLst/>
          </c:spPr>
          <c:invertIfNegative val="0"/>
          <c:cat>
            <c:strLit>
              <c:ptCount val="15"/>
              <c:pt idx="0">
                <c:v>Sierra Leone</c:v>
              </c:pt>
              <c:pt idx="1">
                <c:v>Ivory Coast</c:v>
              </c:pt>
              <c:pt idx="2">
                <c:v>El Salvador</c:v>
              </c:pt>
              <c:pt idx="3">
                <c:v>Zimbabwe</c:v>
              </c:pt>
              <c:pt idx="4">
                <c:v>Lesotho</c:v>
              </c:pt>
              <c:pt idx="5">
                <c:v>Ethiopia</c:v>
              </c:pt>
              <c:pt idx="6">
                <c:v>Afghanistan</c:v>
              </c:pt>
              <c:pt idx="7">
                <c:v>Angola</c:v>
              </c:pt>
              <c:pt idx="8">
                <c:v>Mozambique</c:v>
              </c:pt>
              <c:pt idx="9">
                <c:v>Iraq</c:v>
              </c:pt>
              <c:pt idx="10">
                <c:v>Cameroon</c:v>
              </c:pt>
              <c:pt idx="11">
                <c:v>Chad</c:v>
              </c:pt>
              <c:pt idx="12">
                <c:v>Nigeria</c:v>
              </c:pt>
              <c:pt idx="13">
                <c:v>Sudan</c:v>
              </c:pt>
              <c:pt idx="14">
                <c:v>Congo (Dem. Republic)</c:v>
              </c:pt>
            </c:strLit>
          </c:cat>
          <c:val>
            <c:numLit>
              <c:formatCode>General</c:formatCode>
              <c:ptCount val="15"/>
              <c:pt idx="0">
                <c:v>0</c:v>
              </c:pt>
              <c:pt idx="1">
                <c:v>23.4</c:v>
              </c:pt>
              <c:pt idx="2">
                <c:v>0</c:v>
              </c:pt>
              <c:pt idx="3">
                <c:v>22.3</c:v>
              </c:pt>
              <c:pt idx="4">
                <c:v>0</c:v>
              </c:pt>
              <c:pt idx="5">
                <c:v>20.100000000000001</c:v>
              </c:pt>
              <c:pt idx="6">
                <c:v>22.6</c:v>
              </c:pt>
              <c:pt idx="7">
                <c:v>0</c:v>
              </c:pt>
              <c:pt idx="8">
                <c:v>0</c:v>
              </c:pt>
              <c:pt idx="9">
                <c:v>27.8</c:v>
              </c:pt>
              <c:pt idx="10">
                <c:v>23.6</c:v>
              </c:pt>
              <c:pt idx="11">
                <c:v>22</c:v>
              </c:pt>
              <c:pt idx="12">
                <c:v>22.6</c:v>
              </c:pt>
              <c:pt idx="13">
                <c:v>23.2</c:v>
              </c:pt>
              <c:pt idx="14">
                <c:v>0</c:v>
              </c:pt>
            </c:numLit>
          </c:val>
          <c:extLst>
            <c:ext xmlns:c16="http://schemas.microsoft.com/office/drawing/2014/chart" uri="{C3380CC4-5D6E-409C-BE32-E72D297353CC}">
              <c16:uniqueId val="{00000001-050B-4D15-B6FA-9F5B7FDF2367}"/>
            </c:ext>
          </c:extLst>
        </c:ser>
        <c:dLbls>
          <c:showLegendKey val="0"/>
          <c:showVal val="0"/>
          <c:showCatName val="0"/>
          <c:showSerName val="0"/>
          <c:showPercent val="0"/>
          <c:showBubbleSize val="0"/>
        </c:dLbls>
        <c:gapWidth val="150"/>
        <c:axId val="563621864"/>
        <c:axId val="563622520"/>
      </c:barChart>
      <c:lineChart>
        <c:grouping val="standard"/>
        <c:varyColors val="0"/>
        <c:ser>
          <c:idx val="2"/>
          <c:order val="2"/>
          <c:tx>
            <c:v>Suma de female_bmi</c:v>
          </c:tx>
          <c:spPr>
            <a:ln w="28575" cap="rnd">
              <a:solidFill>
                <a:srgbClr val="C00000"/>
              </a:solidFill>
              <a:round/>
            </a:ln>
            <a:effectLst/>
          </c:spPr>
          <c:marker>
            <c:symbol val="none"/>
          </c:marker>
          <c:cat>
            <c:strLit>
              <c:ptCount val="15"/>
              <c:pt idx="0">
                <c:v>Sierra Leone</c:v>
              </c:pt>
              <c:pt idx="1">
                <c:v>Ivory Coast</c:v>
              </c:pt>
              <c:pt idx="2">
                <c:v>El Salvador</c:v>
              </c:pt>
              <c:pt idx="3">
                <c:v>Zimbabwe</c:v>
              </c:pt>
              <c:pt idx="4">
                <c:v>Lesotho</c:v>
              </c:pt>
              <c:pt idx="5">
                <c:v>Ethiopia</c:v>
              </c:pt>
              <c:pt idx="6">
                <c:v>Afghanistan</c:v>
              </c:pt>
              <c:pt idx="7">
                <c:v>Angola</c:v>
              </c:pt>
              <c:pt idx="8">
                <c:v>Mozambique</c:v>
              </c:pt>
              <c:pt idx="9">
                <c:v>Iraq</c:v>
              </c:pt>
              <c:pt idx="10">
                <c:v>Cameroon</c:v>
              </c:pt>
              <c:pt idx="11">
                <c:v>Chad</c:v>
              </c:pt>
              <c:pt idx="12">
                <c:v>Nigeria</c:v>
              </c:pt>
              <c:pt idx="13">
                <c:v>Sudan</c:v>
              </c:pt>
              <c:pt idx="14">
                <c:v>Congo (Dem. Republic)</c:v>
              </c:pt>
            </c:strLit>
          </c:cat>
          <c:val>
            <c:numLit>
              <c:formatCode>General</c:formatCode>
              <c:ptCount val="15"/>
              <c:pt idx="0">
                <c:v>0</c:v>
              </c:pt>
              <c:pt idx="1">
                <c:v>24.2</c:v>
              </c:pt>
              <c:pt idx="2">
                <c:v>0</c:v>
              </c:pt>
              <c:pt idx="3">
                <c:v>25.4</c:v>
              </c:pt>
              <c:pt idx="4">
                <c:v>0</c:v>
              </c:pt>
              <c:pt idx="5">
                <c:v>21</c:v>
              </c:pt>
              <c:pt idx="6">
                <c:v>24</c:v>
              </c:pt>
              <c:pt idx="7">
                <c:v>0</c:v>
              </c:pt>
              <c:pt idx="8">
                <c:v>0</c:v>
              </c:pt>
              <c:pt idx="9">
                <c:v>29.7</c:v>
              </c:pt>
              <c:pt idx="10">
                <c:v>25.1</c:v>
              </c:pt>
              <c:pt idx="11">
                <c:v>21.9</c:v>
              </c:pt>
              <c:pt idx="12">
                <c:v>24</c:v>
              </c:pt>
              <c:pt idx="13">
                <c:v>26</c:v>
              </c:pt>
              <c:pt idx="14">
                <c:v>0</c:v>
              </c:pt>
            </c:numLit>
          </c:val>
          <c:smooth val="0"/>
          <c:extLst>
            <c:ext xmlns:c16="http://schemas.microsoft.com/office/drawing/2014/chart" uri="{C3380CC4-5D6E-409C-BE32-E72D297353CC}">
              <c16:uniqueId val="{00000002-050B-4D15-B6FA-9F5B7FDF2367}"/>
            </c:ext>
          </c:extLst>
        </c:ser>
        <c:dLbls>
          <c:showLegendKey val="0"/>
          <c:showVal val="0"/>
          <c:showCatName val="0"/>
          <c:showSerName val="0"/>
          <c:showPercent val="0"/>
          <c:showBubbleSize val="0"/>
        </c:dLbls>
        <c:marker val="1"/>
        <c:smooth val="0"/>
        <c:axId val="563621864"/>
        <c:axId val="563622520"/>
      </c:lineChart>
      <c:catAx>
        <c:axId val="563621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563622520"/>
        <c:crosses val="autoZero"/>
        <c:auto val="1"/>
        <c:lblAlgn val="ctr"/>
        <c:lblOffset val="100"/>
        <c:noMultiLvlLbl val="0"/>
      </c:catAx>
      <c:valAx>
        <c:axId val="5636225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563621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[P3.4-VA_DianaMascarenasSande.xlsx]Tabla Dinámica!iqmejores</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Bahnschrift SemiBold SemiConden" panose="020B0502040204020203" pitchFamily="34" charset="0"/>
                <a:ea typeface="+mn-ea"/>
                <a:cs typeface="+mn-cs"/>
              </a:defRPr>
            </a:pPr>
            <a:r>
              <a:rPr lang="en-US">
                <a:latin typeface="Bahnschrift SemiBold SemiConden" panose="020B0502040204020203" pitchFamily="34" charset="0"/>
              </a:rPr>
              <a:t>IQ DE LOS 15 PAÍSES CON MEJOR CALIDAD DE VIDA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Bahnschrift SemiBold SemiConden" panose="020B0502040204020203" pitchFamily="34" charset="0"/>
              <a:ea typeface="+mn-ea"/>
              <a:cs typeface="+mn-cs"/>
            </a:defRPr>
          </a:pPr>
          <a:endParaRPr lang="es-E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C00000"/>
          </a:solidFill>
          <a:ln w="19050">
            <a:solidFill>
              <a:schemeClr val="lt1"/>
            </a:solidFill>
          </a:ln>
          <a:effectLst/>
        </c:spPr>
        <c:dLbl>
          <c:idx val="0"/>
          <c:layout>
            <c:manualLayout>
              <c:x val="8.3414777683197237E-3"/>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4"/>
        <c:spPr>
          <a:solidFill>
            <a:srgbClr val="FF0000"/>
          </a:solidFill>
          <a:ln w="19050">
            <a:solidFill>
              <a:schemeClr val="lt1"/>
            </a:solidFill>
          </a:ln>
          <a:effectLst/>
        </c:spPr>
        <c:dLbl>
          <c:idx val="0"/>
          <c:layout>
            <c:manualLayout>
              <c:x val="1.1121970357759633E-2"/>
              <c:y val="-4.3393297597071269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FFC000"/>
          </a:solidFill>
          <a:ln w="19050">
            <a:solidFill>
              <a:schemeClr val="lt1"/>
            </a:solidFill>
          </a:ln>
          <a:effectLst/>
        </c:spPr>
        <c:dLbl>
          <c:idx val="0"/>
          <c:layout>
            <c:manualLayout>
              <c:x val="1.112197035775953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
        <c:spPr>
          <a:solidFill>
            <a:srgbClr val="FFFF00"/>
          </a:solidFill>
          <a:ln w="19050">
            <a:solidFill>
              <a:schemeClr val="lt1"/>
            </a:solidFill>
          </a:ln>
          <a:effectLst/>
        </c:spPr>
        <c:dLbl>
          <c:idx val="0"/>
          <c:layout>
            <c:manualLayout>
              <c:x val="1.6682955536639347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7"/>
        <c:spPr>
          <a:solidFill>
            <a:srgbClr val="92D050"/>
          </a:solidFill>
          <a:ln w="19050">
            <a:solidFill>
              <a:schemeClr val="lt1"/>
            </a:solidFill>
          </a:ln>
          <a:effectLst/>
        </c:spPr>
        <c:dLbl>
          <c:idx val="0"/>
          <c:layout>
            <c:manualLayout>
              <c:x val="1.9463448126079357E-2"/>
              <c:y val="-9.4677379374869235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
        <c:spPr>
          <a:solidFill>
            <a:srgbClr val="00B0F0"/>
          </a:solidFill>
          <a:ln w="19050">
            <a:solidFill>
              <a:schemeClr val="lt1"/>
            </a:solidFill>
          </a:ln>
          <a:effectLst/>
        </c:spPr>
        <c:dLbl>
          <c:idx val="0"/>
          <c:layout>
            <c:manualLayout>
              <c:x val="0"/>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
        <c:spPr>
          <a:solidFill>
            <a:srgbClr val="00B050"/>
          </a:solidFill>
          <a:ln w="19050">
            <a:solidFill>
              <a:schemeClr val="lt1"/>
            </a:solidFill>
          </a:ln>
          <a:effectLst/>
        </c:spPr>
        <c:dLbl>
          <c:idx val="0"/>
          <c:layout>
            <c:manualLayout>
              <c:x val="-5.0975108604260509E-17"/>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0"/>
        <c:spPr>
          <a:solidFill>
            <a:srgbClr val="C00000"/>
          </a:solidFill>
          <a:ln w="19050">
            <a:solidFill>
              <a:schemeClr val="lt1"/>
            </a:solidFill>
          </a:ln>
          <a:effectLst/>
        </c:spPr>
        <c:dLbl>
          <c:idx val="0"/>
          <c:layout>
            <c:manualLayout>
              <c:x val="-5.5609851788798164E-3"/>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
        <c:spPr>
          <a:solidFill>
            <a:srgbClr val="FF0000"/>
          </a:solidFill>
          <a:ln w="19050">
            <a:solidFill>
              <a:schemeClr val="lt1"/>
            </a:solidFill>
          </a:ln>
          <a:effectLst/>
        </c:spPr>
        <c:dLbl>
          <c:idx val="0"/>
          <c:layout>
            <c:manualLayout>
              <c:x val="-1.3902462947199566E-2"/>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
        <c:spPr>
          <a:solidFill>
            <a:srgbClr val="FFC000"/>
          </a:solidFill>
          <a:ln w="19050">
            <a:solidFill>
              <a:schemeClr val="lt1"/>
            </a:solidFill>
          </a:ln>
          <a:effectLst/>
        </c:spPr>
        <c:dLbl>
          <c:idx val="0"/>
          <c:layout>
            <c:manualLayout>
              <c:x val="-1.390246294719954E-2"/>
              <c:y val="-4.7338689687435051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3"/>
        <c:spPr>
          <a:solidFill>
            <a:srgbClr val="FFFF00"/>
          </a:solidFill>
          <a:ln w="19050">
            <a:solidFill>
              <a:schemeClr val="lt1"/>
            </a:solidFill>
          </a:ln>
          <a:effectLst/>
        </c:spPr>
        <c:dLbl>
          <c:idx val="0"/>
          <c:layout>
            <c:manualLayout>
              <c:x val="-5.5609851788798164E-3"/>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4"/>
        <c:spPr>
          <a:solidFill>
            <a:srgbClr val="92D050"/>
          </a:solidFill>
          <a:ln w="19050">
            <a:solidFill>
              <a:schemeClr val="lt1"/>
            </a:solidFill>
          </a:ln>
          <a:effectLst/>
        </c:spPr>
        <c:dLbl>
          <c:idx val="0"/>
          <c:layout>
            <c:manualLayout>
              <c:x val="-1.390246294719954E-2"/>
              <c:y val="-4.7338689687434184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5"/>
        <c:spPr>
          <a:solidFill>
            <a:srgbClr val="00B050"/>
          </a:solidFill>
          <a:ln w="19050">
            <a:solidFill>
              <a:schemeClr val="lt1"/>
            </a:solidFill>
          </a:ln>
          <a:effectLst/>
        </c:spPr>
        <c:dLbl>
          <c:idx val="0"/>
          <c:layout>
            <c:manualLayout>
              <c:x val="-1.1121970357759683E-2"/>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6"/>
        <c:spPr>
          <a:solidFill>
            <a:srgbClr val="00B0F0"/>
          </a:solidFill>
          <a:ln w="19050">
            <a:solidFill>
              <a:schemeClr val="lt1"/>
            </a:solidFill>
          </a:ln>
          <a:effectLst/>
        </c:spPr>
        <c:dLbl>
          <c:idx val="0"/>
          <c:layout>
            <c:manualLayout>
              <c:x val="5.5609851788797652E-3"/>
              <c:y val="-1.4201606906230279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7"/>
        <c:spPr>
          <a:solidFill>
            <a:srgbClr val="00B050"/>
          </a:solidFill>
          <a:ln w="19050">
            <a:solidFill>
              <a:schemeClr val="lt1"/>
            </a:solidFill>
          </a:ln>
          <a:effectLst/>
        </c:spPr>
        <c:dLbl>
          <c:idx val="0"/>
          <c:layout>
            <c:manualLayout>
              <c:x val="8.3414777683197237E-3"/>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9"/>
        <c:spPr>
          <a:solidFill>
            <a:srgbClr val="00B050"/>
          </a:solidFill>
          <a:ln w="19050">
            <a:solidFill>
              <a:schemeClr val="lt1"/>
            </a:solidFill>
          </a:ln>
          <a:effectLst/>
        </c:spPr>
        <c:dLbl>
          <c:idx val="0"/>
          <c:layout>
            <c:manualLayout>
              <c:x val="8.3414777683197237E-3"/>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0"/>
        <c:spPr>
          <a:solidFill>
            <a:srgbClr val="C00000"/>
          </a:solidFill>
          <a:ln w="19050">
            <a:solidFill>
              <a:schemeClr val="lt1"/>
            </a:solidFill>
          </a:ln>
          <a:effectLst/>
        </c:spPr>
        <c:dLbl>
          <c:idx val="0"/>
          <c:layout>
            <c:manualLayout>
              <c:x val="8.3414777683197237E-3"/>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1"/>
        <c:spPr>
          <a:solidFill>
            <a:srgbClr val="FF0000"/>
          </a:solidFill>
          <a:ln w="19050">
            <a:solidFill>
              <a:schemeClr val="lt1"/>
            </a:solidFill>
          </a:ln>
          <a:effectLst/>
        </c:spPr>
        <c:dLbl>
          <c:idx val="0"/>
          <c:layout>
            <c:manualLayout>
              <c:x val="1.1121970357759633E-2"/>
              <c:y val="-4.3393297597071269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2"/>
        <c:spPr>
          <a:solidFill>
            <a:srgbClr val="FFC000"/>
          </a:solidFill>
          <a:ln w="19050">
            <a:solidFill>
              <a:schemeClr val="lt1"/>
            </a:solidFill>
          </a:ln>
          <a:effectLst/>
        </c:spPr>
        <c:dLbl>
          <c:idx val="0"/>
          <c:layout>
            <c:manualLayout>
              <c:x val="1.112197035775953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3"/>
        <c:spPr>
          <a:solidFill>
            <a:srgbClr val="FFFF00"/>
          </a:solidFill>
          <a:ln w="19050">
            <a:solidFill>
              <a:schemeClr val="lt1"/>
            </a:solidFill>
          </a:ln>
          <a:effectLst/>
        </c:spPr>
        <c:dLbl>
          <c:idx val="0"/>
          <c:layout>
            <c:manualLayout>
              <c:x val="1.6682955536639347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4"/>
        <c:spPr>
          <a:solidFill>
            <a:srgbClr val="92D050"/>
          </a:solidFill>
          <a:ln w="19050">
            <a:solidFill>
              <a:schemeClr val="lt1"/>
            </a:solidFill>
          </a:ln>
          <a:effectLst/>
        </c:spPr>
        <c:dLbl>
          <c:idx val="0"/>
          <c:layout>
            <c:manualLayout>
              <c:x val="1.9463448126079357E-2"/>
              <c:y val="-9.4677379374869235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5"/>
        <c:spPr>
          <a:solidFill>
            <a:srgbClr val="00B0F0"/>
          </a:solidFill>
          <a:ln w="19050">
            <a:solidFill>
              <a:schemeClr val="lt1"/>
            </a:solidFill>
          </a:ln>
          <a:effectLst/>
        </c:spPr>
        <c:dLbl>
          <c:idx val="0"/>
          <c:layout>
            <c:manualLayout>
              <c:x val="0"/>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6"/>
        <c:spPr>
          <a:solidFill>
            <a:srgbClr val="00B050"/>
          </a:solidFill>
          <a:ln w="19050">
            <a:solidFill>
              <a:schemeClr val="lt1"/>
            </a:solidFill>
          </a:ln>
          <a:effectLst/>
        </c:spPr>
        <c:dLbl>
          <c:idx val="0"/>
          <c:layout>
            <c:manualLayout>
              <c:x val="-5.0975108604260509E-17"/>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7"/>
        <c:spPr>
          <a:solidFill>
            <a:srgbClr val="C00000"/>
          </a:solidFill>
          <a:ln w="19050">
            <a:solidFill>
              <a:schemeClr val="lt1"/>
            </a:solidFill>
          </a:ln>
          <a:effectLst/>
        </c:spPr>
        <c:dLbl>
          <c:idx val="0"/>
          <c:layout>
            <c:manualLayout>
              <c:x val="-5.5609851788798164E-3"/>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8"/>
        <c:spPr>
          <a:solidFill>
            <a:srgbClr val="FF0000"/>
          </a:solidFill>
          <a:ln w="19050">
            <a:solidFill>
              <a:schemeClr val="lt1"/>
            </a:solidFill>
          </a:ln>
          <a:effectLst/>
        </c:spPr>
        <c:dLbl>
          <c:idx val="0"/>
          <c:layout>
            <c:manualLayout>
              <c:x val="-1.3902462947199566E-2"/>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9"/>
        <c:spPr>
          <a:solidFill>
            <a:srgbClr val="FFC000"/>
          </a:solidFill>
          <a:ln w="19050">
            <a:solidFill>
              <a:schemeClr val="lt1"/>
            </a:solidFill>
          </a:ln>
          <a:effectLst/>
        </c:spPr>
        <c:dLbl>
          <c:idx val="0"/>
          <c:layout>
            <c:manualLayout>
              <c:x val="-1.390246294719954E-2"/>
              <c:y val="-4.7338689687435051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0"/>
        <c:spPr>
          <a:solidFill>
            <a:srgbClr val="FFFF00"/>
          </a:solidFill>
          <a:ln w="19050">
            <a:solidFill>
              <a:schemeClr val="lt1"/>
            </a:solidFill>
          </a:ln>
          <a:effectLst/>
        </c:spPr>
        <c:dLbl>
          <c:idx val="0"/>
          <c:layout>
            <c:manualLayout>
              <c:x val="-5.5609851788798164E-3"/>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1"/>
        <c:spPr>
          <a:solidFill>
            <a:srgbClr val="92D050"/>
          </a:solidFill>
          <a:ln w="19050">
            <a:solidFill>
              <a:schemeClr val="lt1"/>
            </a:solidFill>
          </a:ln>
          <a:effectLst/>
        </c:spPr>
        <c:dLbl>
          <c:idx val="0"/>
          <c:layout>
            <c:manualLayout>
              <c:x val="-1.390246294719954E-2"/>
              <c:y val="-4.7338689687434184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2"/>
        <c:spPr>
          <a:solidFill>
            <a:srgbClr val="00B050"/>
          </a:solidFill>
          <a:ln w="19050">
            <a:solidFill>
              <a:schemeClr val="lt1"/>
            </a:solidFill>
          </a:ln>
          <a:effectLst/>
        </c:spPr>
        <c:dLbl>
          <c:idx val="0"/>
          <c:layout>
            <c:manualLayout>
              <c:x val="-1.1121970357759683E-2"/>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3"/>
        <c:spPr>
          <a:solidFill>
            <a:srgbClr val="00B0F0"/>
          </a:solidFill>
          <a:ln w="19050">
            <a:solidFill>
              <a:schemeClr val="lt1"/>
            </a:solidFill>
          </a:ln>
          <a:effectLst/>
        </c:spPr>
        <c:dLbl>
          <c:idx val="0"/>
          <c:layout>
            <c:manualLayout>
              <c:x val="5.5609851788797652E-3"/>
              <c:y val="-1.4201606906230279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51"/>
        <c:spPr>
          <a:solidFill>
            <a:srgbClr val="00B050"/>
          </a:solidFill>
          <a:ln w="19050">
            <a:solidFill>
              <a:schemeClr val="lt1"/>
            </a:solidFill>
          </a:ln>
          <a:effectLst/>
        </c:spPr>
        <c:dLbl>
          <c:idx val="0"/>
          <c:layout>
            <c:manualLayout>
              <c:x val="8.3414777683197237E-3"/>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2"/>
        <c:spPr>
          <a:solidFill>
            <a:srgbClr val="C00000"/>
          </a:solidFill>
          <a:ln w="19050">
            <a:solidFill>
              <a:schemeClr val="lt1"/>
            </a:solidFill>
          </a:ln>
          <a:effectLst/>
        </c:spPr>
        <c:dLbl>
          <c:idx val="0"/>
          <c:layout>
            <c:manualLayout>
              <c:x val="8.3414777683197237E-3"/>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3"/>
        <c:spPr>
          <a:solidFill>
            <a:srgbClr val="FF0000"/>
          </a:solidFill>
          <a:ln w="19050">
            <a:solidFill>
              <a:schemeClr val="lt1"/>
            </a:solidFill>
          </a:ln>
          <a:effectLst/>
        </c:spPr>
        <c:dLbl>
          <c:idx val="0"/>
          <c:layout>
            <c:manualLayout>
              <c:x val="1.1121970357759633E-2"/>
              <c:y val="-4.3393297597071269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4"/>
        <c:spPr>
          <a:solidFill>
            <a:srgbClr val="FFC000"/>
          </a:solidFill>
          <a:ln w="19050">
            <a:solidFill>
              <a:schemeClr val="lt1"/>
            </a:solidFill>
          </a:ln>
          <a:effectLst/>
        </c:spPr>
        <c:dLbl>
          <c:idx val="0"/>
          <c:layout>
            <c:manualLayout>
              <c:x val="1.112197035775953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5"/>
        <c:spPr>
          <a:solidFill>
            <a:srgbClr val="FFFF00"/>
          </a:solidFill>
          <a:ln w="19050">
            <a:solidFill>
              <a:schemeClr val="lt1"/>
            </a:solidFill>
          </a:ln>
          <a:effectLst/>
        </c:spPr>
        <c:dLbl>
          <c:idx val="0"/>
          <c:layout>
            <c:manualLayout>
              <c:x val="1.6682955536639347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6"/>
        <c:spPr>
          <a:solidFill>
            <a:srgbClr val="92D050"/>
          </a:solidFill>
          <a:ln w="19050">
            <a:solidFill>
              <a:schemeClr val="lt1"/>
            </a:solidFill>
          </a:ln>
          <a:effectLst/>
        </c:spPr>
        <c:dLbl>
          <c:idx val="0"/>
          <c:layout>
            <c:manualLayout>
              <c:x val="1.9463448126079357E-2"/>
              <c:y val="-9.4677379374869235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7"/>
        <c:spPr>
          <a:solidFill>
            <a:srgbClr val="00B0F0"/>
          </a:solidFill>
          <a:ln w="19050">
            <a:solidFill>
              <a:schemeClr val="lt1"/>
            </a:solidFill>
          </a:ln>
          <a:effectLst/>
        </c:spPr>
        <c:dLbl>
          <c:idx val="0"/>
          <c:layout>
            <c:manualLayout>
              <c:x val="0"/>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8"/>
        <c:spPr>
          <a:solidFill>
            <a:srgbClr val="00B050"/>
          </a:solidFill>
          <a:ln w="19050">
            <a:solidFill>
              <a:schemeClr val="lt1"/>
            </a:solidFill>
          </a:ln>
          <a:effectLst/>
        </c:spPr>
        <c:dLbl>
          <c:idx val="0"/>
          <c:layout>
            <c:manualLayout>
              <c:x val="-5.0975108604260509E-17"/>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9"/>
        <c:spPr>
          <a:solidFill>
            <a:srgbClr val="C00000"/>
          </a:solidFill>
          <a:ln w="19050">
            <a:solidFill>
              <a:schemeClr val="lt1"/>
            </a:solidFill>
          </a:ln>
          <a:effectLst/>
        </c:spPr>
        <c:dLbl>
          <c:idx val="0"/>
          <c:layout>
            <c:manualLayout>
              <c:x val="-5.5609851788798164E-3"/>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0"/>
        <c:spPr>
          <a:solidFill>
            <a:srgbClr val="FF0000"/>
          </a:solidFill>
          <a:ln w="19050">
            <a:solidFill>
              <a:schemeClr val="lt1"/>
            </a:solidFill>
          </a:ln>
          <a:effectLst/>
        </c:spPr>
        <c:dLbl>
          <c:idx val="0"/>
          <c:layout>
            <c:manualLayout>
              <c:x val="-1.3902462947199566E-2"/>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1"/>
        <c:spPr>
          <a:solidFill>
            <a:srgbClr val="FFC000"/>
          </a:solidFill>
          <a:ln w="19050">
            <a:solidFill>
              <a:schemeClr val="lt1"/>
            </a:solidFill>
          </a:ln>
          <a:effectLst/>
        </c:spPr>
        <c:dLbl>
          <c:idx val="0"/>
          <c:layout>
            <c:manualLayout>
              <c:x val="-1.390246294719954E-2"/>
              <c:y val="-4.7338689687435051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2"/>
        <c:spPr>
          <a:solidFill>
            <a:srgbClr val="FFFF00"/>
          </a:solidFill>
          <a:ln w="19050">
            <a:solidFill>
              <a:schemeClr val="lt1"/>
            </a:solidFill>
          </a:ln>
          <a:effectLst/>
        </c:spPr>
        <c:dLbl>
          <c:idx val="0"/>
          <c:layout>
            <c:manualLayout>
              <c:x val="-5.5609851788798164E-3"/>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3"/>
        <c:spPr>
          <a:solidFill>
            <a:srgbClr val="92D050"/>
          </a:solidFill>
          <a:ln w="19050">
            <a:solidFill>
              <a:schemeClr val="lt1"/>
            </a:solidFill>
          </a:ln>
          <a:effectLst/>
        </c:spPr>
        <c:dLbl>
          <c:idx val="0"/>
          <c:layout>
            <c:manualLayout>
              <c:x val="-1.390246294719954E-2"/>
              <c:y val="-4.7338689687434184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4"/>
        <c:spPr>
          <a:solidFill>
            <a:srgbClr val="00B050"/>
          </a:solidFill>
          <a:ln w="19050">
            <a:solidFill>
              <a:schemeClr val="lt1"/>
            </a:solidFill>
          </a:ln>
          <a:effectLst/>
        </c:spPr>
        <c:dLbl>
          <c:idx val="0"/>
          <c:layout>
            <c:manualLayout>
              <c:x val="-1.1121970357759683E-2"/>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5"/>
        <c:spPr>
          <a:solidFill>
            <a:srgbClr val="00B0F0"/>
          </a:solidFill>
          <a:ln w="19050">
            <a:solidFill>
              <a:schemeClr val="lt1"/>
            </a:solidFill>
          </a:ln>
          <a:effectLst/>
        </c:spPr>
        <c:dLbl>
          <c:idx val="0"/>
          <c:layout>
            <c:manualLayout>
              <c:x val="5.5609851788797652E-3"/>
              <c:y val="-1.4201606906230279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83"/>
        <c:spPr>
          <a:solidFill>
            <a:srgbClr val="92D050"/>
          </a:solidFill>
          <a:ln w="19050">
            <a:solidFill>
              <a:schemeClr val="lt1"/>
            </a:solidFill>
          </a:ln>
          <a:effectLst/>
        </c:spPr>
        <c:dLbl>
          <c:idx val="0"/>
          <c:layout>
            <c:manualLayout>
              <c:x val="1.9463448126079357E-2"/>
              <c:y val="-9.4677379374869235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4"/>
        <c:spPr>
          <a:solidFill>
            <a:srgbClr val="00B050"/>
          </a:solidFill>
          <a:ln w="19050">
            <a:solidFill>
              <a:schemeClr val="lt1"/>
            </a:solidFill>
          </a:ln>
          <a:effectLst/>
        </c:spPr>
        <c:dLbl>
          <c:idx val="0"/>
          <c:layout>
            <c:manualLayout>
              <c:x val="8.3414777683197237E-3"/>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5"/>
        <c:spPr>
          <a:solidFill>
            <a:srgbClr val="C00000"/>
          </a:solidFill>
          <a:ln w="19050">
            <a:solidFill>
              <a:schemeClr val="lt1"/>
            </a:solidFill>
          </a:ln>
          <a:effectLst/>
        </c:spPr>
        <c:dLbl>
          <c:idx val="0"/>
          <c:layout>
            <c:manualLayout>
              <c:x val="-5.5609851788798164E-3"/>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6"/>
        <c:spPr>
          <a:solidFill>
            <a:srgbClr val="00B050"/>
          </a:solidFill>
          <a:ln w="19050">
            <a:solidFill>
              <a:schemeClr val="lt1"/>
            </a:solidFill>
          </a:ln>
          <a:effectLst/>
        </c:spPr>
        <c:dLbl>
          <c:idx val="0"/>
          <c:layout>
            <c:manualLayout>
              <c:x val="-1.1121970357759683E-2"/>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7"/>
        <c:spPr>
          <a:solidFill>
            <a:srgbClr val="FF0000"/>
          </a:solidFill>
          <a:ln w="19050">
            <a:solidFill>
              <a:schemeClr val="lt1"/>
            </a:solidFill>
          </a:ln>
          <a:effectLst/>
        </c:spPr>
        <c:dLbl>
          <c:idx val="0"/>
          <c:layout>
            <c:manualLayout>
              <c:x val="-1.3902462947199566E-2"/>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8"/>
        <c:spPr>
          <a:solidFill>
            <a:srgbClr val="00B0F0"/>
          </a:solidFill>
          <a:ln w="19050">
            <a:solidFill>
              <a:schemeClr val="lt1"/>
            </a:solidFill>
          </a:ln>
          <a:effectLst/>
        </c:spPr>
        <c:dLbl>
          <c:idx val="0"/>
          <c:layout>
            <c:manualLayout>
              <c:x val="5.5609851788797652E-3"/>
              <c:y val="-1.4201606906230279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9"/>
        <c:spPr>
          <a:solidFill>
            <a:srgbClr val="FF0000"/>
          </a:solidFill>
          <a:ln w="19050">
            <a:solidFill>
              <a:schemeClr val="lt1"/>
            </a:solidFill>
          </a:ln>
          <a:effectLst/>
        </c:spPr>
        <c:dLbl>
          <c:idx val="0"/>
          <c:layout>
            <c:manualLayout>
              <c:x val="1.1121970357759633E-2"/>
              <c:y val="-4.3393297597071269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0"/>
        <c:spPr>
          <a:solidFill>
            <a:srgbClr val="FFFF00"/>
          </a:solidFill>
          <a:ln w="19050">
            <a:solidFill>
              <a:schemeClr val="lt1"/>
            </a:solidFill>
          </a:ln>
          <a:effectLst/>
        </c:spPr>
        <c:dLbl>
          <c:idx val="0"/>
          <c:layout>
            <c:manualLayout>
              <c:x val="-5.5609851788798164E-3"/>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1"/>
        <c:spPr>
          <a:solidFill>
            <a:srgbClr val="00B050"/>
          </a:solidFill>
          <a:ln w="19050">
            <a:solidFill>
              <a:schemeClr val="lt1"/>
            </a:solidFill>
          </a:ln>
          <a:effectLst/>
        </c:spPr>
        <c:dLbl>
          <c:idx val="0"/>
          <c:layout>
            <c:manualLayout>
              <c:x val="-5.0975108604260509E-17"/>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2"/>
        <c:spPr>
          <a:solidFill>
            <a:srgbClr val="00B0F0"/>
          </a:solidFill>
          <a:ln w="19050">
            <a:solidFill>
              <a:schemeClr val="lt1"/>
            </a:solidFill>
          </a:ln>
          <a:effectLst/>
        </c:spPr>
        <c:dLbl>
          <c:idx val="0"/>
          <c:layout>
            <c:manualLayout>
              <c:x val="0"/>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3"/>
        <c:spPr>
          <a:solidFill>
            <a:srgbClr val="FFC000"/>
          </a:solidFill>
          <a:ln w="19050">
            <a:solidFill>
              <a:schemeClr val="lt1"/>
            </a:solidFill>
          </a:ln>
          <a:effectLst/>
        </c:spPr>
        <c:dLbl>
          <c:idx val="0"/>
          <c:layout>
            <c:manualLayout>
              <c:x val="-1.390246294719954E-2"/>
              <c:y val="-4.7338689687435051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4"/>
        <c:spPr>
          <a:solidFill>
            <a:srgbClr val="92D050"/>
          </a:solidFill>
          <a:ln w="19050">
            <a:solidFill>
              <a:schemeClr val="lt1"/>
            </a:solidFill>
          </a:ln>
          <a:effectLst/>
        </c:spPr>
        <c:dLbl>
          <c:idx val="0"/>
          <c:layout>
            <c:manualLayout>
              <c:x val="-1.390246294719954E-2"/>
              <c:y val="-4.7338689687434184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5"/>
        <c:spPr>
          <a:solidFill>
            <a:srgbClr val="FFC000"/>
          </a:solidFill>
          <a:ln w="19050">
            <a:solidFill>
              <a:schemeClr val="lt1"/>
            </a:solidFill>
          </a:ln>
          <a:effectLst/>
        </c:spPr>
        <c:dLbl>
          <c:idx val="0"/>
          <c:layout>
            <c:manualLayout>
              <c:x val="1.112197035775953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6"/>
        <c:spPr>
          <a:solidFill>
            <a:srgbClr val="C00000"/>
          </a:solidFill>
          <a:ln w="19050">
            <a:solidFill>
              <a:schemeClr val="lt1"/>
            </a:solidFill>
          </a:ln>
          <a:effectLst/>
        </c:spPr>
        <c:dLbl>
          <c:idx val="0"/>
          <c:layout>
            <c:manualLayout>
              <c:x val="8.3414777683197237E-3"/>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7"/>
        <c:spPr>
          <a:solidFill>
            <a:srgbClr val="FFFF00"/>
          </a:solidFill>
          <a:ln w="19050">
            <a:solidFill>
              <a:schemeClr val="lt1"/>
            </a:solidFill>
          </a:ln>
          <a:effectLst/>
        </c:spPr>
        <c:dLbl>
          <c:idx val="0"/>
          <c:layout>
            <c:manualLayout>
              <c:x val="1.6682955536639347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pivotFmt>
      <c:pivotFmt>
        <c:idx val="1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15"/>
        <c:spPr>
          <a:solidFill>
            <a:srgbClr val="92D050"/>
          </a:solidFill>
          <a:ln w="19050">
            <a:solidFill>
              <a:schemeClr val="lt1"/>
            </a:solidFill>
          </a:ln>
          <a:effectLst/>
        </c:spPr>
        <c:dLbl>
          <c:idx val="0"/>
          <c:layout>
            <c:manualLayout>
              <c:x val="1.9463448126079357E-2"/>
              <c:y val="-9.4677379374869235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6"/>
        <c:spPr>
          <a:solidFill>
            <a:srgbClr val="00B050"/>
          </a:solidFill>
          <a:ln w="19050">
            <a:solidFill>
              <a:schemeClr val="lt1"/>
            </a:solidFill>
          </a:ln>
          <a:effectLst/>
        </c:spPr>
        <c:dLbl>
          <c:idx val="0"/>
          <c:layout>
            <c:manualLayout>
              <c:x val="8.3414777683197237E-3"/>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7"/>
        <c:spPr>
          <a:solidFill>
            <a:srgbClr val="C00000"/>
          </a:solidFill>
          <a:ln w="19050">
            <a:solidFill>
              <a:schemeClr val="lt1"/>
            </a:solidFill>
          </a:ln>
          <a:effectLst/>
        </c:spPr>
        <c:dLbl>
          <c:idx val="0"/>
          <c:layout>
            <c:manualLayout>
              <c:x val="-5.5609851788798164E-3"/>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8"/>
        <c:spPr>
          <a:solidFill>
            <a:srgbClr val="00B050"/>
          </a:solidFill>
          <a:ln w="19050">
            <a:solidFill>
              <a:schemeClr val="lt1"/>
            </a:solidFill>
          </a:ln>
          <a:effectLst/>
        </c:spPr>
        <c:dLbl>
          <c:idx val="0"/>
          <c:layout>
            <c:manualLayout>
              <c:x val="-1.1121970357759683E-2"/>
              <c:y val="-9.4677379374868368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9"/>
        <c:spPr>
          <a:solidFill>
            <a:srgbClr val="FF0000"/>
          </a:solidFill>
          <a:ln w="19050">
            <a:solidFill>
              <a:schemeClr val="lt1"/>
            </a:solidFill>
          </a:ln>
          <a:effectLst/>
        </c:spPr>
        <c:dLbl>
          <c:idx val="0"/>
          <c:layout>
            <c:manualLayout>
              <c:x val="-1.3902462947199566E-2"/>
              <c:y val="1.4201606906230083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0"/>
        <c:spPr>
          <a:solidFill>
            <a:srgbClr val="00B0F0"/>
          </a:solidFill>
          <a:ln w="19050">
            <a:solidFill>
              <a:schemeClr val="lt1"/>
            </a:solidFill>
          </a:ln>
          <a:effectLst/>
        </c:spPr>
        <c:dLbl>
          <c:idx val="0"/>
          <c:layout>
            <c:manualLayout>
              <c:x val="5.5609851788797652E-3"/>
              <c:y val="-1.4201606906230279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1"/>
        <c:spPr>
          <a:solidFill>
            <a:srgbClr val="FF0000"/>
          </a:solidFill>
          <a:ln w="19050">
            <a:solidFill>
              <a:schemeClr val="lt1"/>
            </a:solidFill>
          </a:ln>
          <a:effectLst/>
        </c:spPr>
        <c:dLbl>
          <c:idx val="0"/>
          <c:layout>
            <c:manualLayout>
              <c:x val="1.1121970357759633E-2"/>
              <c:y val="-4.3393297597071269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2"/>
        <c:spPr>
          <a:solidFill>
            <a:srgbClr val="FFFF00"/>
          </a:solidFill>
          <a:ln w="19050">
            <a:solidFill>
              <a:schemeClr val="lt1"/>
            </a:solidFill>
          </a:ln>
          <a:effectLst/>
        </c:spPr>
        <c:dLbl>
          <c:idx val="0"/>
          <c:layout>
            <c:manualLayout>
              <c:x val="-5.5609851788798164E-3"/>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3"/>
        <c:spPr>
          <a:solidFill>
            <a:srgbClr val="00B050"/>
          </a:solidFill>
          <a:ln w="19050">
            <a:solidFill>
              <a:schemeClr val="lt1"/>
            </a:solidFill>
          </a:ln>
          <a:effectLst/>
        </c:spPr>
        <c:dLbl>
          <c:idx val="0"/>
          <c:layout>
            <c:manualLayout>
              <c:x val="-5.0975108604260509E-17"/>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4"/>
        <c:spPr>
          <a:solidFill>
            <a:srgbClr val="00B0F0"/>
          </a:solidFill>
          <a:ln w="19050">
            <a:solidFill>
              <a:schemeClr val="lt1"/>
            </a:solidFill>
          </a:ln>
          <a:effectLst/>
        </c:spPr>
        <c:dLbl>
          <c:idx val="0"/>
          <c:layout>
            <c:manualLayout>
              <c:x val="0"/>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5"/>
        <c:spPr>
          <a:solidFill>
            <a:srgbClr val="FFC000"/>
          </a:solidFill>
          <a:ln w="19050">
            <a:solidFill>
              <a:schemeClr val="lt1"/>
            </a:solidFill>
          </a:ln>
          <a:effectLst/>
        </c:spPr>
        <c:dLbl>
          <c:idx val="0"/>
          <c:layout>
            <c:manualLayout>
              <c:x val="-1.390246294719954E-2"/>
              <c:y val="-4.7338689687435051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6"/>
        <c:spPr>
          <a:solidFill>
            <a:srgbClr val="92D050"/>
          </a:solidFill>
          <a:ln w="19050">
            <a:solidFill>
              <a:schemeClr val="lt1"/>
            </a:solidFill>
          </a:ln>
          <a:effectLst/>
        </c:spPr>
        <c:dLbl>
          <c:idx val="0"/>
          <c:layout>
            <c:manualLayout>
              <c:x val="-1.390246294719954E-2"/>
              <c:y val="-4.7338689687434184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7"/>
        <c:spPr>
          <a:solidFill>
            <a:srgbClr val="FFC000"/>
          </a:solidFill>
          <a:ln w="19050">
            <a:solidFill>
              <a:schemeClr val="lt1"/>
            </a:solidFill>
          </a:ln>
          <a:effectLst/>
        </c:spPr>
        <c:dLbl>
          <c:idx val="0"/>
          <c:layout>
            <c:manualLayout>
              <c:x val="1.112197035775953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8"/>
        <c:spPr>
          <a:solidFill>
            <a:srgbClr val="C00000"/>
          </a:solidFill>
          <a:ln w="19050">
            <a:solidFill>
              <a:schemeClr val="lt1"/>
            </a:solidFill>
          </a:ln>
          <a:effectLst/>
        </c:spPr>
        <c:dLbl>
          <c:idx val="0"/>
          <c:layout>
            <c:manualLayout>
              <c:x val="8.3414777683197237E-3"/>
              <c:y val="-1.8935475874973674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9"/>
        <c:spPr>
          <a:solidFill>
            <a:srgbClr val="FFFF00"/>
          </a:solidFill>
          <a:ln w="19050">
            <a:solidFill>
              <a:schemeClr val="lt1"/>
            </a:solidFill>
          </a:ln>
          <a:effectLst/>
        </c:spPr>
        <c:dLbl>
          <c:idx val="0"/>
          <c:layout>
            <c:manualLayout>
              <c:x val="1.6682955536639347E-2"/>
              <c:y val="-8.6786595194142537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3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w="19050">
            <a:solidFill>
              <a:schemeClr val="lt1"/>
            </a:solidFill>
          </a:ln>
          <a:effectLst/>
        </c:spPr>
      </c:pivotFmt>
      <c:pivotFmt>
        <c:idx val="132"/>
        <c:spPr>
          <a:solidFill>
            <a:schemeClr val="accent1"/>
          </a:solidFill>
          <a:ln w="19050">
            <a:solidFill>
              <a:schemeClr val="lt1"/>
            </a:solidFill>
          </a:ln>
          <a:effectLst/>
        </c:spPr>
      </c:pivotFmt>
      <c:pivotFmt>
        <c:idx val="133"/>
        <c:spPr>
          <a:solidFill>
            <a:schemeClr val="accent1"/>
          </a:solidFill>
          <a:ln w="19050">
            <a:solidFill>
              <a:schemeClr val="lt1"/>
            </a:solidFill>
          </a:ln>
          <a:effectLst/>
        </c:spPr>
      </c:pivotFmt>
      <c:pivotFmt>
        <c:idx val="134"/>
        <c:spPr>
          <a:solidFill>
            <a:schemeClr val="accent1"/>
          </a:solidFill>
          <a:ln w="19050">
            <a:solidFill>
              <a:schemeClr val="lt1"/>
            </a:solidFill>
          </a:ln>
          <a:effectLst/>
        </c:spPr>
      </c:pivotFmt>
      <c:pivotFmt>
        <c:idx val="135"/>
        <c:spPr>
          <a:solidFill>
            <a:schemeClr val="accent1"/>
          </a:solidFill>
          <a:ln w="19050">
            <a:solidFill>
              <a:schemeClr val="lt1"/>
            </a:solidFill>
          </a:ln>
          <a:effectLst/>
        </c:spPr>
      </c:pivotFmt>
      <c:pivotFmt>
        <c:idx val="136"/>
        <c:spPr>
          <a:solidFill>
            <a:schemeClr val="accent1"/>
          </a:solidFill>
          <a:ln w="19050">
            <a:solidFill>
              <a:schemeClr val="lt1"/>
            </a:solidFill>
          </a:ln>
          <a:effectLst/>
        </c:spPr>
      </c:pivotFmt>
      <c:pivotFmt>
        <c:idx val="137"/>
        <c:spPr>
          <a:solidFill>
            <a:schemeClr val="accent1"/>
          </a:solidFill>
          <a:ln w="19050">
            <a:solidFill>
              <a:schemeClr val="lt1"/>
            </a:solidFill>
          </a:ln>
          <a:effectLst/>
        </c:spPr>
      </c:pivotFmt>
      <c:pivotFmt>
        <c:idx val="138"/>
        <c:spPr>
          <a:solidFill>
            <a:schemeClr val="accent1"/>
          </a:solidFill>
          <a:ln w="19050">
            <a:solidFill>
              <a:schemeClr val="lt1"/>
            </a:solidFill>
          </a:ln>
          <a:effectLst/>
        </c:spPr>
      </c:pivotFmt>
      <c:pivotFmt>
        <c:idx val="139"/>
        <c:spPr>
          <a:solidFill>
            <a:schemeClr val="accent1"/>
          </a:solidFill>
          <a:ln w="19050">
            <a:solidFill>
              <a:schemeClr val="lt1"/>
            </a:solidFill>
          </a:ln>
          <a:effectLst/>
        </c:spPr>
      </c:pivotFmt>
      <c:pivotFmt>
        <c:idx val="140"/>
        <c:spPr>
          <a:solidFill>
            <a:schemeClr val="accent1"/>
          </a:solidFill>
          <a:ln w="19050">
            <a:solidFill>
              <a:schemeClr val="lt1"/>
            </a:solidFill>
          </a:ln>
          <a:effectLst/>
        </c:spPr>
      </c:pivotFmt>
      <c:pivotFmt>
        <c:idx val="141"/>
        <c:spPr>
          <a:solidFill>
            <a:schemeClr val="accent1"/>
          </a:solidFill>
          <a:ln w="19050">
            <a:solidFill>
              <a:schemeClr val="lt1"/>
            </a:solidFill>
          </a:ln>
          <a:effectLst/>
        </c:spPr>
      </c:pivotFmt>
      <c:pivotFmt>
        <c:idx val="142"/>
        <c:spPr>
          <a:solidFill>
            <a:schemeClr val="accent1"/>
          </a:solidFill>
          <a:ln w="19050">
            <a:solidFill>
              <a:schemeClr val="lt1"/>
            </a:solidFill>
          </a:ln>
          <a:effectLst/>
        </c:spPr>
      </c:pivotFmt>
      <c:pivotFmt>
        <c:idx val="143"/>
        <c:spPr>
          <a:solidFill>
            <a:schemeClr val="accent1"/>
          </a:solidFill>
          <a:ln w="19050">
            <a:solidFill>
              <a:schemeClr val="lt1"/>
            </a:solidFill>
          </a:ln>
          <a:effectLst/>
        </c:spPr>
      </c:pivotFmt>
      <c:pivotFmt>
        <c:idx val="144"/>
        <c:spPr>
          <a:solidFill>
            <a:schemeClr val="accent1"/>
          </a:solidFill>
          <a:ln w="19050">
            <a:solidFill>
              <a:schemeClr val="lt1"/>
            </a:solidFill>
          </a:ln>
          <a:effectLst/>
        </c:spPr>
      </c:pivotFmt>
      <c:pivotFmt>
        <c:idx val="145"/>
        <c:spPr>
          <a:solidFill>
            <a:schemeClr val="accent1"/>
          </a:solidFill>
          <a:ln w="19050">
            <a:solidFill>
              <a:schemeClr val="lt1"/>
            </a:solidFill>
          </a:ln>
          <a:effectLst/>
        </c:spPr>
      </c:pivotFmt>
    </c:pivotFmts>
    <c:plotArea>
      <c:layout/>
      <c:pieChart>
        <c:varyColors val="1"/>
        <c:ser>
          <c:idx val="0"/>
          <c:order val="0"/>
          <c:tx>
            <c:strRef>
              <c:f>'Tabla Dinámica'!$C$3</c:f>
              <c:strCache>
                <c:ptCount val="1"/>
                <c:pt idx="0">
                  <c:v>iq</c:v>
                </c:pt>
              </c:strCache>
            </c:strRef>
          </c:tx>
          <c:explosion val="3"/>
          <c:dPt>
            <c:idx val="0"/>
            <c:bubble3D val="0"/>
            <c:spPr>
              <a:solidFill>
                <a:srgbClr val="92D050"/>
              </a:solidFill>
              <a:ln w="19050">
                <a:solidFill>
                  <a:schemeClr val="lt1"/>
                </a:solidFill>
              </a:ln>
              <a:effectLst/>
            </c:spPr>
            <c:extLst>
              <c:ext xmlns:c16="http://schemas.microsoft.com/office/drawing/2014/chart" uri="{C3380CC4-5D6E-409C-BE32-E72D297353CC}">
                <c16:uniqueId val="{00000001-4B4D-4A42-A6E5-A8C3F47C0F3F}"/>
              </c:ext>
            </c:extLst>
          </c:dPt>
          <c:dPt>
            <c:idx val="1"/>
            <c:bubble3D val="0"/>
            <c:spPr>
              <a:solidFill>
                <a:srgbClr val="00B050"/>
              </a:solidFill>
              <a:ln w="19050">
                <a:solidFill>
                  <a:schemeClr val="lt1"/>
                </a:solidFill>
              </a:ln>
              <a:effectLst/>
            </c:spPr>
            <c:extLst>
              <c:ext xmlns:c16="http://schemas.microsoft.com/office/drawing/2014/chart" uri="{C3380CC4-5D6E-409C-BE32-E72D297353CC}">
                <c16:uniqueId val="{00000003-4B4D-4A42-A6E5-A8C3F47C0F3F}"/>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5-4B4D-4A42-A6E5-A8C3F47C0F3F}"/>
              </c:ext>
            </c:extLst>
          </c:dPt>
          <c:dPt>
            <c:idx val="3"/>
            <c:bubble3D val="0"/>
            <c:spPr>
              <a:solidFill>
                <a:srgbClr val="00B050"/>
              </a:solidFill>
              <a:ln w="19050">
                <a:solidFill>
                  <a:schemeClr val="lt1"/>
                </a:solidFill>
              </a:ln>
              <a:effectLst/>
            </c:spPr>
            <c:extLst>
              <c:ext xmlns:c16="http://schemas.microsoft.com/office/drawing/2014/chart" uri="{C3380CC4-5D6E-409C-BE32-E72D297353CC}">
                <c16:uniqueId val="{00000007-4B4D-4A42-A6E5-A8C3F47C0F3F}"/>
              </c:ext>
            </c:extLst>
          </c:dPt>
          <c:dPt>
            <c:idx val="4"/>
            <c:bubble3D val="0"/>
            <c:spPr>
              <a:solidFill>
                <a:srgbClr val="FF0000"/>
              </a:solidFill>
              <a:ln w="19050">
                <a:solidFill>
                  <a:schemeClr val="lt1"/>
                </a:solidFill>
              </a:ln>
              <a:effectLst/>
            </c:spPr>
            <c:extLst>
              <c:ext xmlns:c16="http://schemas.microsoft.com/office/drawing/2014/chart" uri="{C3380CC4-5D6E-409C-BE32-E72D297353CC}">
                <c16:uniqueId val="{00000009-4B4D-4A42-A6E5-A8C3F47C0F3F}"/>
              </c:ext>
            </c:extLst>
          </c:dPt>
          <c:dPt>
            <c:idx val="5"/>
            <c:bubble3D val="0"/>
            <c:spPr>
              <a:solidFill>
                <a:srgbClr val="00B0F0"/>
              </a:solidFill>
              <a:ln w="19050">
                <a:solidFill>
                  <a:schemeClr val="lt1"/>
                </a:solidFill>
              </a:ln>
              <a:effectLst/>
            </c:spPr>
            <c:extLst>
              <c:ext xmlns:c16="http://schemas.microsoft.com/office/drawing/2014/chart" uri="{C3380CC4-5D6E-409C-BE32-E72D297353CC}">
                <c16:uniqueId val="{0000000B-4B4D-4A42-A6E5-A8C3F47C0F3F}"/>
              </c:ext>
            </c:extLst>
          </c:dPt>
          <c:dPt>
            <c:idx val="6"/>
            <c:bubble3D val="0"/>
            <c:spPr>
              <a:solidFill>
                <a:srgbClr val="FF0000"/>
              </a:solidFill>
              <a:ln w="19050">
                <a:solidFill>
                  <a:schemeClr val="lt1"/>
                </a:solidFill>
              </a:ln>
              <a:effectLst/>
            </c:spPr>
            <c:extLst>
              <c:ext xmlns:c16="http://schemas.microsoft.com/office/drawing/2014/chart" uri="{C3380CC4-5D6E-409C-BE32-E72D297353CC}">
                <c16:uniqueId val="{0000000D-4B4D-4A42-A6E5-A8C3F47C0F3F}"/>
              </c:ext>
            </c:extLst>
          </c:dPt>
          <c:dPt>
            <c:idx val="7"/>
            <c:bubble3D val="0"/>
            <c:spPr>
              <a:solidFill>
                <a:srgbClr val="FFFF00"/>
              </a:solidFill>
              <a:ln w="19050">
                <a:solidFill>
                  <a:schemeClr val="lt1"/>
                </a:solidFill>
              </a:ln>
              <a:effectLst/>
            </c:spPr>
            <c:extLst>
              <c:ext xmlns:c16="http://schemas.microsoft.com/office/drawing/2014/chart" uri="{C3380CC4-5D6E-409C-BE32-E72D297353CC}">
                <c16:uniqueId val="{0000000F-4B4D-4A42-A6E5-A8C3F47C0F3F}"/>
              </c:ext>
            </c:extLst>
          </c:dPt>
          <c:dPt>
            <c:idx val="8"/>
            <c:bubble3D val="0"/>
            <c:spPr>
              <a:solidFill>
                <a:srgbClr val="00B050"/>
              </a:solidFill>
              <a:ln w="19050">
                <a:solidFill>
                  <a:schemeClr val="lt1"/>
                </a:solidFill>
              </a:ln>
              <a:effectLst/>
            </c:spPr>
            <c:extLst>
              <c:ext xmlns:c16="http://schemas.microsoft.com/office/drawing/2014/chart" uri="{C3380CC4-5D6E-409C-BE32-E72D297353CC}">
                <c16:uniqueId val="{00000011-4B4D-4A42-A6E5-A8C3F47C0F3F}"/>
              </c:ext>
            </c:extLst>
          </c:dPt>
          <c:dPt>
            <c:idx val="9"/>
            <c:bubble3D val="0"/>
            <c:spPr>
              <a:solidFill>
                <a:srgbClr val="00B0F0"/>
              </a:solidFill>
              <a:ln w="19050">
                <a:solidFill>
                  <a:schemeClr val="lt1"/>
                </a:solidFill>
              </a:ln>
              <a:effectLst/>
            </c:spPr>
            <c:extLst>
              <c:ext xmlns:c16="http://schemas.microsoft.com/office/drawing/2014/chart" uri="{C3380CC4-5D6E-409C-BE32-E72D297353CC}">
                <c16:uniqueId val="{00000013-4B4D-4A42-A6E5-A8C3F47C0F3F}"/>
              </c:ext>
            </c:extLst>
          </c:dPt>
          <c:dPt>
            <c:idx val="10"/>
            <c:bubble3D val="0"/>
            <c:spPr>
              <a:solidFill>
                <a:srgbClr val="FFC000"/>
              </a:solidFill>
              <a:ln w="19050">
                <a:solidFill>
                  <a:schemeClr val="lt1"/>
                </a:solidFill>
              </a:ln>
              <a:effectLst/>
            </c:spPr>
            <c:extLst>
              <c:ext xmlns:c16="http://schemas.microsoft.com/office/drawing/2014/chart" uri="{C3380CC4-5D6E-409C-BE32-E72D297353CC}">
                <c16:uniqueId val="{00000015-4B4D-4A42-A6E5-A8C3F47C0F3F}"/>
              </c:ext>
            </c:extLst>
          </c:dPt>
          <c:dPt>
            <c:idx val="11"/>
            <c:bubble3D val="0"/>
            <c:spPr>
              <a:solidFill>
                <a:srgbClr val="92D050"/>
              </a:solidFill>
              <a:ln w="19050">
                <a:solidFill>
                  <a:schemeClr val="lt1"/>
                </a:solidFill>
              </a:ln>
              <a:effectLst/>
            </c:spPr>
            <c:extLst>
              <c:ext xmlns:c16="http://schemas.microsoft.com/office/drawing/2014/chart" uri="{C3380CC4-5D6E-409C-BE32-E72D297353CC}">
                <c16:uniqueId val="{00000017-4B4D-4A42-A6E5-A8C3F47C0F3F}"/>
              </c:ext>
            </c:extLst>
          </c:dPt>
          <c:dPt>
            <c:idx val="12"/>
            <c:bubble3D val="0"/>
            <c:spPr>
              <a:solidFill>
                <a:srgbClr val="FFC000"/>
              </a:solidFill>
              <a:ln w="19050">
                <a:solidFill>
                  <a:schemeClr val="lt1"/>
                </a:solidFill>
              </a:ln>
              <a:effectLst/>
            </c:spPr>
            <c:extLst>
              <c:ext xmlns:c16="http://schemas.microsoft.com/office/drawing/2014/chart" uri="{C3380CC4-5D6E-409C-BE32-E72D297353CC}">
                <c16:uniqueId val="{00000019-4B4D-4A42-A6E5-A8C3F47C0F3F}"/>
              </c:ext>
            </c:extLst>
          </c:dPt>
          <c:dPt>
            <c:idx val="13"/>
            <c:bubble3D val="0"/>
            <c:spPr>
              <a:solidFill>
                <a:srgbClr val="C00000"/>
              </a:solidFill>
              <a:ln w="19050">
                <a:solidFill>
                  <a:schemeClr val="lt1"/>
                </a:solidFill>
              </a:ln>
              <a:effectLst/>
            </c:spPr>
            <c:extLst>
              <c:ext xmlns:c16="http://schemas.microsoft.com/office/drawing/2014/chart" uri="{C3380CC4-5D6E-409C-BE32-E72D297353CC}">
                <c16:uniqueId val="{0000001B-4B4D-4A42-A6E5-A8C3F47C0F3F}"/>
              </c:ext>
            </c:extLst>
          </c:dPt>
          <c:dPt>
            <c:idx val="14"/>
            <c:bubble3D val="0"/>
            <c:spPr>
              <a:solidFill>
                <a:srgbClr val="FFFF00"/>
              </a:solidFill>
              <a:ln w="19050">
                <a:solidFill>
                  <a:schemeClr val="lt1"/>
                </a:solidFill>
              </a:ln>
              <a:effectLst/>
            </c:spPr>
            <c:extLst>
              <c:ext xmlns:c16="http://schemas.microsoft.com/office/drawing/2014/chart" uri="{C3380CC4-5D6E-409C-BE32-E72D297353CC}">
                <c16:uniqueId val="{0000001D-4B4D-4A42-A6E5-A8C3F47C0F3F}"/>
              </c:ext>
            </c:extLst>
          </c:dPt>
          <c:dLbls>
            <c:dLbl>
              <c:idx val="0"/>
              <c:layout>
                <c:manualLayout>
                  <c:x val="1.9463448126079357E-2"/>
                  <c:y val="-9.4677379374869235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4D-4A42-A6E5-A8C3F47C0F3F}"/>
                </c:ext>
              </c:extLst>
            </c:dLbl>
            <c:dLbl>
              <c:idx val="1"/>
              <c:layout>
                <c:manualLayout>
                  <c:x val="8.3414777683197237E-3"/>
                  <c:y val="-9.4677379374868368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4D-4A42-A6E5-A8C3F47C0F3F}"/>
                </c:ext>
              </c:extLst>
            </c:dLbl>
            <c:dLbl>
              <c:idx val="2"/>
              <c:layout>
                <c:manualLayout>
                  <c:x val="-5.5609851788798164E-3"/>
                  <c:y val="1.420160690623008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4D-4A42-A6E5-A8C3F47C0F3F}"/>
                </c:ext>
              </c:extLst>
            </c:dLbl>
            <c:dLbl>
              <c:idx val="3"/>
              <c:layout>
                <c:manualLayout>
                  <c:x val="-1.1121970357759683E-2"/>
                  <c:y val="-9.4677379374868368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4D-4A42-A6E5-A8C3F47C0F3F}"/>
                </c:ext>
              </c:extLst>
            </c:dLbl>
            <c:dLbl>
              <c:idx val="4"/>
              <c:layout>
                <c:manualLayout>
                  <c:x val="-1.3902462947199566E-2"/>
                  <c:y val="1.420160690623008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B4D-4A42-A6E5-A8C3F47C0F3F}"/>
                </c:ext>
              </c:extLst>
            </c:dLbl>
            <c:dLbl>
              <c:idx val="5"/>
              <c:layout>
                <c:manualLayout>
                  <c:x val="5.5609851788797652E-3"/>
                  <c:y val="-1.420160690623027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4D-4A42-A6E5-A8C3F47C0F3F}"/>
                </c:ext>
              </c:extLst>
            </c:dLbl>
            <c:dLbl>
              <c:idx val="6"/>
              <c:layout>
                <c:manualLayout>
                  <c:x val="1.1121970357759633E-2"/>
                  <c:y val="-4.3393297597071269E-17"/>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4D-4A42-A6E5-A8C3F47C0F3F}"/>
                </c:ext>
              </c:extLst>
            </c:dLbl>
            <c:dLbl>
              <c:idx val="7"/>
              <c:layout>
                <c:manualLayout>
                  <c:x val="-5.5609851788798164E-3"/>
                  <c:y val="-8.6786595194142537E-17"/>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4D-4A42-A6E5-A8C3F47C0F3F}"/>
                </c:ext>
              </c:extLst>
            </c:dLbl>
            <c:dLbl>
              <c:idx val="8"/>
              <c:layout>
                <c:manualLayout>
                  <c:x val="-5.0975108604260509E-17"/>
                  <c:y val="1.8935475874973674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B4D-4A42-A6E5-A8C3F47C0F3F}"/>
                </c:ext>
              </c:extLst>
            </c:dLbl>
            <c:dLbl>
              <c:idx val="9"/>
              <c:layout>
                <c:manualLayout>
                  <c:x val="0"/>
                  <c:y val="1.8935475874973674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B4D-4A42-A6E5-A8C3F47C0F3F}"/>
                </c:ext>
              </c:extLst>
            </c:dLbl>
            <c:dLbl>
              <c:idx val="10"/>
              <c:layout>
                <c:manualLayout>
                  <c:x val="-1.390246294719954E-2"/>
                  <c:y val="-4.7338689687435051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B4D-4A42-A6E5-A8C3F47C0F3F}"/>
                </c:ext>
              </c:extLst>
            </c:dLbl>
            <c:dLbl>
              <c:idx val="11"/>
              <c:layout>
                <c:manualLayout>
                  <c:x val="-1.390246294719954E-2"/>
                  <c:y val="-4.7338689687434184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B4D-4A42-A6E5-A8C3F47C0F3F}"/>
                </c:ext>
              </c:extLst>
            </c:dLbl>
            <c:dLbl>
              <c:idx val="12"/>
              <c:layout>
                <c:manualLayout>
                  <c:x val="1.112197035775953E-2"/>
                  <c:y val="-8.6786595194142537E-17"/>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B4D-4A42-A6E5-A8C3F47C0F3F}"/>
                </c:ext>
              </c:extLst>
            </c:dLbl>
            <c:dLbl>
              <c:idx val="13"/>
              <c:layout>
                <c:manualLayout>
                  <c:x val="8.3414777683197237E-3"/>
                  <c:y val="-1.8935475874973674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B-4B4D-4A42-A6E5-A8C3F47C0F3F}"/>
                </c:ext>
              </c:extLst>
            </c:dLbl>
            <c:dLbl>
              <c:idx val="14"/>
              <c:layout>
                <c:manualLayout>
                  <c:x val="1.6682955536639347E-2"/>
                  <c:y val="-8.6786595194142537E-17"/>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D-4B4D-4A42-A6E5-A8C3F47C0F3F}"/>
                </c:ext>
              </c:extLst>
            </c:dLbl>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'Tabla Dinámica'!$B$4:$B$18</c:f>
              <c:strCache>
                <c:ptCount val="15"/>
                <c:pt idx="0">
                  <c:v>Hong Kong</c:v>
                </c:pt>
                <c:pt idx="1">
                  <c:v>Australia</c:v>
                </c:pt>
                <c:pt idx="2">
                  <c:v>Macao</c:v>
                </c:pt>
                <c:pt idx="3">
                  <c:v>Spain</c:v>
                </c:pt>
                <c:pt idx="4">
                  <c:v>Malta</c:v>
                </c:pt>
                <c:pt idx="5">
                  <c:v>Switzerland</c:v>
                </c:pt>
                <c:pt idx="6">
                  <c:v>Bermuda</c:v>
                </c:pt>
                <c:pt idx="7">
                  <c:v>Singapore</c:v>
                </c:pt>
                <c:pt idx="8">
                  <c:v>Luxembourg</c:v>
                </c:pt>
                <c:pt idx="9">
                  <c:v>Japan</c:v>
                </c:pt>
                <c:pt idx="10">
                  <c:v>Portugal</c:v>
                </c:pt>
                <c:pt idx="11">
                  <c:v>South Korea</c:v>
                </c:pt>
                <c:pt idx="12">
                  <c:v>France</c:v>
                </c:pt>
                <c:pt idx="13">
                  <c:v>Austria</c:v>
                </c:pt>
                <c:pt idx="14">
                  <c:v>Germany</c:v>
                </c:pt>
              </c:strCache>
            </c:strRef>
          </c:cat>
          <c:val>
            <c:numRef>
              <c:f>'Tabla Dinámica'!$C$4:$C$18</c:f>
              <c:numCache>
                <c:formatCode>General</c:formatCode>
                <c:ptCount val="15"/>
                <c:pt idx="0">
                  <c:v>108</c:v>
                </c:pt>
                <c:pt idx="1">
                  <c:v>99</c:v>
                </c:pt>
                <c:pt idx="2">
                  <c:v>101</c:v>
                </c:pt>
                <c:pt idx="3">
                  <c:v>97</c:v>
                </c:pt>
                <c:pt idx="4">
                  <c:v>97</c:v>
                </c:pt>
                <c:pt idx="5">
                  <c:v>102</c:v>
                </c:pt>
                <c:pt idx="6">
                  <c:v>88</c:v>
                </c:pt>
                <c:pt idx="7">
                  <c:v>108</c:v>
                </c:pt>
                <c:pt idx="8">
                  <c:v>99</c:v>
                </c:pt>
                <c:pt idx="9">
                  <c:v>105</c:v>
                </c:pt>
                <c:pt idx="10">
                  <c:v>95</c:v>
                </c:pt>
                <c:pt idx="11">
                  <c:v>106</c:v>
                </c:pt>
                <c:pt idx="12">
                  <c:v>98</c:v>
                </c:pt>
                <c:pt idx="13">
                  <c:v>100</c:v>
                </c:pt>
                <c:pt idx="14">
                  <c:v>100</c:v>
                </c:pt>
              </c:numCache>
            </c:numRef>
          </c:val>
          <c:extLst>
            <c:ext xmlns:c16="http://schemas.microsoft.com/office/drawing/2014/chart" uri="{C3380CC4-5D6E-409C-BE32-E72D297353CC}">
              <c16:uniqueId val="{0000001E-4B4D-4A42-A6E5-A8C3F47C0F3F}"/>
            </c:ext>
          </c:extLst>
        </c:ser>
        <c:ser>
          <c:idx val="1"/>
          <c:order val="1"/>
          <c:tx>
            <c:strRef>
              <c:f>'Tabla Dinámica'!$D$3</c:f>
              <c:strCache>
                <c:ptCount val="1"/>
                <c:pt idx="0">
                  <c:v>Suma de calidad_media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0-4B4D-4A42-A6E5-A8C3F47C0F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2-4B4D-4A42-A6E5-A8C3F47C0F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4-4B4D-4A42-A6E5-A8C3F47C0F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6-4B4D-4A42-A6E5-A8C3F47C0F3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8-4B4D-4A42-A6E5-A8C3F47C0F3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2A-4B4D-4A42-A6E5-A8C3F47C0F3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2C-4B4D-4A42-A6E5-A8C3F47C0F3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E-4B4D-4A42-A6E5-A8C3F47C0F3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0-4B4D-4A42-A6E5-A8C3F47C0F3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32-4B4D-4A42-A6E5-A8C3F47C0F3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34-4B4D-4A42-A6E5-A8C3F47C0F3F}"/>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36-4B4D-4A42-A6E5-A8C3F47C0F3F}"/>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38-4B4D-4A42-A6E5-A8C3F47C0F3F}"/>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3A-4B4D-4A42-A6E5-A8C3F47C0F3F}"/>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3C-4B4D-4A42-A6E5-A8C3F47C0F3F}"/>
              </c:ext>
            </c:extLst>
          </c:dPt>
          <c:cat>
            <c:strRef>
              <c:f>'Tabla Dinámica'!$B$4:$B$18</c:f>
              <c:strCache>
                <c:ptCount val="15"/>
                <c:pt idx="0">
                  <c:v>Hong Kong</c:v>
                </c:pt>
                <c:pt idx="1">
                  <c:v>Australia</c:v>
                </c:pt>
                <c:pt idx="2">
                  <c:v>Macao</c:v>
                </c:pt>
                <c:pt idx="3">
                  <c:v>Spain</c:v>
                </c:pt>
                <c:pt idx="4">
                  <c:v>Malta</c:v>
                </c:pt>
                <c:pt idx="5">
                  <c:v>Switzerland</c:v>
                </c:pt>
                <c:pt idx="6">
                  <c:v>Bermuda</c:v>
                </c:pt>
                <c:pt idx="7">
                  <c:v>Singapore</c:v>
                </c:pt>
                <c:pt idx="8">
                  <c:v>Luxembourg</c:v>
                </c:pt>
                <c:pt idx="9">
                  <c:v>Japan</c:v>
                </c:pt>
                <c:pt idx="10">
                  <c:v>Portugal</c:v>
                </c:pt>
                <c:pt idx="11">
                  <c:v>South Korea</c:v>
                </c:pt>
                <c:pt idx="12">
                  <c:v>France</c:v>
                </c:pt>
                <c:pt idx="13">
                  <c:v>Austria</c:v>
                </c:pt>
                <c:pt idx="14">
                  <c:v>Germany</c:v>
                </c:pt>
              </c:strCache>
            </c:strRef>
          </c:cat>
          <c:val>
            <c:numRef>
              <c:f>'Tabla Dinámica'!$D$4:$D$18</c:f>
              <c:numCache>
                <c:formatCode>0</c:formatCode>
                <c:ptCount val="15"/>
                <c:pt idx="0">
                  <c:v>74.428571428571431</c:v>
                </c:pt>
                <c:pt idx="1">
                  <c:v>74.142857142857139</c:v>
                </c:pt>
                <c:pt idx="2">
                  <c:v>73.285714285714292</c:v>
                </c:pt>
                <c:pt idx="3">
                  <c:v>72</c:v>
                </c:pt>
                <c:pt idx="4">
                  <c:v>71.571428571428569</c:v>
                </c:pt>
                <c:pt idx="5">
                  <c:v>71.428571428571431</c:v>
                </c:pt>
                <c:pt idx="6">
                  <c:v>70.428571428571431</c:v>
                </c:pt>
                <c:pt idx="7">
                  <c:v>70.428571428571431</c:v>
                </c:pt>
                <c:pt idx="8">
                  <c:v>70</c:v>
                </c:pt>
                <c:pt idx="9">
                  <c:v>69.142857142857139</c:v>
                </c:pt>
                <c:pt idx="10">
                  <c:v>68.857142857142861</c:v>
                </c:pt>
                <c:pt idx="11">
                  <c:v>68.857142857142861</c:v>
                </c:pt>
                <c:pt idx="12">
                  <c:v>68.571428571428569</c:v>
                </c:pt>
                <c:pt idx="13">
                  <c:v>68</c:v>
                </c:pt>
                <c:pt idx="14">
                  <c:v>67.714285714285708</c:v>
                </c:pt>
              </c:numCache>
            </c:numRef>
          </c:val>
          <c:extLst>
            <c:ext xmlns:c16="http://schemas.microsoft.com/office/drawing/2014/chart" uri="{C3380CC4-5D6E-409C-BE32-E72D297353CC}">
              <c16:uniqueId val="{0000003D-4B4D-4A42-A6E5-A8C3F47C0F3F}"/>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[P3.4-VA_DianaMascarenasSande.xlsx]Tabla Dinámica!iqpeores</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 lastClr="FFFFFF"/>
                </a:solidFill>
                <a:latin typeface="+mn-lt"/>
                <a:ea typeface="+mn-ea"/>
                <a:cs typeface="+mn-cs"/>
              </a:defRPr>
            </a:pPr>
            <a:r>
              <a:rPr lang="en-US" sz="1400" b="0" i="0" baseline="0">
                <a:effectLst/>
                <a:latin typeface="Bahnschrift SemiBold SemiConden" panose="020B0502040204020203" pitchFamily="34" charset="0"/>
              </a:rPr>
              <a:t>IQ DE LOS 15 PAÍSES CON PEOR CALIDAD DE VIDA </a:t>
            </a:r>
            <a:endParaRPr lang="es-ES" sz="1100">
              <a:effectLst/>
              <a:latin typeface="Bahnschrift SemiBold SemiConden" panose="020B0502040204020203" pitchFamily="34"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 lastClr="FFFFFF"/>
              </a:solidFill>
              <a:latin typeface="+mn-lt"/>
              <a:ea typeface="+mn-ea"/>
              <a:cs typeface="+mn-cs"/>
            </a:defRPr>
          </a:pPr>
          <a:endParaRPr lang="es-E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00B0F0"/>
          </a:solidFill>
          <a:ln w="19050">
            <a:solidFill>
              <a:schemeClr val="lt1"/>
            </a:solidFill>
          </a:ln>
          <a:effectLst/>
        </c:spPr>
        <c:dLbl>
          <c:idx val="0"/>
          <c:layout>
            <c:manualLayout>
              <c:x val="-2.7725661780982989E-3"/>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
        <c:spPr>
          <a:solidFill>
            <a:srgbClr val="00B050"/>
          </a:solidFill>
          <a:ln w="19050">
            <a:solidFill>
              <a:schemeClr val="lt1"/>
            </a:solidFill>
          </a:ln>
          <a:effectLst/>
        </c:spPr>
        <c:dLbl>
          <c:idx val="0"/>
          <c:layout>
            <c:manualLayout>
              <c:x val="0"/>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4"/>
        <c:spPr>
          <a:solidFill>
            <a:srgbClr val="C00000"/>
          </a:solidFill>
          <a:ln w="19050">
            <a:solidFill>
              <a:schemeClr val="lt1"/>
            </a:solidFill>
          </a:ln>
          <a:effectLst/>
        </c:spPr>
        <c:dLbl>
          <c:idx val="0"/>
          <c:layout>
            <c:manualLayout>
              <c:x val="8.3176985342948966E-3"/>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
        <c:spPr>
          <a:solidFill>
            <a:srgbClr val="FF0000"/>
          </a:solidFill>
          <a:ln w="19050">
            <a:solidFill>
              <a:schemeClr val="lt1"/>
            </a:solidFill>
          </a:ln>
          <a:effectLst/>
        </c:spPr>
        <c:dLbl>
          <c:idx val="0"/>
          <c:layout>
            <c:manualLayout>
              <c:x val="1.109026471239319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
        <c:spPr>
          <a:solidFill>
            <a:srgbClr val="FFC00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7"/>
        <c:spPr>
          <a:solidFill>
            <a:srgbClr val="FFFF00"/>
          </a:solidFill>
          <a:ln w="19050">
            <a:solidFill>
              <a:schemeClr val="lt1"/>
            </a:solidFill>
          </a:ln>
          <a:effectLst/>
        </c:spPr>
        <c:dLbl>
          <c:idx val="0"/>
          <c:layout>
            <c:manualLayout>
              <c:x val="1.38628308904914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
        <c:spPr>
          <a:solidFill>
            <a:srgbClr val="92D05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
        <c:spPr>
          <a:solidFill>
            <a:srgbClr val="00B0F0"/>
          </a:solidFill>
          <a:ln w="19050">
            <a:solidFill>
              <a:schemeClr val="lt1"/>
            </a:solidFill>
          </a:ln>
          <a:effectLst/>
        </c:spPr>
        <c:dLbl>
          <c:idx val="0"/>
          <c:layout>
            <c:manualLayout>
              <c:x val="2.218052942478629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0"/>
        <c:spPr>
          <a:solidFill>
            <a:srgbClr val="00B050"/>
          </a:solidFill>
          <a:ln w="19050">
            <a:solidFill>
              <a:schemeClr val="lt1"/>
            </a:solidFill>
          </a:ln>
          <a:effectLst/>
        </c:spPr>
        <c:dLbl>
          <c:idx val="0"/>
          <c:layout>
            <c:manualLayout>
              <c:x val="-8.3176985342948966E-3"/>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
        <c:spPr>
          <a:solidFill>
            <a:srgbClr val="C00000"/>
          </a:solidFill>
          <a:ln w="19050">
            <a:solidFill>
              <a:schemeClr val="lt1"/>
            </a:solidFill>
          </a:ln>
          <a:effectLst/>
        </c:spPr>
        <c:dLbl>
          <c:idx val="0"/>
          <c:layout>
            <c:manualLayout>
              <c:x val="-1.9407963246688094E-2"/>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
        <c:spPr>
          <a:solidFill>
            <a:srgbClr val="FF0000"/>
          </a:solidFill>
          <a:ln w="19050">
            <a:solidFill>
              <a:schemeClr val="lt1"/>
            </a:solidFill>
          </a:ln>
          <a:effectLst/>
        </c:spPr>
        <c:dLbl>
          <c:idx val="0"/>
          <c:layout>
            <c:manualLayout>
              <c:x val="-3.8815926493376188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3"/>
        <c:spPr>
          <a:solidFill>
            <a:srgbClr val="FFC000"/>
          </a:solidFill>
          <a:ln w="19050">
            <a:solidFill>
              <a:schemeClr val="lt1"/>
            </a:solidFill>
          </a:ln>
          <a:effectLst/>
        </c:spPr>
        <c:dLbl>
          <c:idx val="0"/>
          <c:layout>
            <c:manualLayout>
              <c:x val="-1.94079632466880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4"/>
        <c:spPr>
          <a:solidFill>
            <a:srgbClr val="FFFF00"/>
          </a:solidFill>
          <a:ln w="19050">
            <a:solidFill>
              <a:schemeClr val="lt1"/>
            </a:solidFill>
          </a:ln>
          <a:effectLst/>
        </c:spPr>
        <c:dLbl>
          <c:idx val="0"/>
          <c:layout>
            <c:manualLayout>
              <c:x val="-2.2180529424786391E-2"/>
              <c:y val="4.7032960847096092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5"/>
        <c:spPr>
          <a:solidFill>
            <a:srgbClr val="92D050"/>
          </a:solidFill>
          <a:ln w="19050">
            <a:solidFill>
              <a:schemeClr val="lt1"/>
            </a:solidFill>
          </a:ln>
          <a:effectLst/>
        </c:spPr>
        <c:dLbl>
          <c:idx val="0"/>
          <c:layout>
            <c:manualLayout>
              <c:x val="-1.1090264712393222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6"/>
        <c:spPr>
          <a:solidFill>
            <a:srgbClr val="00B050"/>
          </a:solidFill>
          <a:ln w="19050">
            <a:solidFill>
              <a:schemeClr val="lt1"/>
            </a:solidFill>
          </a:ln>
          <a:effectLst/>
        </c:spPr>
        <c:dLbl>
          <c:idx val="0"/>
          <c:layout>
            <c:manualLayout>
              <c:x val="-1.386283089049154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8"/>
        <c:spPr>
          <a:solidFill>
            <a:srgbClr val="00B050"/>
          </a:solidFill>
          <a:ln w="19050">
            <a:solidFill>
              <a:schemeClr val="lt1"/>
            </a:solidFill>
          </a:ln>
          <a:effectLst/>
        </c:spPr>
        <c:dLbl>
          <c:idx val="0"/>
          <c:layout>
            <c:manualLayout>
              <c:x val="0"/>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9"/>
        <c:spPr>
          <a:solidFill>
            <a:srgbClr val="C00000"/>
          </a:solidFill>
          <a:ln w="19050">
            <a:solidFill>
              <a:schemeClr val="lt1"/>
            </a:solidFill>
          </a:ln>
          <a:effectLst/>
        </c:spPr>
        <c:dLbl>
          <c:idx val="0"/>
          <c:layout>
            <c:manualLayout>
              <c:x val="8.3176985342948966E-3"/>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0"/>
        <c:spPr>
          <a:solidFill>
            <a:srgbClr val="FF0000"/>
          </a:solidFill>
          <a:ln w="19050">
            <a:solidFill>
              <a:schemeClr val="lt1"/>
            </a:solidFill>
          </a:ln>
          <a:effectLst/>
        </c:spPr>
        <c:dLbl>
          <c:idx val="0"/>
          <c:layout>
            <c:manualLayout>
              <c:x val="1.109026471239319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1"/>
        <c:spPr>
          <a:solidFill>
            <a:srgbClr val="FFC00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2"/>
        <c:spPr>
          <a:solidFill>
            <a:srgbClr val="FFFF00"/>
          </a:solidFill>
          <a:ln w="19050">
            <a:solidFill>
              <a:schemeClr val="lt1"/>
            </a:solidFill>
          </a:ln>
          <a:effectLst/>
        </c:spPr>
        <c:dLbl>
          <c:idx val="0"/>
          <c:layout>
            <c:manualLayout>
              <c:x val="1.38628308904914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3"/>
        <c:spPr>
          <a:solidFill>
            <a:srgbClr val="92D05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4"/>
        <c:spPr>
          <a:solidFill>
            <a:srgbClr val="00B0F0"/>
          </a:solidFill>
          <a:ln w="19050">
            <a:solidFill>
              <a:schemeClr val="lt1"/>
            </a:solidFill>
          </a:ln>
          <a:effectLst/>
        </c:spPr>
        <c:dLbl>
          <c:idx val="0"/>
          <c:layout>
            <c:manualLayout>
              <c:x val="2.218052942478629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5"/>
        <c:spPr>
          <a:solidFill>
            <a:srgbClr val="00B050"/>
          </a:solidFill>
          <a:ln w="19050">
            <a:solidFill>
              <a:schemeClr val="lt1"/>
            </a:solidFill>
          </a:ln>
          <a:effectLst/>
        </c:spPr>
        <c:dLbl>
          <c:idx val="0"/>
          <c:layout>
            <c:manualLayout>
              <c:x val="-8.3176985342948966E-3"/>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6"/>
        <c:spPr>
          <a:solidFill>
            <a:srgbClr val="C00000"/>
          </a:solidFill>
          <a:ln w="19050">
            <a:solidFill>
              <a:schemeClr val="lt1"/>
            </a:solidFill>
          </a:ln>
          <a:effectLst/>
        </c:spPr>
        <c:dLbl>
          <c:idx val="0"/>
          <c:layout>
            <c:manualLayout>
              <c:x val="-1.9407963246688094E-2"/>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7"/>
        <c:spPr>
          <a:solidFill>
            <a:srgbClr val="FF0000"/>
          </a:solidFill>
          <a:ln w="19050">
            <a:solidFill>
              <a:schemeClr val="lt1"/>
            </a:solidFill>
          </a:ln>
          <a:effectLst/>
        </c:spPr>
        <c:dLbl>
          <c:idx val="0"/>
          <c:layout>
            <c:manualLayout>
              <c:x val="-3.8815926493376188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8"/>
        <c:spPr>
          <a:solidFill>
            <a:srgbClr val="FFC000"/>
          </a:solidFill>
          <a:ln w="19050">
            <a:solidFill>
              <a:schemeClr val="lt1"/>
            </a:solidFill>
          </a:ln>
          <a:effectLst/>
        </c:spPr>
        <c:dLbl>
          <c:idx val="0"/>
          <c:layout>
            <c:manualLayout>
              <c:x val="-1.94079632466880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9"/>
        <c:spPr>
          <a:solidFill>
            <a:srgbClr val="FFFF00"/>
          </a:solidFill>
          <a:ln w="19050">
            <a:solidFill>
              <a:schemeClr val="lt1"/>
            </a:solidFill>
          </a:ln>
          <a:effectLst/>
        </c:spPr>
        <c:dLbl>
          <c:idx val="0"/>
          <c:layout>
            <c:manualLayout>
              <c:x val="-2.2180529424786391E-2"/>
              <c:y val="4.7032960847096092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0"/>
        <c:spPr>
          <a:solidFill>
            <a:srgbClr val="92D050"/>
          </a:solidFill>
          <a:ln w="19050">
            <a:solidFill>
              <a:schemeClr val="lt1"/>
            </a:solidFill>
          </a:ln>
          <a:effectLst/>
        </c:spPr>
        <c:dLbl>
          <c:idx val="0"/>
          <c:layout>
            <c:manualLayout>
              <c:x val="-1.1090264712393222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1"/>
        <c:spPr>
          <a:solidFill>
            <a:srgbClr val="00B050"/>
          </a:solidFill>
          <a:ln w="19050">
            <a:solidFill>
              <a:schemeClr val="lt1"/>
            </a:solidFill>
          </a:ln>
          <a:effectLst/>
        </c:spPr>
        <c:dLbl>
          <c:idx val="0"/>
          <c:layout>
            <c:manualLayout>
              <c:x val="-1.386283089049154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2"/>
        <c:spPr>
          <a:solidFill>
            <a:srgbClr val="00B0F0"/>
          </a:solidFill>
          <a:ln w="19050">
            <a:solidFill>
              <a:schemeClr val="lt1"/>
            </a:solidFill>
          </a:ln>
          <a:effectLst/>
        </c:spPr>
        <c:dLbl>
          <c:idx val="0"/>
          <c:layout>
            <c:manualLayout>
              <c:x val="-2.7725661780982989E-3"/>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3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50"/>
        <c:spPr>
          <a:solidFill>
            <a:srgbClr val="00B050"/>
          </a:solidFill>
          <a:ln w="19050">
            <a:solidFill>
              <a:schemeClr val="lt1"/>
            </a:solidFill>
          </a:ln>
          <a:effectLst/>
        </c:spPr>
        <c:dLbl>
          <c:idx val="0"/>
          <c:layout>
            <c:manualLayout>
              <c:x val="0"/>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1"/>
        <c:spPr>
          <a:solidFill>
            <a:srgbClr val="C00000"/>
          </a:solidFill>
          <a:ln w="19050">
            <a:solidFill>
              <a:schemeClr val="lt1"/>
            </a:solidFill>
          </a:ln>
          <a:effectLst/>
        </c:spPr>
        <c:dLbl>
          <c:idx val="0"/>
          <c:layout>
            <c:manualLayout>
              <c:x val="8.3176985342948966E-3"/>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2"/>
        <c:spPr>
          <a:solidFill>
            <a:srgbClr val="FF0000"/>
          </a:solidFill>
          <a:ln w="19050">
            <a:solidFill>
              <a:schemeClr val="lt1"/>
            </a:solidFill>
          </a:ln>
          <a:effectLst/>
        </c:spPr>
        <c:dLbl>
          <c:idx val="0"/>
          <c:layout>
            <c:manualLayout>
              <c:x val="1.109026471239319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3"/>
        <c:spPr>
          <a:solidFill>
            <a:srgbClr val="FFC00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4"/>
        <c:spPr>
          <a:solidFill>
            <a:srgbClr val="FFFF00"/>
          </a:solidFill>
          <a:ln w="19050">
            <a:solidFill>
              <a:schemeClr val="lt1"/>
            </a:solidFill>
          </a:ln>
          <a:effectLst/>
        </c:spPr>
        <c:dLbl>
          <c:idx val="0"/>
          <c:layout>
            <c:manualLayout>
              <c:x val="1.38628308904914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5"/>
        <c:spPr>
          <a:solidFill>
            <a:srgbClr val="92D05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6"/>
        <c:spPr>
          <a:solidFill>
            <a:srgbClr val="00B0F0"/>
          </a:solidFill>
          <a:ln w="19050">
            <a:solidFill>
              <a:schemeClr val="lt1"/>
            </a:solidFill>
          </a:ln>
          <a:effectLst/>
        </c:spPr>
        <c:dLbl>
          <c:idx val="0"/>
          <c:layout>
            <c:manualLayout>
              <c:x val="2.218052942478629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7"/>
        <c:spPr>
          <a:solidFill>
            <a:srgbClr val="00B050"/>
          </a:solidFill>
          <a:ln w="19050">
            <a:solidFill>
              <a:schemeClr val="lt1"/>
            </a:solidFill>
          </a:ln>
          <a:effectLst/>
        </c:spPr>
        <c:dLbl>
          <c:idx val="0"/>
          <c:layout>
            <c:manualLayout>
              <c:x val="-8.3176985342948966E-3"/>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8"/>
        <c:spPr>
          <a:solidFill>
            <a:srgbClr val="C00000"/>
          </a:solidFill>
          <a:ln w="19050">
            <a:solidFill>
              <a:schemeClr val="lt1"/>
            </a:solidFill>
          </a:ln>
          <a:effectLst/>
        </c:spPr>
        <c:dLbl>
          <c:idx val="0"/>
          <c:layout>
            <c:manualLayout>
              <c:x val="-1.9407963246688094E-2"/>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59"/>
        <c:spPr>
          <a:solidFill>
            <a:srgbClr val="FF0000"/>
          </a:solidFill>
          <a:ln w="19050">
            <a:solidFill>
              <a:schemeClr val="lt1"/>
            </a:solidFill>
          </a:ln>
          <a:effectLst/>
        </c:spPr>
        <c:dLbl>
          <c:idx val="0"/>
          <c:layout>
            <c:manualLayout>
              <c:x val="-3.8815926493376188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0"/>
        <c:spPr>
          <a:solidFill>
            <a:srgbClr val="FFC000"/>
          </a:solidFill>
          <a:ln w="19050">
            <a:solidFill>
              <a:schemeClr val="lt1"/>
            </a:solidFill>
          </a:ln>
          <a:effectLst/>
        </c:spPr>
        <c:dLbl>
          <c:idx val="0"/>
          <c:layout>
            <c:manualLayout>
              <c:x val="-1.94079632466880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1"/>
        <c:spPr>
          <a:solidFill>
            <a:srgbClr val="FFFF00"/>
          </a:solidFill>
          <a:ln w="19050">
            <a:solidFill>
              <a:schemeClr val="lt1"/>
            </a:solidFill>
          </a:ln>
          <a:effectLst/>
        </c:spPr>
        <c:dLbl>
          <c:idx val="0"/>
          <c:layout>
            <c:manualLayout>
              <c:x val="-2.2180529424786391E-2"/>
              <c:y val="4.7032960847096092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2"/>
        <c:spPr>
          <a:solidFill>
            <a:srgbClr val="92D050"/>
          </a:solidFill>
          <a:ln w="19050">
            <a:solidFill>
              <a:schemeClr val="lt1"/>
            </a:solidFill>
          </a:ln>
          <a:effectLst/>
        </c:spPr>
        <c:dLbl>
          <c:idx val="0"/>
          <c:layout>
            <c:manualLayout>
              <c:x val="-1.1090264712393222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3"/>
        <c:spPr>
          <a:solidFill>
            <a:srgbClr val="00B050"/>
          </a:solidFill>
          <a:ln w="19050">
            <a:solidFill>
              <a:schemeClr val="lt1"/>
            </a:solidFill>
          </a:ln>
          <a:effectLst/>
        </c:spPr>
        <c:dLbl>
          <c:idx val="0"/>
          <c:layout>
            <c:manualLayout>
              <c:x val="-1.386283089049154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4"/>
        <c:spPr>
          <a:solidFill>
            <a:srgbClr val="00B0F0"/>
          </a:solidFill>
          <a:ln w="19050">
            <a:solidFill>
              <a:schemeClr val="lt1"/>
            </a:solidFill>
          </a:ln>
          <a:effectLst/>
        </c:spPr>
        <c:dLbl>
          <c:idx val="0"/>
          <c:layout>
            <c:manualLayout>
              <c:x val="-2.7725661780982989E-3"/>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82"/>
        <c:spPr>
          <a:solidFill>
            <a:srgbClr val="00B050"/>
          </a:solidFill>
          <a:ln w="19050">
            <a:solidFill>
              <a:schemeClr val="lt1"/>
            </a:solidFill>
          </a:ln>
          <a:effectLst/>
        </c:spPr>
        <c:dLbl>
          <c:idx val="0"/>
          <c:layout>
            <c:manualLayout>
              <c:x val="-1.386283089049154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3"/>
        <c:spPr>
          <a:solidFill>
            <a:srgbClr val="C00000"/>
          </a:solidFill>
          <a:ln w="19050">
            <a:solidFill>
              <a:schemeClr val="lt1"/>
            </a:solidFill>
          </a:ln>
          <a:effectLst/>
        </c:spPr>
        <c:dLbl>
          <c:idx val="0"/>
          <c:layout>
            <c:manualLayout>
              <c:x val="8.3176985342948966E-3"/>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4"/>
        <c:spPr>
          <a:solidFill>
            <a:srgbClr val="C00000"/>
          </a:solidFill>
          <a:ln w="19050">
            <a:solidFill>
              <a:schemeClr val="lt1"/>
            </a:solidFill>
          </a:ln>
          <a:effectLst/>
        </c:spPr>
        <c:dLbl>
          <c:idx val="0"/>
          <c:layout>
            <c:manualLayout>
              <c:x val="-1.9407963246688094E-2"/>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5"/>
        <c:spPr>
          <a:solidFill>
            <a:srgbClr val="92D05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6"/>
        <c:spPr>
          <a:solidFill>
            <a:srgbClr val="FF0000"/>
          </a:solidFill>
          <a:ln w="19050">
            <a:solidFill>
              <a:schemeClr val="lt1"/>
            </a:solidFill>
          </a:ln>
          <a:effectLst/>
        </c:spPr>
        <c:dLbl>
          <c:idx val="0"/>
          <c:layout>
            <c:manualLayout>
              <c:x val="1.109026471239319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7"/>
        <c:spPr>
          <a:solidFill>
            <a:srgbClr val="FFC000"/>
          </a:solidFill>
          <a:ln w="19050">
            <a:solidFill>
              <a:schemeClr val="lt1"/>
            </a:solidFill>
          </a:ln>
          <a:effectLst/>
        </c:spPr>
        <c:dLbl>
          <c:idx val="0"/>
          <c:layout>
            <c:manualLayout>
              <c:x val="-1.94079632466880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8"/>
        <c:spPr>
          <a:solidFill>
            <a:srgbClr val="00B0F0"/>
          </a:solidFill>
          <a:ln w="19050">
            <a:solidFill>
              <a:schemeClr val="lt1"/>
            </a:solidFill>
          </a:ln>
          <a:effectLst/>
        </c:spPr>
        <c:dLbl>
          <c:idx val="0"/>
          <c:layout>
            <c:manualLayout>
              <c:x val="-2.7725661780982989E-3"/>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89"/>
        <c:spPr>
          <a:solidFill>
            <a:srgbClr val="00B050"/>
          </a:solidFill>
          <a:ln w="19050">
            <a:solidFill>
              <a:schemeClr val="lt1"/>
            </a:solidFill>
          </a:ln>
          <a:effectLst/>
        </c:spPr>
        <c:dLbl>
          <c:idx val="0"/>
          <c:layout>
            <c:manualLayout>
              <c:x val="-8.3176985342948966E-3"/>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0"/>
        <c:spPr>
          <a:solidFill>
            <a:srgbClr val="00B050"/>
          </a:solidFill>
          <a:ln w="19050">
            <a:solidFill>
              <a:schemeClr val="lt1"/>
            </a:solidFill>
          </a:ln>
          <a:effectLst/>
        </c:spPr>
        <c:dLbl>
          <c:idx val="0"/>
          <c:layout>
            <c:manualLayout>
              <c:x val="0"/>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1"/>
        <c:spPr>
          <a:solidFill>
            <a:srgbClr val="FF0000"/>
          </a:solidFill>
          <a:ln w="19050">
            <a:solidFill>
              <a:schemeClr val="lt1"/>
            </a:solidFill>
          </a:ln>
          <a:effectLst/>
        </c:spPr>
        <c:dLbl>
          <c:idx val="0"/>
          <c:layout>
            <c:manualLayout>
              <c:x val="-3.8815926493376188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2"/>
        <c:spPr>
          <a:solidFill>
            <a:srgbClr val="FFC00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3"/>
        <c:spPr>
          <a:solidFill>
            <a:srgbClr val="FFFF00"/>
          </a:solidFill>
          <a:ln w="19050">
            <a:solidFill>
              <a:schemeClr val="lt1"/>
            </a:solidFill>
          </a:ln>
          <a:effectLst/>
        </c:spPr>
        <c:dLbl>
          <c:idx val="0"/>
          <c:layout>
            <c:manualLayout>
              <c:x val="1.38628308904914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4"/>
        <c:spPr>
          <a:solidFill>
            <a:srgbClr val="FFFF00"/>
          </a:solidFill>
          <a:ln w="19050">
            <a:solidFill>
              <a:schemeClr val="lt1"/>
            </a:solidFill>
          </a:ln>
          <a:effectLst/>
        </c:spPr>
        <c:dLbl>
          <c:idx val="0"/>
          <c:layout>
            <c:manualLayout>
              <c:x val="-2.2180529424786391E-2"/>
              <c:y val="4.7032960847096092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5"/>
        <c:spPr>
          <a:solidFill>
            <a:srgbClr val="92D050"/>
          </a:solidFill>
          <a:ln w="19050">
            <a:solidFill>
              <a:schemeClr val="lt1"/>
            </a:solidFill>
          </a:ln>
          <a:effectLst/>
        </c:spPr>
        <c:dLbl>
          <c:idx val="0"/>
          <c:layout>
            <c:manualLayout>
              <c:x val="-1.1090264712393222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6"/>
        <c:spPr>
          <a:solidFill>
            <a:srgbClr val="00B0F0"/>
          </a:solidFill>
          <a:ln w="19050">
            <a:solidFill>
              <a:schemeClr val="lt1"/>
            </a:solidFill>
          </a:ln>
          <a:effectLst/>
        </c:spPr>
        <c:dLbl>
          <c:idx val="0"/>
          <c:layout>
            <c:manualLayout>
              <c:x val="2.218052942478629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9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14"/>
        <c:spPr>
          <a:solidFill>
            <a:srgbClr val="00B050"/>
          </a:solidFill>
          <a:ln w="19050">
            <a:solidFill>
              <a:schemeClr val="lt1"/>
            </a:solidFill>
          </a:ln>
          <a:effectLst/>
        </c:spPr>
        <c:dLbl>
          <c:idx val="0"/>
          <c:layout>
            <c:manualLayout>
              <c:x val="-1.386283089049154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5"/>
        <c:spPr>
          <a:solidFill>
            <a:srgbClr val="C00000"/>
          </a:solidFill>
          <a:ln w="19050">
            <a:solidFill>
              <a:schemeClr val="lt1"/>
            </a:solidFill>
          </a:ln>
          <a:effectLst/>
        </c:spPr>
        <c:dLbl>
          <c:idx val="0"/>
          <c:layout>
            <c:manualLayout>
              <c:x val="8.3176985342948966E-3"/>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6"/>
        <c:spPr>
          <a:solidFill>
            <a:srgbClr val="C00000"/>
          </a:solidFill>
          <a:ln w="19050">
            <a:solidFill>
              <a:schemeClr val="lt1"/>
            </a:solidFill>
          </a:ln>
          <a:effectLst/>
        </c:spPr>
        <c:dLbl>
          <c:idx val="0"/>
          <c:layout>
            <c:manualLayout>
              <c:x val="-1.9407963246688094E-2"/>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7"/>
        <c:spPr>
          <a:solidFill>
            <a:srgbClr val="92D05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8"/>
        <c:spPr>
          <a:solidFill>
            <a:srgbClr val="FF0000"/>
          </a:solidFill>
          <a:ln w="19050">
            <a:solidFill>
              <a:schemeClr val="lt1"/>
            </a:solidFill>
          </a:ln>
          <a:effectLst/>
        </c:spPr>
        <c:dLbl>
          <c:idx val="0"/>
          <c:layout>
            <c:manualLayout>
              <c:x val="1.1090264712393196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9"/>
        <c:spPr>
          <a:solidFill>
            <a:srgbClr val="FFC000"/>
          </a:solidFill>
          <a:ln w="19050">
            <a:solidFill>
              <a:schemeClr val="lt1"/>
            </a:solidFill>
          </a:ln>
          <a:effectLst/>
        </c:spPr>
        <c:dLbl>
          <c:idx val="0"/>
          <c:layout>
            <c:manualLayout>
              <c:x val="-1.94079632466880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0"/>
        <c:spPr>
          <a:solidFill>
            <a:srgbClr val="00B0F0"/>
          </a:solidFill>
          <a:ln w="19050">
            <a:solidFill>
              <a:schemeClr val="lt1"/>
            </a:solidFill>
          </a:ln>
          <a:effectLst/>
        </c:spPr>
        <c:dLbl>
          <c:idx val="0"/>
          <c:layout>
            <c:manualLayout>
              <c:x val="-2.7725661780982989E-3"/>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1"/>
        <c:spPr>
          <a:solidFill>
            <a:srgbClr val="00B050"/>
          </a:solidFill>
          <a:ln w="19050">
            <a:solidFill>
              <a:schemeClr val="lt1"/>
            </a:solidFill>
          </a:ln>
          <a:effectLst/>
        </c:spPr>
        <c:dLbl>
          <c:idx val="0"/>
          <c:layout>
            <c:manualLayout>
              <c:x val="-8.3176985342948966E-3"/>
              <c:y val="4.7032960847096959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2"/>
        <c:spPr>
          <a:solidFill>
            <a:srgbClr val="00B050"/>
          </a:solidFill>
          <a:ln w="19050">
            <a:solidFill>
              <a:schemeClr val="lt1"/>
            </a:solidFill>
          </a:ln>
          <a:effectLst/>
        </c:spPr>
        <c:dLbl>
          <c:idx val="0"/>
          <c:layout>
            <c:manualLayout>
              <c:x val="0"/>
              <c:y val="-1.4109888254129087E-2"/>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3"/>
        <c:spPr>
          <a:solidFill>
            <a:srgbClr val="FF0000"/>
          </a:solidFill>
          <a:ln w="19050">
            <a:solidFill>
              <a:schemeClr val="lt1"/>
            </a:solidFill>
          </a:ln>
          <a:effectLst/>
        </c:spPr>
        <c:dLbl>
          <c:idx val="0"/>
          <c:layout>
            <c:manualLayout>
              <c:x val="-3.8815926493376188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4"/>
        <c:spPr>
          <a:solidFill>
            <a:srgbClr val="FFC000"/>
          </a:solidFill>
          <a:ln w="19050">
            <a:solidFill>
              <a:schemeClr val="lt1"/>
            </a:solidFill>
          </a:ln>
          <a:effectLst/>
        </c:spPr>
        <c:dLbl>
          <c:idx val="0"/>
          <c:layout>
            <c:manualLayout>
              <c:x val="1.1090264712393095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5"/>
        <c:spPr>
          <a:solidFill>
            <a:srgbClr val="FFFF00"/>
          </a:solidFill>
          <a:ln w="19050">
            <a:solidFill>
              <a:schemeClr val="lt1"/>
            </a:solidFill>
          </a:ln>
          <a:effectLst/>
        </c:spPr>
        <c:dLbl>
          <c:idx val="0"/>
          <c:layout>
            <c:manualLayout>
              <c:x val="1.3862830890491494E-2"/>
              <c:y val="8.6226098795093173E-17"/>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6"/>
        <c:spPr>
          <a:solidFill>
            <a:srgbClr val="FFFF00"/>
          </a:solidFill>
          <a:ln w="19050">
            <a:solidFill>
              <a:schemeClr val="lt1"/>
            </a:solidFill>
          </a:ln>
          <a:effectLst/>
        </c:spPr>
        <c:dLbl>
          <c:idx val="0"/>
          <c:layout>
            <c:manualLayout>
              <c:x val="-2.2180529424786391E-2"/>
              <c:y val="4.7032960847096092E-3"/>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7"/>
        <c:spPr>
          <a:solidFill>
            <a:srgbClr val="92D050"/>
          </a:solidFill>
          <a:ln w="19050">
            <a:solidFill>
              <a:schemeClr val="lt1"/>
            </a:solidFill>
          </a:ln>
          <a:effectLst/>
        </c:spPr>
        <c:dLbl>
          <c:idx val="0"/>
          <c:layout>
            <c:manualLayout>
              <c:x val="-1.1090264712393222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8"/>
        <c:spPr>
          <a:solidFill>
            <a:srgbClr val="00B0F0"/>
          </a:solidFill>
          <a:ln w="19050">
            <a:solidFill>
              <a:schemeClr val="lt1"/>
            </a:solidFill>
          </a:ln>
          <a:effectLst/>
        </c:spPr>
        <c:dLbl>
          <c:idx val="0"/>
          <c:layout>
            <c:manualLayout>
              <c:x val="2.218052942478629E-2"/>
              <c:y val="0"/>
            </c:manualLayout>
          </c:layout>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2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0"/>
        <c:spPr>
          <a:solidFill>
            <a:schemeClr val="accent1"/>
          </a:solidFill>
          <a:ln w="19050">
            <a:solidFill>
              <a:schemeClr val="lt1"/>
            </a:solidFill>
          </a:ln>
          <a:effectLst/>
        </c:spPr>
      </c:pivotFmt>
      <c:pivotFmt>
        <c:idx val="131"/>
        <c:spPr>
          <a:solidFill>
            <a:schemeClr val="accent1"/>
          </a:solidFill>
          <a:ln w="19050">
            <a:solidFill>
              <a:schemeClr val="lt1"/>
            </a:solidFill>
          </a:ln>
          <a:effectLst/>
        </c:spPr>
      </c:pivotFmt>
      <c:pivotFmt>
        <c:idx val="132"/>
        <c:spPr>
          <a:solidFill>
            <a:schemeClr val="accent1"/>
          </a:solidFill>
          <a:ln w="19050">
            <a:solidFill>
              <a:schemeClr val="lt1"/>
            </a:solidFill>
          </a:ln>
          <a:effectLst/>
        </c:spPr>
      </c:pivotFmt>
      <c:pivotFmt>
        <c:idx val="133"/>
        <c:spPr>
          <a:solidFill>
            <a:schemeClr val="accent1"/>
          </a:solidFill>
          <a:ln w="19050">
            <a:solidFill>
              <a:schemeClr val="lt1"/>
            </a:solidFill>
          </a:ln>
          <a:effectLst/>
        </c:spPr>
      </c:pivotFmt>
      <c:pivotFmt>
        <c:idx val="134"/>
        <c:spPr>
          <a:solidFill>
            <a:schemeClr val="accent1"/>
          </a:solidFill>
          <a:ln w="19050">
            <a:solidFill>
              <a:schemeClr val="lt1"/>
            </a:solidFill>
          </a:ln>
          <a:effectLst/>
        </c:spPr>
      </c:pivotFmt>
      <c:pivotFmt>
        <c:idx val="135"/>
        <c:spPr>
          <a:solidFill>
            <a:schemeClr val="accent1"/>
          </a:solidFill>
          <a:ln w="19050">
            <a:solidFill>
              <a:schemeClr val="lt1"/>
            </a:solidFill>
          </a:ln>
          <a:effectLst/>
        </c:spPr>
      </c:pivotFmt>
      <c:pivotFmt>
        <c:idx val="136"/>
        <c:spPr>
          <a:solidFill>
            <a:schemeClr val="accent1"/>
          </a:solidFill>
          <a:ln w="19050">
            <a:solidFill>
              <a:schemeClr val="lt1"/>
            </a:solidFill>
          </a:ln>
          <a:effectLst/>
        </c:spPr>
      </c:pivotFmt>
      <c:pivotFmt>
        <c:idx val="137"/>
        <c:spPr>
          <a:solidFill>
            <a:schemeClr val="accent1"/>
          </a:solidFill>
          <a:ln w="19050">
            <a:solidFill>
              <a:schemeClr val="lt1"/>
            </a:solidFill>
          </a:ln>
          <a:effectLst/>
        </c:spPr>
      </c:pivotFmt>
      <c:pivotFmt>
        <c:idx val="138"/>
        <c:spPr>
          <a:solidFill>
            <a:schemeClr val="accent1"/>
          </a:solidFill>
          <a:ln w="19050">
            <a:solidFill>
              <a:schemeClr val="lt1"/>
            </a:solidFill>
          </a:ln>
          <a:effectLst/>
        </c:spPr>
      </c:pivotFmt>
      <c:pivotFmt>
        <c:idx val="139"/>
        <c:spPr>
          <a:solidFill>
            <a:schemeClr val="accent1"/>
          </a:solidFill>
          <a:ln w="19050">
            <a:solidFill>
              <a:schemeClr val="lt1"/>
            </a:solidFill>
          </a:ln>
          <a:effectLst/>
        </c:spPr>
      </c:pivotFmt>
      <c:pivotFmt>
        <c:idx val="140"/>
        <c:spPr>
          <a:solidFill>
            <a:schemeClr val="accent1"/>
          </a:solidFill>
          <a:ln w="19050">
            <a:solidFill>
              <a:schemeClr val="lt1"/>
            </a:solidFill>
          </a:ln>
          <a:effectLst/>
        </c:spPr>
      </c:pivotFmt>
      <c:pivotFmt>
        <c:idx val="141"/>
        <c:spPr>
          <a:solidFill>
            <a:schemeClr val="accent1"/>
          </a:solidFill>
          <a:ln w="19050">
            <a:solidFill>
              <a:schemeClr val="lt1"/>
            </a:solidFill>
          </a:ln>
          <a:effectLst/>
        </c:spPr>
      </c:pivotFmt>
      <c:pivotFmt>
        <c:idx val="142"/>
        <c:spPr>
          <a:solidFill>
            <a:schemeClr val="accent1"/>
          </a:solidFill>
          <a:ln w="19050">
            <a:solidFill>
              <a:schemeClr val="lt1"/>
            </a:solidFill>
          </a:ln>
          <a:effectLst/>
        </c:spPr>
      </c:pivotFmt>
      <c:pivotFmt>
        <c:idx val="143"/>
        <c:spPr>
          <a:solidFill>
            <a:schemeClr val="accent1"/>
          </a:solidFill>
          <a:ln w="19050">
            <a:solidFill>
              <a:schemeClr val="lt1"/>
            </a:solidFill>
          </a:ln>
          <a:effectLst/>
        </c:spPr>
      </c:pivotFmt>
      <c:pivotFmt>
        <c:idx val="144"/>
        <c:spPr>
          <a:solidFill>
            <a:schemeClr val="accent1"/>
          </a:solidFill>
          <a:ln w="19050">
            <a:solidFill>
              <a:schemeClr val="lt1"/>
            </a:solidFill>
          </a:ln>
          <a:effectLst/>
        </c:spPr>
      </c:pivotFmt>
    </c:pivotFmts>
    <c:plotArea>
      <c:layout/>
      <c:pieChart>
        <c:varyColors val="1"/>
        <c:ser>
          <c:idx val="0"/>
          <c:order val="0"/>
          <c:tx>
            <c:strRef>
              <c:f>'Tabla Dinámica'!$C$22</c:f>
              <c:strCache>
                <c:ptCount val="1"/>
                <c:pt idx="0">
                  <c:v>iq</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3276-4629-98FB-E74B9192CD3F}"/>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3276-4629-98FB-E74B9192CD3F}"/>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5-3276-4629-98FB-E74B9192CD3F}"/>
              </c:ext>
            </c:extLst>
          </c:dPt>
          <c:dPt>
            <c:idx val="3"/>
            <c:bubble3D val="0"/>
            <c:spPr>
              <a:solidFill>
                <a:srgbClr val="92D050"/>
              </a:solidFill>
              <a:ln w="19050">
                <a:solidFill>
                  <a:schemeClr val="lt1"/>
                </a:solidFill>
              </a:ln>
              <a:effectLst/>
            </c:spPr>
            <c:extLst>
              <c:ext xmlns:c16="http://schemas.microsoft.com/office/drawing/2014/chart" uri="{C3380CC4-5D6E-409C-BE32-E72D297353CC}">
                <c16:uniqueId val="{00000007-3276-4629-98FB-E74B9192CD3F}"/>
              </c:ext>
            </c:extLst>
          </c:dPt>
          <c:dPt>
            <c:idx val="4"/>
            <c:bubble3D val="0"/>
            <c:spPr>
              <a:solidFill>
                <a:srgbClr val="FF0000"/>
              </a:solidFill>
              <a:ln w="19050">
                <a:solidFill>
                  <a:schemeClr val="lt1"/>
                </a:solidFill>
              </a:ln>
              <a:effectLst/>
            </c:spPr>
            <c:extLst>
              <c:ext xmlns:c16="http://schemas.microsoft.com/office/drawing/2014/chart" uri="{C3380CC4-5D6E-409C-BE32-E72D297353CC}">
                <c16:uniqueId val="{00000009-3276-4629-98FB-E74B9192CD3F}"/>
              </c:ext>
            </c:extLst>
          </c:dPt>
          <c:dPt>
            <c:idx val="5"/>
            <c:bubble3D val="0"/>
            <c:spPr>
              <a:solidFill>
                <a:srgbClr val="FFC000"/>
              </a:solidFill>
              <a:ln w="19050">
                <a:solidFill>
                  <a:schemeClr val="lt1"/>
                </a:solidFill>
              </a:ln>
              <a:effectLst/>
            </c:spPr>
            <c:extLst>
              <c:ext xmlns:c16="http://schemas.microsoft.com/office/drawing/2014/chart" uri="{C3380CC4-5D6E-409C-BE32-E72D297353CC}">
                <c16:uniqueId val="{0000000B-3276-4629-98FB-E74B9192CD3F}"/>
              </c:ext>
            </c:extLst>
          </c:dPt>
          <c:dPt>
            <c:idx val="6"/>
            <c:bubble3D val="0"/>
            <c:spPr>
              <a:solidFill>
                <a:srgbClr val="00B0F0"/>
              </a:solidFill>
              <a:ln w="19050">
                <a:solidFill>
                  <a:schemeClr val="lt1"/>
                </a:solidFill>
              </a:ln>
              <a:effectLst/>
            </c:spPr>
            <c:extLst>
              <c:ext xmlns:c16="http://schemas.microsoft.com/office/drawing/2014/chart" uri="{C3380CC4-5D6E-409C-BE32-E72D297353CC}">
                <c16:uniqueId val="{0000000D-3276-4629-98FB-E74B9192CD3F}"/>
              </c:ext>
            </c:extLst>
          </c:dPt>
          <c:dPt>
            <c:idx val="7"/>
            <c:bubble3D val="0"/>
            <c:spPr>
              <a:solidFill>
                <a:srgbClr val="00B050"/>
              </a:solidFill>
              <a:ln w="19050">
                <a:solidFill>
                  <a:schemeClr val="lt1"/>
                </a:solidFill>
              </a:ln>
              <a:effectLst/>
            </c:spPr>
            <c:extLst>
              <c:ext xmlns:c16="http://schemas.microsoft.com/office/drawing/2014/chart" uri="{C3380CC4-5D6E-409C-BE32-E72D297353CC}">
                <c16:uniqueId val="{0000000F-3276-4629-98FB-E74B9192CD3F}"/>
              </c:ext>
            </c:extLst>
          </c:dPt>
          <c:dPt>
            <c:idx val="8"/>
            <c:bubble3D val="0"/>
            <c:spPr>
              <a:solidFill>
                <a:srgbClr val="00B050"/>
              </a:solidFill>
              <a:ln w="19050">
                <a:solidFill>
                  <a:schemeClr val="lt1"/>
                </a:solidFill>
              </a:ln>
              <a:effectLst/>
            </c:spPr>
            <c:extLst>
              <c:ext xmlns:c16="http://schemas.microsoft.com/office/drawing/2014/chart" uri="{C3380CC4-5D6E-409C-BE32-E72D297353CC}">
                <c16:uniqueId val="{00000011-3276-4629-98FB-E74B9192CD3F}"/>
              </c:ext>
            </c:extLst>
          </c:dPt>
          <c:dPt>
            <c:idx val="9"/>
            <c:bubble3D val="0"/>
            <c:spPr>
              <a:solidFill>
                <a:srgbClr val="FF0000"/>
              </a:solidFill>
              <a:ln w="19050">
                <a:solidFill>
                  <a:schemeClr val="lt1"/>
                </a:solidFill>
              </a:ln>
              <a:effectLst/>
            </c:spPr>
            <c:extLst>
              <c:ext xmlns:c16="http://schemas.microsoft.com/office/drawing/2014/chart" uri="{C3380CC4-5D6E-409C-BE32-E72D297353CC}">
                <c16:uniqueId val="{00000013-3276-4629-98FB-E74B9192CD3F}"/>
              </c:ext>
            </c:extLst>
          </c:dPt>
          <c:dPt>
            <c:idx val="10"/>
            <c:bubble3D val="0"/>
            <c:spPr>
              <a:solidFill>
                <a:srgbClr val="FFC000"/>
              </a:solidFill>
              <a:ln w="19050">
                <a:solidFill>
                  <a:schemeClr val="lt1"/>
                </a:solidFill>
              </a:ln>
              <a:effectLst/>
            </c:spPr>
            <c:extLst>
              <c:ext xmlns:c16="http://schemas.microsoft.com/office/drawing/2014/chart" uri="{C3380CC4-5D6E-409C-BE32-E72D297353CC}">
                <c16:uniqueId val="{00000015-3276-4629-98FB-E74B9192CD3F}"/>
              </c:ext>
            </c:extLst>
          </c:dPt>
          <c:dPt>
            <c:idx val="11"/>
            <c:bubble3D val="0"/>
            <c:spPr>
              <a:solidFill>
                <a:srgbClr val="FFFF00"/>
              </a:solidFill>
              <a:ln w="19050">
                <a:solidFill>
                  <a:schemeClr val="lt1"/>
                </a:solidFill>
              </a:ln>
              <a:effectLst/>
            </c:spPr>
            <c:extLst>
              <c:ext xmlns:c16="http://schemas.microsoft.com/office/drawing/2014/chart" uri="{C3380CC4-5D6E-409C-BE32-E72D297353CC}">
                <c16:uniqueId val="{00000017-3276-4629-98FB-E74B9192CD3F}"/>
              </c:ext>
            </c:extLst>
          </c:dPt>
          <c:dPt>
            <c:idx val="12"/>
            <c:bubble3D val="0"/>
            <c:spPr>
              <a:solidFill>
                <a:srgbClr val="FFFF00"/>
              </a:solidFill>
              <a:ln w="19050">
                <a:solidFill>
                  <a:schemeClr val="lt1"/>
                </a:solidFill>
              </a:ln>
              <a:effectLst/>
            </c:spPr>
            <c:extLst>
              <c:ext xmlns:c16="http://schemas.microsoft.com/office/drawing/2014/chart" uri="{C3380CC4-5D6E-409C-BE32-E72D297353CC}">
                <c16:uniqueId val="{00000019-3276-4629-98FB-E74B9192CD3F}"/>
              </c:ext>
            </c:extLst>
          </c:dPt>
          <c:dPt>
            <c:idx val="13"/>
            <c:bubble3D val="0"/>
            <c:spPr>
              <a:solidFill>
                <a:srgbClr val="92D050"/>
              </a:solidFill>
              <a:ln w="19050">
                <a:solidFill>
                  <a:schemeClr val="lt1"/>
                </a:solidFill>
              </a:ln>
              <a:effectLst/>
            </c:spPr>
            <c:extLst>
              <c:ext xmlns:c16="http://schemas.microsoft.com/office/drawing/2014/chart" uri="{C3380CC4-5D6E-409C-BE32-E72D297353CC}">
                <c16:uniqueId val="{0000001B-3276-4629-98FB-E74B9192CD3F}"/>
              </c:ext>
            </c:extLst>
          </c:dPt>
          <c:dPt>
            <c:idx val="14"/>
            <c:bubble3D val="0"/>
            <c:spPr>
              <a:solidFill>
                <a:srgbClr val="00B0F0"/>
              </a:solidFill>
              <a:ln w="19050">
                <a:solidFill>
                  <a:schemeClr val="lt1"/>
                </a:solidFill>
              </a:ln>
              <a:effectLst/>
            </c:spPr>
            <c:extLst>
              <c:ext xmlns:c16="http://schemas.microsoft.com/office/drawing/2014/chart" uri="{C3380CC4-5D6E-409C-BE32-E72D297353CC}">
                <c16:uniqueId val="{0000001D-3276-4629-98FB-E74B9192CD3F}"/>
              </c:ext>
            </c:extLst>
          </c:dPt>
          <c:dLbls>
            <c:dLbl>
              <c:idx val="0"/>
              <c:layout>
                <c:manualLayout>
                  <c:x val="-1.3862830890491546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276-4629-98FB-E74B9192CD3F}"/>
                </c:ext>
              </c:extLst>
            </c:dLbl>
            <c:dLbl>
              <c:idx val="1"/>
              <c:layout>
                <c:manualLayout>
                  <c:x val="8.3176985342948966E-3"/>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276-4629-98FB-E74B9192CD3F}"/>
                </c:ext>
              </c:extLst>
            </c:dLbl>
            <c:dLbl>
              <c:idx val="2"/>
              <c:layout>
                <c:manualLayout>
                  <c:x val="-1.9407963246688094E-2"/>
                  <c:y val="4.7032960847096959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276-4629-98FB-E74B9192CD3F}"/>
                </c:ext>
              </c:extLst>
            </c:dLbl>
            <c:dLbl>
              <c:idx val="3"/>
              <c:layout>
                <c:manualLayout>
                  <c:x val="1.1090264712393095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276-4629-98FB-E74B9192CD3F}"/>
                </c:ext>
              </c:extLst>
            </c:dLbl>
            <c:dLbl>
              <c:idx val="4"/>
              <c:layout>
                <c:manualLayout>
                  <c:x val="1.1090264712393196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276-4629-98FB-E74B9192CD3F}"/>
                </c:ext>
              </c:extLst>
            </c:dLbl>
            <c:dLbl>
              <c:idx val="5"/>
              <c:layout>
                <c:manualLayout>
                  <c:x val="-1.9407963246688094E-2"/>
                  <c:y val="-8.6226098795093173E-17"/>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3276-4629-98FB-E74B9192CD3F}"/>
                </c:ext>
              </c:extLst>
            </c:dLbl>
            <c:dLbl>
              <c:idx val="6"/>
              <c:layout>
                <c:manualLayout>
                  <c:x val="-2.7725661780982989E-3"/>
                  <c:y val="-1.410988825412908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276-4629-98FB-E74B9192CD3F}"/>
                </c:ext>
              </c:extLst>
            </c:dLbl>
            <c:dLbl>
              <c:idx val="7"/>
              <c:layout>
                <c:manualLayout>
                  <c:x val="-8.3176985342948966E-3"/>
                  <c:y val="4.7032960847096959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3276-4629-98FB-E74B9192CD3F}"/>
                </c:ext>
              </c:extLst>
            </c:dLbl>
            <c:dLbl>
              <c:idx val="8"/>
              <c:layout>
                <c:manualLayout>
                  <c:x val="0"/>
                  <c:y val="-1.410988825412908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3276-4629-98FB-E74B9192CD3F}"/>
                </c:ext>
              </c:extLst>
            </c:dLbl>
            <c:dLbl>
              <c:idx val="9"/>
              <c:layout>
                <c:manualLayout>
                  <c:x val="-3.8815926493376188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3276-4629-98FB-E74B9192CD3F}"/>
                </c:ext>
              </c:extLst>
            </c:dLbl>
            <c:dLbl>
              <c:idx val="10"/>
              <c:layout>
                <c:manualLayout>
                  <c:x val="1.1090264712393095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3276-4629-98FB-E74B9192CD3F}"/>
                </c:ext>
              </c:extLst>
            </c:dLbl>
            <c:dLbl>
              <c:idx val="11"/>
              <c:layout>
                <c:manualLayout>
                  <c:x val="1.3862830890491494E-2"/>
                  <c:y val="8.6226098795093173E-17"/>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3276-4629-98FB-E74B9192CD3F}"/>
                </c:ext>
              </c:extLst>
            </c:dLbl>
            <c:dLbl>
              <c:idx val="12"/>
              <c:layout>
                <c:manualLayout>
                  <c:x val="-2.2180529424786391E-2"/>
                  <c:y val="4.7032960847096092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9-3276-4629-98FB-E74B9192CD3F}"/>
                </c:ext>
              </c:extLst>
            </c:dLbl>
            <c:dLbl>
              <c:idx val="13"/>
              <c:layout>
                <c:manualLayout>
                  <c:x val="-1.1090264712393222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B-3276-4629-98FB-E74B9192CD3F}"/>
                </c:ext>
              </c:extLst>
            </c:dLbl>
            <c:dLbl>
              <c:idx val="14"/>
              <c:layout>
                <c:manualLayout>
                  <c:x val="2.218052942478629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D-3276-4629-98FB-E74B9192CD3F}"/>
                </c:ext>
              </c:extLst>
            </c:dLbl>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'Tabla Dinámica'!$B$23:$B$37</c:f>
              <c:strCache>
                <c:ptCount val="15"/>
                <c:pt idx="0">
                  <c:v>Zambia</c:v>
                </c:pt>
                <c:pt idx="1">
                  <c:v>Azerbaijan</c:v>
                </c:pt>
                <c:pt idx="2">
                  <c:v>Iran</c:v>
                </c:pt>
                <c:pt idx="3">
                  <c:v>Colombia</c:v>
                </c:pt>
                <c:pt idx="4">
                  <c:v>Burma</c:v>
                </c:pt>
                <c:pt idx="5">
                  <c:v>Ivory Coast</c:v>
                </c:pt>
                <c:pt idx="6">
                  <c:v>Zimbabwe</c:v>
                </c:pt>
                <c:pt idx="7">
                  <c:v>Ethiopia</c:v>
                </c:pt>
                <c:pt idx="8">
                  <c:v>Afghanistan</c:v>
                </c:pt>
                <c:pt idx="9">
                  <c:v>Iraq</c:v>
                </c:pt>
                <c:pt idx="10">
                  <c:v>Cameroon</c:v>
                </c:pt>
                <c:pt idx="11">
                  <c:v>Chad</c:v>
                </c:pt>
                <c:pt idx="12">
                  <c:v>Nigeria</c:v>
                </c:pt>
                <c:pt idx="13">
                  <c:v>Sudan</c:v>
                </c:pt>
                <c:pt idx="14">
                  <c:v>Congo (Dem. Republic)</c:v>
                </c:pt>
              </c:strCache>
            </c:strRef>
          </c:cat>
          <c:val>
            <c:numRef>
              <c:f>'Tabla Dinámica'!$C$23:$C$37</c:f>
              <c:numCache>
                <c:formatCode>General</c:formatCode>
                <c:ptCount val="15"/>
                <c:pt idx="0">
                  <c:v>72</c:v>
                </c:pt>
                <c:pt idx="1">
                  <c:v>87</c:v>
                </c:pt>
                <c:pt idx="2">
                  <c:v>84</c:v>
                </c:pt>
                <c:pt idx="3">
                  <c:v>82</c:v>
                </c:pt>
                <c:pt idx="4">
                  <c:v>83</c:v>
                </c:pt>
                <c:pt idx="5">
                  <c:v>71</c:v>
                </c:pt>
                <c:pt idx="6">
                  <c:v>72</c:v>
                </c:pt>
                <c:pt idx="7">
                  <c:v>61</c:v>
                </c:pt>
                <c:pt idx="8">
                  <c:v>80</c:v>
                </c:pt>
                <c:pt idx="9">
                  <c:v>86</c:v>
                </c:pt>
                <c:pt idx="10">
                  <c:v>65</c:v>
                </c:pt>
                <c:pt idx="11">
                  <c:v>65</c:v>
                </c:pt>
                <c:pt idx="12">
                  <c:v>70</c:v>
                </c:pt>
                <c:pt idx="13">
                  <c:v>70</c:v>
                </c:pt>
                <c:pt idx="14">
                  <c:v>63</c:v>
                </c:pt>
              </c:numCache>
            </c:numRef>
          </c:val>
          <c:extLst>
            <c:ext xmlns:c16="http://schemas.microsoft.com/office/drawing/2014/chart" uri="{C3380CC4-5D6E-409C-BE32-E72D297353CC}">
              <c16:uniqueId val="{0000001E-3276-4629-98FB-E74B9192CD3F}"/>
            </c:ext>
          </c:extLst>
        </c:ser>
        <c:ser>
          <c:idx val="1"/>
          <c:order val="1"/>
          <c:tx>
            <c:strRef>
              <c:f>'Tabla Dinámica'!$D$22</c:f>
              <c:strCache>
                <c:ptCount val="1"/>
                <c:pt idx="0">
                  <c:v>Promedio de calidad_media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0-3276-4629-98FB-E74B9192CD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2-3276-4629-98FB-E74B9192CD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4-3276-4629-98FB-E74B9192CD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6-3276-4629-98FB-E74B9192CD3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8-3276-4629-98FB-E74B9192CD3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2A-3276-4629-98FB-E74B9192CD3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2C-3276-4629-98FB-E74B9192CD3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E-3276-4629-98FB-E74B9192CD3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0-3276-4629-98FB-E74B9192CD3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32-3276-4629-98FB-E74B9192CD3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34-3276-4629-98FB-E74B9192CD3F}"/>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36-3276-4629-98FB-E74B9192CD3F}"/>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38-3276-4629-98FB-E74B9192CD3F}"/>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3A-3276-4629-98FB-E74B9192CD3F}"/>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3C-3276-4629-98FB-E74B9192CD3F}"/>
              </c:ext>
            </c:extLst>
          </c:dPt>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'Tabla Dinámica'!$B$23:$B$37</c:f>
              <c:strCache>
                <c:ptCount val="15"/>
                <c:pt idx="0">
                  <c:v>Zambia</c:v>
                </c:pt>
                <c:pt idx="1">
                  <c:v>Azerbaijan</c:v>
                </c:pt>
                <c:pt idx="2">
                  <c:v>Iran</c:v>
                </c:pt>
                <c:pt idx="3">
                  <c:v>Colombia</c:v>
                </c:pt>
                <c:pt idx="4">
                  <c:v>Burma</c:v>
                </c:pt>
                <c:pt idx="5">
                  <c:v>Ivory Coast</c:v>
                </c:pt>
                <c:pt idx="6">
                  <c:v>Zimbabwe</c:v>
                </c:pt>
                <c:pt idx="7">
                  <c:v>Ethiopia</c:v>
                </c:pt>
                <c:pt idx="8">
                  <c:v>Afghanistan</c:v>
                </c:pt>
                <c:pt idx="9">
                  <c:v>Iraq</c:v>
                </c:pt>
                <c:pt idx="10">
                  <c:v>Cameroon</c:v>
                </c:pt>
                <c:pt idx="11">
                  <c:v>Chad</c:v>
                </c:pt>
                <c:pt idx="12">
                  <c:v>Nigeria</c:v>
                </c:pt>
                <c:pt idx="13">
                  <c:v>Sudan</c:v>
                </c:pt>
                <c:pt idx="14">
                  <c:v>Congo (Dem. Republic)</c:v>
                </c:pt>
              </c:strCache>
            </c:strRef>
          </c:cat>
          <c:val>
            <c:numRef>
              <c:f>'Tabla Dinámica'!$D$23:$D$37</c:f>
              <c:numCache>
                <c:formatCode>0</c:formatCode>
                <c:ptCount val="15"/>
                <c:pt idx="0">
                  <c:v>45.285714285714285</c:v>
                </c:pt>
                <c:pt idx="1">
                  <c:v>45.285714285714285</c:v>
                </c:pt>
                <c:pt idx="2">
                  <c:v>45</c:v>
                </c:pt>
                <c:pt idx="3">
                  <c:v>44.857142857142854</c:v>
                </c:pt>
                <c:pt idx="4">
                  <c:v>43.714285714285715</c:v>
                </c:pt>
                <c:pt idx="5">
                  <c:v>42.714285714285715</c:v>
                </c:pt>
                <c:pt idx="6">
                  <c:v>42.142857142857146</c:v>
                </c:pt>
                <c:pt idx="7">
                  <c:v>41.571428571428569</c:v>
                </c:pt>
                <c:pt idx="8">
                  <c:v>38</c:v>
                </c:pt>
                <c:pt idx="9">
                  <c:v>34.857142857142854</c:v>
                </c:pt>
                <c:pt idx="10">
                  <c:v>34.285714285714285</c:v>
                </c:pt>
                <c:pt idx="11">
                  <c:v>33.142857142857146</c:v>
                </c:pt>
                <c:pt idx="12">
                  <c:v>32.428571428571431</c:v>
                </c:pt>
                <c:pt idx="13">
                  <c:v>31.714285714285715</c:v>
                </c:pt>
                <c:pt idx="14">
                  <c:v>29.285714285714285</c:v>
                </c:pt>
              </c:numCache>
            </c:numRef>
          </c:val>
          <c:extLst>
            <c:ext xmlns:c16="http://schemas.microsoft.com/office/drawing/2014/chart" uri="{C3380CC4-5D6E-409C-BE32-E72D297353CC}">
              <c16:uniqueId val="{0000003D-3276-4629-98FB-E74B9192CD3F}"/>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s-ES" sz="1400">
                <a:latin typeface="Bahnschrift SemiBold SemiConden" panose="020B0502040204020203" pitchFamily="34" charset="0"/>
              </a:rPr>
              <a:t>ESPERANZA</a:t>
            </a:r>
            <a:r>
              <a:rPr lang="es-ES" sz="1400" baseline="0">
                <a:latin typeface="Bahnschrift SemiBold SemiConden" panose="020B0502040204020203" pitchFamily="34" charset="0"/>
              </a:rPr>
              <a:t> DE VIDA</a:t>
            </a:r>
            <a:r>
              <a:rPr lang="es-ES" sz="1400">
                <a:latin typeface="Bahnschrift SemiBold SemiConden" panose="020B0502040204020203" pitchFamily="34" charset="0"/>
              </a:rPr>
              <a:t> DE LOS 15 PAÍSES CON MEJOR CALIDAD DE VIDA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s-ES"/>
        </a:p>
      </c:txPr>
    </c:title>
    <c:autoTitleDeleted val="0"/>
    <c:plotArea>
      <c:layout/>
      <c:barChart>
        <c:barDir val="col"/>
        <c:grouping val="clustered"/>
        <c:varyColors val="0"/>
        <c:ser>
          <c:idx val="0"/>
          <c:order val="0"/>
          <c:tx>
            <c:strRef>
              <c:f>'Tabla Dinámica'!$G$41</c:f>
              <c:strCache>
                <c:ptCount val="1"/>
                <c:pt idx="0">
                  <c:v>Esperanza de vida de los hombres </c:v>
                </c:pt>
              </c:strCache>
            </c:strRef>
          </c:tx>
          <c:spPr>
            <a:solidFill>
              <a:srgbClr val="FFC000"/>
            </a:solidFill>
            <a:ln>
              <a:noFill/>
            </a:ln>
            <a:effectLst>
              <a:outerShdw blurRad="57150" dist="19050" dir="5400000" algn="ctr" rotWithShape="0">
                <a:srgbClr val="000000">
                  <a:alpha val="63000"/>
                </a:srgbClr>
              </a:outerShdw>
            </a:effectLst>
          </c:spPr>
          <c:invertIfNegative val="0"/>
          <c:val>
            <c:numRef>
              <c:f>'Tabla Dinámica'!$G$42:$G$56</c:f>
              <c:numCache>
                <c:formatCode>0</c:formatCode>
                <c:ptCount val="15"/>
                <c:pt idx="0">
                  <c:v>82.9</c:v>
                </c:pt>
                <c:pt idx="1">
                  <c:v>81.2</c:v>
                </c:pt>
                <c:pt idx="2">
                  <c:v>81.400000000000006</c:v>
                </c:pt>
                <c:pt idx="3">
                  <c:v>79.7</c:v>
                </c:pt>
                <c:pt idx="4">
                  <c:v>80.8</c:v>
                </c:pt>
                <c:pt idx="5">
                  <c:v>81.099999999999994</c:v>
                </c:pt>
                <c:pt idx="6">
                  <c:v>78.3</c:v>
                </c:pt>
                <c:pt idx="7">
                  <c:v>81.5</c:v>
                </c:pt>
                <c:pt idx="8">
                  <c:v>79.400000000000006</c:v>
                </c:pt>
                <c:pt idx="9">
                  <c:v>81.599999999999994</c:v>
                </c:pt>
                <c:pt idx="10">
                  <c:v>78</c:v>
                </c:pt>
                <c:pt idx="11">
                  <c:v>80.5</c:v>
                </c:pt>
                <c:pt idx="12">
                  <c:v>79.2</c:v>
                </c:pt>
                <c:pt idx="13">
                  <c:v>78.900000000000006</c:v>
                </c:pt>
                <c:pt idx="14">
                  <c:v>78.599999999999994</c:v>
                </c:pt>
              </c:numCache>
            </c:numRef>
          </c:val>
          <c:extLst>
            <c:ext xmlns:c16="http://schemas.microsoft.com/office/drawing/2014/chart" uri="{C3380CC4-5D6E-409C-BE32-E72D297353CC}">
              <c16:uniqueId val="{00000000-B55F-462F-901D-294AA6CB8B6E}"/>
            </c:ext>
          </c:extLst>
        </c:ser>
        <c:ser>
          <c:idx val="1"/>
          <c:order val="1"/>
          <c:tx>
            <c:strRef>
              <c:f>'Tabla Dinámica'!$H$41</c:f>
              <c:strCache>
                <c:ptCount val="1"/>
                <c:pt idx="0">
                  <c:v>Esperanza de vida de las mujeres </c:v>
                </c:pt>
              </c:strCache>
            </c:strRef>
          </c:tx>
          <c:spPr>
            <a:solidFill>
              <a:srgbClr val="00B050"/>
            </a:solidFill>
            <a:ln>
              <a:noFill/>
            </a:ln>
            <a:effectLst>
              <a:outerShdw blurRad="57150" dist="19050" dir="5400000" algn="ctr" rotWithShape="0">
                <a:srgbClr val="000000">
                  <a:alpha val="63000"/>
                </a:srgbClr>
              </a:outerShdw>
            </a:effectLst>
          </c:spPr>
          <c:invertIfNegative val="0"/>
          <c:val>
            <c:numRef>
              <c:f>'Tabla Dinámica'!$H$42:$H$56</c:f>
              <c:numCache>
                <c:formatCode>0</c:formatCode>
                <c:ptCount val="15"/>
                <c:pt idx="0">
                  <c:v>88</c:v>
                </c:pt>
                <c:pt idx="1">
                  <c:v>85.3</c:v>
                </c:pt>
                <c:pt idx="2">
                  <c:v>87.3</c:v>
                </c:pt>
                <c:pt idx="3">
                  <c:v>85.1</c:v>
                </c:pt>
                <c:pt idx="4">
                  <c:v>84.6</c:v>
                </c:pt>
                <c:pt idx="5">
                  <c:v>85.2</c:v>
                </c:pt>
                <c:pt idx="6">
                  <c:v>86</c:v>
                </c:pt>
                <c:pt idx="7">
                  <c:v>86.1</c:v>
                </c:pt>
                <c:pt idx="8">
                  <c:v>84.2</c:v>
                </c:pt>
                <c:pt idx="9">
                  <c:v>87.7</c:v>
                </c:pt>
                <c:pt idx="10">
                  <c:v>84.1</c:v>
                </c:pt>
                <c:pt idx="11">
                  <c:v>86.5</c:v>
                </c:pt>
                <c:pt idx="12">
                  <c:v>85.3</c:v>
                </c:pt>
                <c:pt idx="13">
                  <c:v>83.6</c:v>
                </c:pt>
                <c:pt idx="14">
                  <c:v>83.4</c:v>
                </c:pt>
              </c:numCache>
            </c:numRef>
          </c:val>
          <c:extLst>
            <c:ext xmlns:c16="http://schemas.microsoft.com/office/drawing/2014/chart" uri="{C3380CC4-5D6E-409C-BE32-E72D297353CC}">
              <c16:uniqueId val="{00000001-B55F-462F-901D-294AA6CB8B6E}"/>
            </c:ext>
          </c:extLst>
        </c:ser>
        <c:dLbls>
          <c:showLegendKey val="0"/>
          <c:showVal val="0"/>
          <c:showCatName val="0"/>
          <c:showSerName val="0"/>
          <c:showPercent val="0"/>
          <c:showBubbleSize val="0"/>
        </c:dLbls>
        <c:gapWidth val="100"/>
        <c:overlap val="-24"/>
        <c:axId val="351743287"/>
        <c:axId val="351744271"/>
      </c:barChart>
      <c:catAx>
        <c:axId val="351743287"/>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351744271"/>
        <c:crosses val="autoZero"/>
        <c:auto val="1"/>
        <c:lblAlgn val="ctr"/>
        <c:lblOffset val="100"/>
        <c:noMultiLvlLbl val="0"/>
      </c:catAx>
      <c:valAx>
        <c:axId val="351744271"/>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351743287"/>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s-ES" sz="1400" b="1" i="0" baseline="0">
                <a:effectLst/>
                <a:latin typeface="Bahnschrift SemiBold SemiConden" panose="020B0502040204020203" pitchFamily="34" charset="0"/>
              </a:rPr>
              <a:t>ESPERANZA DE VIDA DE LOS 15 PAÍSES CON PEOR CALIDAD DE VIDA</a:t>
            </a:r>
            <a:endParaRPr lang="es-ES" sz="1200">
              <a:effectLst/>
              <a:latin typeface="Bahnschrift SemiBold SemiConden" panose="020B05020402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s-ES"/>
        </a:p>
      </c:txPr>
    </c:title>
    <c:autoTitleDeleted val="0"/>
    <c:plotArea>
      <c:layout/>
      <c:barChart>
        <c:barDir val="col"/>
        <c:grouping val="clustered"/>
        <c:varyColors val="0"/>
        <c:ser>
          <c:idx val="0"/>
          <c:order val="0"/>
          <c:tx>
            <c:strRef>
              <c:f>'Tabla Dinámica'!$J$41</c:f>
              <c:strCache>
                <c:ptCount val="1"/>
                <c:pt idx="0">
                  <c:v>Esperanza de vida de los hombres </c:v>
                </c:pt>
              </c:strCache>
            </c:strRef>
          </c:tx>
          <c:spPr>
            <a:solidFill>
              <a:srgbClr val="FFC000"/>
            </a:solidFill>
            <a:ln>
              <a:noFill/>
            </a:ln>
            <a:effectLst>
              <a:outerShdw blurRad="57150" dist="19050" dir="5400000" algn="ctr" rotWithShape="0">
                <a:srgbClr val="000000">
                  <a:alpha val="63000"/>
                </a:srgbClr>
              </a:outerShdw>
            </a:effectLst>
          </c:spPr>
          <c:invertIfNegative val="0"/>
          <c:val>
            <c:numRef>
              <c:f>'Tabla Dinámica'!$J$42:$J$56</c:f>
              <c:numCache>
                <c:formatCode>0</c:formatCode>
                <c:ptCount val="15"/>
                <c:pt idx="0">
                  <c:v>61.1</c:v>
                </c:pt>
                <c:pt idx="1">
                  <c:v>75.8</c:v>
                </c:pt>
                <c:pt idx="2">
                  <c:v>74.7</c:v>
                </c:pt>
                <c:pt idx="3">
                  <c:v>64.3</c:v>
                </c:pt>
                <c:pt idx="4">
                  <c:v>56.9</c:v>
                </c:pt>
                <c:pt idx="5">
                  <c:v>68.7</c:v>
                </c:pt>
                <c:pt idx="6">
                  <c:v>60</c:v>
                </c:pt>
                <c:pt idx="7">
                  <c:v>65</c:v>
                </c:pt>
                <c:pt idx="8">
                  <c:v>63.7</c:v>
                </c:pt>
                <c:pt idx="9">
                  <c:v>58.7</c:v>
                </c:pt>
                <c:pt idx="10">
                  <c:v>68.7</c:v>
                </c:pt>
                <c:pt idx="11">
                  <c:v>58.4</c:v>
                </c:pt>
                <c:pt idx="12">
                  <c:v>53.1</c:v>
                </c:pt>
                <c:pt idx="13">
                  <c:v>54.1</c:v>
                </c:pt>
                <c:pt idx="14">
                  <c:v>63.7</c:v>
                </c:pt>
              </c:numCache>
            </c:numRef>
          </c:val>
          <c:extLst>
            <c:ext xmlns:c16="http://schemas.microsoft.com/office/drawing/2014/chart" uri="{C3380CC4-5D6E-409C-BE32-E72D297353CC}">
              <c16:uniqueId val="{00000000-3F06-42A9-91EC-5B149093F382}"/>
            </c:ext>
          </c:extLst>
        </c:ser>
        <c:ser>
          <c:idx val="1"/>
          <c:order val="1"/>
          <c:tx>
            <c:strRef>
              <c:f>'Tabla Dinámica'!$K$41</c:f>
              <c:strCache>
                <c:ptCount val="1"/>
                <c:pt idx="0">
                  <c:v>Esperanza de vida de las mujeres </c:v>
                </c:pt>
              </c:strCache>
            </c:strRef>
          </c:tx>
          <c:spPr>
            <a:solidFill>
              <a:srgbClr val="00B050"/>
            </a:solidFill>
            <a:ln>
              <a:noFill/>
            </a:ln>
            <a:effectLst>
              <a:outerShdw blurRad="57150" dist="19050" dir="5400000" algn="ctr" rotWithShape="0">
                <a:srgbClr val="000000">
                  <a:alpha val="63000"/>
                </a:srgbClr>
              </a:outerShdw>
            </a:effectLst>
          </c:spPr>
          <c:invertIfNegative val="0"/>
          <c:val>
            <c:numRef>
              <c:f>'Tabla Dinámica'!$K$42:$K$56</c:f>
              <c:numCache>
                <c:formatCode>0</c:formatCode>
                <c:ptCount val="15"/>
                <c:pt idx="0">
                  <c:v>67.2</c:v>
                </c:pt>
                <c:pt idx="1">
                  <c:v>78.099999999999994</c:v>
                </c:pt>
                <c:pt idx="2">
                  <c:v>80.2</c:v>
                </c:pt>
                <c:pt idx="3">
                  <c:v>70.3</c:v>
                </c:pt>
                <c:pt idx="4">
                  <c:v>59.5</c:v>
                </c:pt>
                <c:pt idx="5">
                  <c:v>78</c:v>
                </c:pt>
                <c:pt idx="6">
                  <c:v>63.2</c:v>
                </c:pt>
                <c:pt idx="7">
                  <c:v>68.900000000000006</c:v>
                </c:pt>
                <c:pt idx="8">
                  <c:v>66.7</c:v>
                </c:pt>
                <c:pt idx="9">
                  <c:v>64.400000000000006</c:v>
                </c:pt>
                <c:pt idx="10">
                  <c:v>72.8</c:v>
                </c:pt>
                <c:pt idx="11">
                  <c:v>60.9</c:v>
                </c:pt>
                <c:pt idx="12">
                  <c:v>55.9</c:v>
                </c:pt>
                <c:pt idx="13">
                  <c:v>56</c:v>
                </c:pt>
                <c:pt idx="14">
                  <c:v>67.400000000000006</c:v>
                </c:pt>
              </c:numCache>
            </c:numRef>
          </c:val>
          <c:extLst>
            <c:ext xmlns:c16="http://schemas.microsoft.com/office/drawing/2014/chart" uri="{C3380CC4-5D6E-409C-BE32-E72D297353CC}">
              <c16:uniqueId val="{00000001-3F06-42A9-91EC-5B149093F382}"/>
            </c:ext>
          </c:extLst>
        </c:ser>
        <c:dLbls>
          <c:showLegendKey val="0"/>
          <c:showVal val="0"/>
          <c:showCatName val="0"/>
          <c:showSerName val="0"/>
          <c:showPercent val="0"/>
          <c:showBubbleSize val="0"/>
        </c:dLbls>
        <c:gapWidth val="100"/>
        <c:overlap val="-24"/>
        <c:axId val="339065384"/>
        <c:axId val="339061448"/>
      </c:barChart>
      <c:catAx>
        <c:axId val="339065384"/>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339061448"/>
        <c:crosses val="autoZero"/>
        <c:auto val="1"/>
        <c:lblAlgn val="ctr"/>
        <c:lblOffset val="100"/>
        <c:noMultiLvlLbl val="0"/>
      </c:catAx>
      <c:valAx>
        <c:axId val="33906144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33906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[P3.4-VA_DianaMascarenasSande.xlsx]Tabla Dinámica!TablaDinámica13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s-ES" sz="1400" b="1" i="0" baseline="0">
                <a:effectLst/>
                <a:latin typeface="Bahnschrift SemiBold SemiConden" panose="020B0502040204020203" pitchFamily="34" charset="0"/>
              </a:rPr>
              <a:t>TASA DE NATALIDAD E ÍNDICE DE MORTALIDAD DE LOS 15 PAÍSES CON MEJOR CALIDAD DE VIDA</a:t>
            </a:r>
            <a:endParaRPr lang="es-ES" sz="1100">
              <a:effectLst/>
              <a:latin typeface="Bahnschrift SemiBold SemiConden" panose="020B05020402040202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s-ES"/>
        </a:p>
      </c:txPr>
    </c:title>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0"/>
          <c:tx>
            <c:strRef>
              <c:f>'Tabla Dinámica'!$J$63</c:f>
              <c:strCache>
                <c:ptCount val="1"/>
                <c:pt idx="0">
                  <c:v>Suma de calidad_media</c:v>
                </c:pt>
              </c:strCache>
            </c:strRef>
          </c:tx>
          <c:spPr>
            <a:solidFill>
              <a:srgbClr val="FFC000"/>
            </a:solidFill>
            <a:ln>
              <a:noFill/>
            </a:ln>
            <a:effectLst/>
          </c:spPr>
          <c:invertIfNegative val="0"/>
          <c:cat>
            <c:strRef>
              <c:f>'Tabla Dinámica'!$I$64:$I$79</c:f>
              <c:strCache>
                <c:ptCount val="15"/>
                <c:pt idx="0">
                  <c:v>(en blanco)</c:v>
                </c:pt>
                <c:pt idx="1">
                  <c:v>Hong Kong</c:v>
                </c:pt>
                <c:pt idx="2">
                  <c:v>Australia</c:v>
                </c:pt>
                <c:pt idx="3">
                  <c:v>Macao</c:v>
                </c:pt>
                <c:pt idx="4">
                  <c:v>Spain</c:v>
                </c:pt>
                <c:pt idx="5">
                  <c:v>Malta</c:v>
                </c:pt>
                <c:pt idx="6">
                  <c:v>Switzerland</c:v>
                </c:pt>
                <c:pt idx="7">
                  <c:v>Singapore</c:v>
                </c:pt>
                <c:pt idx="8">
                  <c:v>Bermuda</c:v>
                </c:pt>
                <c:pt idx="9">
                  <c:v>Luxembourg</c:v>
                </c:pt>
                <c:pt idx="10">
                  <c:v>Japan</c:v>
                </c:pt>
                <c:pt idx="11">
                  <c:v>South Korea</c:v>
                </c:pt>
                <c:pt idx="12">
                  <c:v>Portugal</c:v>
                </c:pt>
                <c:pt idx="13">
                  <c:v>France</c:v>
                </c:pt>
                <c:pt idx="14">
                  <c:v>Austria</c:v>
                </c:pt>
              </c:strCache>
            </c:strRef>
          </c:cat>
          <c:val>
            <c:numRef>
              <c:f>'Tabla Dinámica'!$J$64:$J$79</c:f>
              <c:numCache>
                <c:formatCode>0</c:formatCode>
                <c:ptCount val="15"/>
                <c:pt idx="0">
                  <c:v>1718.2857142857144</c:v>
                </c:pt>
                <c:pt idx="1">
                  <c:v>74.428571428571431</c:v>
                </c:pt>
                <c:pt idx="2">
                  <c:v>74.142857142857139</c:v>
                </c:pt>
                <c:pt idx="3">
                  <c:v>73.285714285714292</c:v>
                </c:pt>
                <c:pt idx="4">
                  <c:v>72</c:v>
                </c:pt>
                <c:pt idx="5">
                  <c:v>71.571428571428569</c:v>
                </c:pt>
                <c:pt idx="6">
                  <c:v>71.428571428571431</c:v>
                </c:pt>
                <c:pt idx="7">
                  <c:v>70.428571428571431</c:v>
                </c:pt>
                <c:pt idx="8">
                  <c:v>70.428571428571431</c:v>
                </c:pt>
                <c:pt idx="9">
                  <c:v>70</c:v>
                </c:pt>
                <c:pt idx="10">
                  <c:v>69.142857142857139</c:v>
                </c:pt>
                <c:pt idx="11">
                  <c:v>68.857142857142861</c:v>
                </c:pt>
                <c:pt idx="12">
                  <c:v>68.857142857142861</c:v>
                </c:pt>
                <c:pt idx="13">
                  <c:v>68.571428571428569</c:v>
                </c:pt>
                <c:pt idx="14">
                  <c:v>68</c:v>
                </c:pt>
              </c:numCache>
            </c:numRef>
          </c:val>
          <c:extLst>
            <c:ext xmlns:c16="http://schemas.microsoft.com/office/drawing/2014/chart" uri="{C3380CC4-5D6E-409C-BE32-E72D297353CC}">
              <c16:uniqueId val="{00000000-77FB-472F-978D-F2C5A793B390}"/>
            </c:ext>
          </c:extLst>
        </c:ser>
        <c:ser>
          <c:idx val="2"/>
          <c:order val="1"/>
          <c:tx>
            <c:strRef>
              <c:f>'Tabla Dinámica'!$K$63</c:f>
              <c:strCache>
                <c:ptCount val="1"/>
                <c:pt idx="0">
                  <c:v>Suma de birth_rate</c:v>
                </c:pt>
              </c:strCache>
            </c:strRef>
          </c:tx>
          <c:spPr>
            <a:solidFill>
              <a:srgbClr val="00B050"/>
            </a:solidFill>
            <a:ln>
              <a:noFill/>
            </a:ln>
            <a:effectLst/>
          </c:spPr>
          <c:invertIfNegative val="0"/>
          <c:cat>
            <c:strRef>
              <c:f>'Tabla Dinámica'!$I$64:$I$79</c:f>
              <c:strCache>
                <c:ptCount val="15"/>
                <c:pt idx="0">
                  <c:v>(en blanco)</c:v>
                </c:pt>
                <c:pt idx="1">
                  <c:v>Hong Kong</c:v>
                </c:pt>
                <c:pt idx="2">
                  <c:v>Australia</c:v>
                </c:pt>
                <c:pt idx="3">
                  <c:v>Macao</c:v>
                </c:pt>
                <c:pt idx="4">
                  <c:v>Spain</c:v>
                </c:pt>
                <c:pt idx="5">
                  <c:v>Malta</c:v>
                </c:pt>
                <c:pt idx="6">
                  <c:v>Switzerland</c:v>
                </c:pt>
                <c:pt idx="7">
                  <c:v>Singapore</c:v>
                </c:pt>
                <c:pt idx="8">
                  <c:v>Bermuda</c:v>
                </c:pt>
                <c:pt idx="9">
                  <c:v>Luxembourg</c:v>
                </c:pt>
                <c:pt idx="10">
                  <c:v>Japan</c:v>
                </c:pt>
                <c:pt idx="11">
                  <c:v>South Korea</c:v>
                </c:pt>
                <c:pt idx="12">
                  <c:v>Portugal</c:v>
                </c:pt>
                <c:pt idx="13">
                  <c:v>France</c:v>
                </c:pt>
                <c:pt idx="14">
                  <c:v>Austria</c:v>
                </c:pt>
              </c:strCache>
            </c:strRef>
          </c:cat>
          <c:val>
            <c:numRef>
              <c:f>'Tabla Dinámica'!$K$64:$K$79</c:f>
              <c:numCache>
                <c:formatCode>General</c:formatCode>
                <c:ptCount val="15"/>
                <c:pt idx="1">
                  <c:v>14.4</c:v>
                </c:pt>
                <c:pt idx="2">
                  <c:v>11.5</c:v>
                </c:pt>
                <c:pt idx="3">
                  <c:v>17.5</c:v>
                </c:pt>
                <c:pt idx="4">
                  <c:v>17.2</c:v>
                </c:pt>
                <c:pt idx="5">
                  <c:v>12.5</c:v>
                </c:pt>
                <c:pt idx="6">
                  <c:v>23.6</c:v>
                </c:pt>
                <c:pt idx="7">
                  <c:v>20.6</c:v>
                </c:pt>
                <c:pt idx="8">
                  <c:v>11.2</c:v>
                </c:pt>
                <c:pt idx="9">
                  <c:v>8.9</c:v>
                </c:pt>
                <c:pt idx="10">
                  <c:v>21.1</c:v>
                </c:pt>
                <c:pt idx="11">
                  <c:v>29.3</c:v>
                </c:pt>
                <c:pt idx="12">
                  <c:v>22.8</c:v>
                </c:pt>
                <c:pt idx="13">
                  <c:v>18.100000000000001</c:v>
                </c:pt>
                <c:pt idx="14">
                  <c:v>9.9</c:v>
                </c:pt>
              </c:numCache>
            </c:numRef>
          </c:val>
          <c:extLst>
            <c:ext xmlns:c16="http://schemas.microsoft.com/office/drawing/2014/chart" uri="{C3380CC4-5D6E-409C-BE32-E72D297353CC}">
              <c16:uniqueId val="{00000001-77FB-472F-978D-F2C5A793B390}"/>
            </c:ext>
          </c:extLst>
        </c:ser>
        <c:ser>
          <c:idx val="0"/>
          <c:order val="2"/>
          <c:tx>
            <c:strRef>
              <c:f>'Tabla Dinámica'!$L$63</c:f>
              <c:strCache>
                <c:ptCount val="1"/>
                <c:pt idx="0">
                  <c:v>Suma de death_rate</c:v>
                </c:pt>
              </c:strCache>
            </c:strRef>
          </c:tx>
          <c:spPr>
            <a:solidFill>
              <a:srgbClr val="C00000"/>
            </a:solidFill>
            <a:ln>
              <a:noFill/>
            </a:ln>
            <a:effectLst/>
          </c:spPr>
          <c:invertIfNegative val="0"/>
          <c:cat>
            <c:strRef>
              <c:f>'Tabla Dinámica'!$I$64:$I$79</c:f>
              <c:strCache>
                <c:ptCount val="15"/>
                <c:pt idx="0">
                  <c:v>(en blanco)</c:v>
                </c:pt>
                <c:pt idx="1">
                  <c:v>Hong Kong</c:v>
                </c:pt>
                <c:pt idx="2">
                  <c:v>Australia</c:v>
                </c:pt>
                <c:pt idx="3">
                  <c:v>Macao</c:v>
                </c:pt>
                <c:pt idx="4">
                  <c:v>Spain</c:v>
                </c:pt>
                <c:pt idx="5">
                  <c:v>Malta</c:v>
                </c:pt>
                <c:pt idx="6">
                  <c:v>Switzerland</c:v>
                </c:pt>
                <c:pt idx="7">
                  <c:v>Singapore</c:v>
                </c:pt>
                <c:pt idx="8">
                  <c:v>Bermuda</c:v>
                </c:pt>
                <c:pt idx="9">
                  <c:v>Luxembourg</c:v>
                </c:pt>
                <c:pt idx="10">
                  <c:v>Japan</c:v>
                </c:pt>
                <c:pt idx="11">
                  <c:v>South Korea</c:v>
                </c:pt>
                <c:pt idx="12">
                  <c:v>Portugal</c:v>
                </c:pt>
                <c:pt idx="13">
                  <c:v>France</c:v>
                </c:pt>
                <c:pt idx="14">
                  <c:v>Austria</c:v>
                </c:pt>
              </c:strCache>
            </c:strRef>
          </c:cat>
          <c:val>
            <c:numRef>
              <c:f>'Tabla Dinámica'!$L$64:$L$79</c:f>
              <c:numCache>
                <c:formatCode>General</c:formatCode>
                <c:ptCount val="15"/>
                <c:pt idx="1">
                  <c:v>6.8</c:v>
                </c:pt>
                <c:pt idx="2">
                  <c:v>6.3</c:v>
                </c:pt>
                <c:pt idx="3">
                  <c:v>4.0999999999999996</c:v>
                </c:pt>
                <c:pt idx="4">
                  <c:v>10.4</c:v>
                </c:pt>
                <c:pt idx="5">
                  <c:v>7.9</c:v>
                </c:pt>
                <c:pt idx="6">
                  <c:v>8.8000000000000007</c:v>
                </c:pt>
                <c:pt idx="7">
                  <c:v>10.8</c:v>
                </c:pt>
                <c:pt idx="8">
                  <c:v>8.8000000000000007</c:v>
                </c:pt>
                <c:pt idx="9">
                  <c:v>7.3</c:v>
                </c:pt>
                <c:pt idx="10">
                  <c:v>8.8000000000000007</c:v>
                </c:pt>
                <c:pt idx="11">
                  <c:v>5.9</c:v>
                </c:pt>
                <c:pt idx="12">
                  <c:v>12</c:v>
                </c:pt>
                <c:pt idx="13">
                  <c:v>9.9</c:v>
                </c:pt>
                <c:pt idx="14">
                  <c:v>10.3</c:v>
                </c:pt>
              </c:numCache>
            </c:numRef>
          </c:val>
          <c:extLst>
            <c:ext xmlns:c16="http://schemas.microsoft.com/office/drawing/2014/chart" uri="{C3380CC4-5D6E-409C-BE32-E72D297353CC}">
              <c16:uniqueId val="{00000002-77FB-472F-978D-F2C5A793B390}"/>
            </c:ext>
          </c:extLst>
        </c:ser>
        <c:dLbls>
          <c:showLegendKey val="0"/>
          <c:showVal val="0"/>
          <c:showCatName val="0"/>
          <c:showSerName val="0"/>
          <c:showPercent val="0"/>
          <c:showBubbleSize val="0"/>
        </c:dLbls>
        <c:gapWidth val="219"/>
        <c:overlap val="-27"/>
        <c:axId val="2090929360"/>
        <c:axId val="2090925096"/>
      </c:barChart>
      <c:catAx>
        <c:axId val="2090929360"/>
        <c:scaling>
          <c:orientation val="minMax"/>
        </c:scaling>
        <c:delete val="0"/>
        <c:axPos val="b"/>
        <c:numFmt formatCode="General" sourceLinked="1"/>
        <c:majorTickMark val="none"/>
        <c:minorTickMark val="none"/>
        <c:tickLblPos val="nextTo"/>
        <c:spPr>
          <a:noFill/>
          <a:ln w="9525" cap="flat" cmpd="sng" algn="ctr">
            <a:solidFill>
              <a:srgbClr val="C00000">
                <a:alpha val="91000"/>
              </a:srgb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2090925096"/>
        <c:crosses val="autoZero"/>
        <c:auto val="1"/>
        <c:lblAlgn val="ctr"/>
        <c:lblOffset val="100"/>
        <c:noMultiLvlLbl val="0"/>
      </c:catAx>
      <c:valAx>
        <c:axId val="2090925096"/>
        <c:scaling>
          <c:orientation val="minMax"/>
          <c:max val="3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209092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[P3.4-VA_DianaMascarenasSande.xlsx]Tabla Dinámica!TablaDinámica18</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s-ES" sz="1400" b="1" i="0" u="none" strike="noStrike" baseline="0">
                <a:effectLst/>
                <a:latin typeface="Bahnschrift SemiBold SemiConden" panose="020B0502040204020203" pitchFamily="34" charset="0"/>
              </a:rPr>
              <a:t>TASA DE NATALIDAD E ÍNDICE DE MORTALIDAD </a:t>
            </a:r>
            <a:r>
              <a:rPr lang="es-ES" sz="1400" b="1" i="0" baseline="0">
                <a:effectLst/>
                <a:latin typeface="Bahnschrift SemiBold SemiConden" panose="020B0502040204020203" pitchFamily="34" charset="0"/>
              </a:rPr>
              <a:t>DE LOS 15 PAÍSES CON PEOR CALIDAD DE VIDA</a:t>
            </a:r>
            <a:endParaRPr lang="es-ES" sz="1100">
              <a:effectLst/>
              <a:latin typeface="Bahnschrift SemiBold SemiConden" panose="020B05020402040202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s-ES"/>
        </a:p>
      </c:txPr>
    </c:title>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C00000"/>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0"/>
          <c:tx>
            <c:strRef>
              <c:f>'Tabla Dinámica'!$J$82</c:f>
              <c:strCache>
                <c:ptCount val="1"/>
                <c:pt idx="0">
                  <c:v>Suma de calidad_media</c:v>
                </c:pt>
              </c:strCache>
            </c:strRef>
          </c:tx>
          <c:spPr>
            <a:solidFill>
              <a:srgbClr val="FFC000"/>
            </a:solidFill>
            <a:ln>
              <a:noFill/>
            </a:ln>
            <a:effectLst/>
          </c:spPr>
          <c:invertIfNegative val="0"/>
          <c:cat>
            <c:strRef>
              <c:f>'Tabla Dinámica'!$I$83:$I$98</c:f>
              <c:strCache>
                <c:ptCount val="15"/>
                <c:pt idx="0">
                  <c:v>Zambia</c:v>
                </c:pt>
                <c:pt idx="1">
                  <c:v>Iran</c:v>
                </c:pt>
                <c:pt idx="2">
                  <c:v>Colombia</c:v>
                </c:pt>
                <c:pt idx="3">
                  <c:v>Burma</c:v>
                </c:pt>
                <c:pt idx="4">
                  <c:v>Ivory Coast</c:v>
                </c:pt>
                <c:pt idx="5">
                  <c:v>El Salvador</c:v>
                </c:pt>
                <c:pt idx="6">
                  <c:v>Zimbabwe</c:v>
                </c:pt>
                <c:pt idx="7">
                  <c:v>Ethiopia</c:v>
                </c:pt>
                <c:pt idx="8">
                  <c:v>Afghanistan</c:v>
                </c:pt>
                <c:pt idx="9">
                  <c:v>Angola</c:v>
                </c:pt>
                <c:pt idx="10">
                  <c:v>Iraq</c:v>
                </c:pt>
                <c:pt idx="11">
                  <c:v>Cameroon</c:v>
                </c:pt>
                <c:pt idx="12">
                  <c:v>Chad</c:v>
                </c:pt>
                <c:pt idx="13">
                  <c:v>Nigeria</c:v>
                </c:pt>
                <c:pt idx="14">
                  <c:v>Sudan</c:v>
                </c:pt>
              </c:strCache>
            </c:strRef>
          </c:cat>
          <c:val>
            <c:numRef>
              <c:f>'Tabla Dinámica'!$J$83:$J$98</c:f>
              <c:numCache>
                <c:formatCode>0</c:formatCode>
                <c:ptCount val="15"/>
                <c:pt idx="0">
                  <c:v>45.285714285714285</c:v>
                </c:pt>
                <c:pt idx="1">
                  <c:v>45</c:v>
                </c:pt>
                <c:pt idx="2">
                  <c:v>44.857142857142854</c:v>
                </c:pt>
                <c:pt idx="3">
                  <c:v>43.714285714285715</c:v>
                </c:pt>
                <c:pt idx="4">
                  <c:v>42.714285714285715</c:v>
                </c:pt>
                <c:pt idx="5">
                  <c:v>42.571428571428569</c:v>
                </c:pt>
                <c:pt idx="6">
                  <c:v>42.142857142857146</c:v>
                </c:pt>
                <c:pt idx="7">
                  <c:v>41.571428571428569</c:v>
                </c:pt>
                <c:pt idx="8">
                  <c:v>38</c:v>
                </c:pt>
                <c:pt idx="9">
                  <c:v>37.571428571428569</c:v>
                </c:pt>
                <c:pt idx="10">
                  <c:v>34.857142857142854</c:v>
                </c:pt>
                <c:pt idx="11">
                  <c:v>34.285714285714285</c:v>
                </c:pt>
                <c:pt idx="12">
                  <c:v>33.142857142857146</c:v>
                </c:pt>
                <c:pt idx="13">
                  <c:v>32.428571428571431</c:v>
                </c:pt>
                <c:pt idx="14">
                  <c:v>31.714285714285715</c:v>
                </c:pt>
              </c:numCache>
            </c:numRef>
          </c:val>
          <c:extLst>
            <c:ext xmlns:c16="http://schemas.microsoft.com/office/drawing/2014/chart" uri="{C3380CC4-5D6E-409C-BE32-E72D297353CC}">
              <c16:uniqueId val="{00000000-3A07-404A-B628-7FE96B6DBA4F}"/>
            </c:ext>
          </c:extLst>
        </c:ser>
        <c:ser>
          <c:idx val="2"/>
          <c:order val="1"/>
          <c:tx>
            <c:strRef>
              <c:f>'Tabla Dinámica'!$K$82</c:f>
              <c:strCache>
                <c:ptCount val="1"/>
                <c:pt idx="0">
                  <c:v>Suma de birth_rate</c:v>
                </c:pt>
              </c:strCache>
            </c:strRef>
          </c:tx>
          <c:spPr>
            <a:solidFill>
              <a:srgbClr val="00B050"/>
            </a:solidFill>
            <a:ln>
              <a:noFill/>
            </a:ln>
            <a:effectLst/>
          </c:spPr>
          <c:invertIfNegative val="0"/>
          <c:cat>
            <c:strRef>
              <c:f>'Tabla Dinámica'!$I$83:$I$98</c:f>
              <c:strCache>
                <c:ptCount val="15"/>
                <c:pt idx="0">
                  <c:v>Zambia</c:v>
                </c:pt>
                <c:pt idx="1">
                  <c:v>Iran</c:v>
                </c:pt>
                <c:pt idx="2">
                  <c:v>Colombia</c:v>
                </c:pt>
                <c:pt idx="3">
                  <c:v>Burma</c:v>
                </c:pt>
                <c:pt idx="4">
                  <c:v>Ivory Coast</c:v>
                </c:pt>
                <c:pt idx="5">
                  <c:v>El Salvador</c:v>
                </c:pt>
                <c:pt idx="6">
                  <c:v>Zimbabwe</c:v>
                </c:pt>
                <c:pt idx="7">
                  <c:v>Ethiopia</c:v>
                </c:pt>
                <c:pt idx="8">
                  <c:v>Afghanistan</c:v>
                </c:pt>
                <c:pt idx="9">
                  <c:v>Angola</c:v>
                </c:pt>
                <c:pt idx="10">
                  <c:v>Iraq</c:v>
                </c:pt>
                <c:pt idx="11">
                  <c:v>Cameroon</c:v>
                </c:pt>
                <c:pt idx="12">
                  <c:v>Chad</c:v>
                </c:pt>
                <c:pt idx="13">
                  <c:v>Nigeria</c:v>
                </c:pt>
                <c:pt idx="14">
                  <c:v>Sudan</c:v>
                </c:pt>
              </c:strCache>
            </c:strRef>
          </c:cat>
          <c:val>
            <c:numRef>
              <c:f>'Tabla Dinámica'!$K$83:$K$98</c:f>
              <c:numCache>
                <c:formatCode>0.00\‰\ </c:formatCode>
                <c:ptCount val="15"/>
                <c:pt idx="0">
                  <c:v>41.2</c:v>
                </c:pt>
                <c:pt idx="1">
                  <c:v>17.5</c:v>
                </c:pt>
                <c:pt idx="2">
                  <c:v>9.9</c:v>
                </c:pt>
                <c:pt idx="3">
                  <c:v>7.1</c:v>
                </c:pt>
                <c:pt idx="4">
                  <c:v>16.600000000000001</c:v>
                </c:pt>
                <c:pt idx="5">
                  <c:v>11.5</c:v>
                </c:pt>
                <c:pt idx="6">
                  <c:v>34.9</c:v>
                </c:pt>
                <c:pt idx="7">
                  <c:v>17.8</c:v>
                </c:pt>
                <c:pt idx="8">
                  <c:v>5.8</c:v>
                </c:pt>
                <c:pt idx="9">
                  <c:v>9.8000000000000007</c:v>
                </c:pt>
                <c:pt idx="10">
                  <c:v>9.9</c:v>
                </c:pt>
                <c:pt idx="11">
                  <c:v>10.199999999999999</c:v>
                </c:pt>
                <c:pt idx="12">
                  <c:v>10.9</c:v>
                </c:pt>
                <c:pt idx="13">
                  <c:v>13.8</c:v>
                </c:pt>
                <c:pt idx="14">
                  <c:v>31.5</c:v>
                </c:pt>
              </c:numCache>
            </c:numRef>
          </c:val>
          <c:extLst>
            <c:ext xmlns:c16="http://schemas.microsoft.com/office/drawing/2014/chart" uri="{C3380CC4-5D6E-409C-BE32-E72D297353CC}">
              <c16:uniqueId val="{00000001-3A07-404A-B628-7FE96B6DBA4F}"/>
            </c:ext>
          </c:extLst>
        </c:ser>
        <c:ser>
          <c:idx val="0"/>
          <c:order val="2"/>
          <c:tx>
            <c:strRef>
              <c:f>'Tabla Dinámica'!$L$82</c:f>
              <c:strCache>
                <c:ptCount val="1"/>
                <c:pt idx="0">
                  <c:v>Suma de death_rate</c:v>
                </c:pt>
              </c:strCache>
            </c:strRef>
          </c:tx>
          <c:spPr>
            <a:solidFill>
              <a:srgbClr val="C00000"/>
            </a:solidFill>
            <a:ln>
              <a:noFill/>
            </a:ln>
            <a:effectLst/>
          </c:spPr>
          <c:invertIfNegative val="0"/>
          <c:cat>
            <c:strRef>
              <c:f>'Tabla Dinámica'!$I$83:$I$98</c:f>
              <c:strCache>
                <c:ptCount val="15"/>
                <c:pt idx="0">
                  <c:v>Zambia</c:v>
                </c:pt>
                <c:pt idx="1">
                  <c:v>Iran</c:v>
                </c:pt>
                <c:pt idx="2">
                  <c:v>Colombia</c:v>
                </c:pt>
                <c:pt idx="3">
                  <c:v>Burma</c:v>
                </c:pt>
                <c:pt idx="4">
                  <c:v>Ivory Coast</c:v>
                </c:pt>
                <c:pt idx="5">
                  <c:v>El Salvador</c:v>
                </c:pt>
                <c:pt idx="6">
                  <c:v>Zimbabwe</c:v>
                </c:pt>
                <c:pt idx="7">
                  <c:v>Ethiopia</c:v>
                </c:pt>
                <c:pt idx="8">
                  <c:v>Afghanistan</c:v>
                </c:pt>
                <c:pt idx="9">
                  <c:v>Angola</c:v>
                </c:pt>
                <c:pt idx="10">
                  <c:v>Iraq</c:v>
                </c:pt>
                <c:pt idx="11">
                  <c:v>Cameroon</c:v>
                </c:pt>
                <c:pt idx="12">
                  <c:v>Chad</c:v>
                </c:pt>
                <c:pt idx="13">
                  <c:v>Nigeria</c:v>
                </c:pt>
                <c:pt idx="14">
                  <c:v>Sudan</c:v>
                </c:pt>
              </c:strCache>
            </c:strRef>
          </c:cat>
          <c:val>
            <c:numRef>
              <c:f>'Tabla Dinámica'!$L$83:$L$98</c:f>
              <c:numCache>
                <c:formatCode>0.00\‰\ </c:formatCode>
                <c:ptCount val="15"/>
                <c:pt idx="0">
                  <c:v>6.2</c:v>
                </c:pt>
                <c:pt idx="1">
                  <c:v>4.8</c:v>
                </c:pt>
                <c:pt idx="2">
                  <c:v>5.7</c:v>
                </c:pt>
                <c:pt idx="3">
                  <c:v>8.3000000000000007</c:v>
                </c:pt>
                <c:pt idx="4">
                  <c:v>9.6999999999999993</c:v>
                </c:pt>
                <c:pt idx="5">
                  <c:v>7.1</c:v>
                </c:pt>
                <c:pt idx="6">
                  <c:v>7.7</c:v>
                </c:pt>
                <c:pt idx="7">
                  <c:v>6.3</c:v>
                </c:pt>
                <c:pt idx="8">
                  <c:v>6.2</c:v>
                </c:pt>
                <c:pt idx="9">
                  <c:v>7.8</c:v>
                </c:pt>
                <c:pt idx="10">
                  <c:v>4.7</c:v>
                </c:pt>
                <c:pt idx="11">
                  <c:v>8.9</c:v>
                </c:pt>
                <c:pt idx="12">
                  <c:v>11.7</c:v>
                </c:pt>
                <c:pt idx="13">
                  <c:v>11.4</c:v>
                </c:pt>
                <c:pt idx="14">
                  <c:v>7</c:v>
                </c:pt>
              </c:numCache>
            </c:numRef>
          </c:val>
          <c:extLst>
            <c:ext xmlns:c16="http://schemas.microsoft.com/office/drawing/2014/chart" uri="{C3380CC4-5D6E-409C-BE32-E72D297353CC}">
              <c16:uniqueId val="{00000002-3A07-404A-B628-7FE96B6DBA4F}"/>
            </c:ext>
          </c:extLst>
        </c:ser>
        <c:dLbls>
          <c:showLegendKey val="0"/>
          <c:showVal val="0"/>
          <c:showCatName val="0"/>
          <c:showSerName val="0"/>
          <c:showPercent val="0"/>
          <c:showBubbleSize val="0"/>
        </c:dLbls>
        <c:gapWidth val="219"/>
        <c:overlap val="-27"/>
        <c:axId val="2090939528"/>
        <c:axId val="2090941496"/>
      </c:barChart>
      <c:catAx>
        <c:axId val="2090939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2090941496"/>
        <c:crosses val="autoZero"/>
        <c:auto val="1"/>
        <c:lblAlgn val="ctr"/>
        <c:lblOffset val="100"/>
        <c:noMultiLvlLbl val="0"/>
      </c:catAx>
      <c:valAx>
        <c:axId val="209094149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crossAx val="2090939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002060"/>
    </a:solidFill>
    <a:ln w="9525" cap="flat" cmpd="sng" algn="ctr">
      <a:solidFill>
        <a:schemeClr val="tx1">
          <a:lumMod val="15000"/>
          <a:lumOff val="85000"/>
        </a:schemeClr>
      </a:solidFill>
      <a:round/>
    </a:ln>
    <a:effectLst/>
  </c:spPr>
  <c:txPr>
    <a:bodyPr/>
    <a:lstStyle/>
    <a:p>
      <a:pPr>
        <a:defRPr>
          <a:solidFill>
            <a:schemeClr val="bg1"/>
          </a:solidFill>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1</Pages>
  <Words>2762</Words>
  <Characters>15192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Sande Diana</dc:creator>
  <cp:keywords/>
  <dc:description/>
  <cp:lastModifiedBy>Mascareñas Sande Diana</cp:lastModifiedBy>
  <cp:revision>278</cp:revision>
  <cp:lastPrinted>2022-10-17T20:48:00Z</cp:lastPrinted>
  <dcterms:created xsi:type="dcterms:W3CDTF">2022-09-07T08:10:00Z</dcterms:created>
  <dcterms:modified xsi:type="dcterms:W3CDTF">2022-10-17T21:04:00Z</dcterms:modified>
</cp:coreProperties>
</file>