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1.png" ContentType="image/png"/>
  <Override PartName="/word/media/rId26.png" ContentType="image/png"/>
  <Override PartName="/word/media/rId30.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Effort Report 2025: Pinellas County</w:t>
      </w:r>
    </w:p>
    <w:p>
      <w:pPr>
        <w:pStyle w:val="Author"/>
      </w:pPr>
      <w:r>
        <w:t xml:space="preserve">A data report for the Pinellas County Tourist Development Council, Chamber of Commerce, and Board of County Commissioners prepared by:</w:t>
      </w:r>
    </w:p>
    <w:p>
      <w:pPr>
        <w:pStyle w:val="Author"/>
      </w:pPr>
      <w:r>
        <w:t xml:space="preserve">Edward Camp, Associate Professor of Fisheries and Aquaculture Governance, University of Florida,</w:t>
      </w:r>
      <w:r>
        <w:t xml:space="preserve"> </w:t>
      </w:r>
      <w:hyperlink r:id="rId9">
        <w:r>
          <w:rPr>
            <w:rStyle w:val="Hyperlink"/>
          </w:rPr>
          <w:t xml:space="preserve">edvcamp@ufl.edu</w:t>
        </w:r>
      </w:hyperlink>
    </w:p>
    <w:p>
      <w:pPr>
        <w:pStyle w:val="Author"/>
      </w:pPr>
      <w:r>
        <w:t xml:space="preserve">Anna Braswell, Assistant Professor of Coastal Ecosystems and Watersheds, University of Florida,</w:t>
      </w:r>
      <w:r>
        <w:t xml:space="preserve"> </w:t>
      </w:r>
      <w:hyperlink r:id="rId10">
        <w:r>
          <w:rPr>
            <w:rStyle w:val="Hyperlink"/>
          </w:rPr>
          <w:t xml:space="preserve">a.braswell@ufl.edu</w:t>
        </w:r>
      </w:hyperlink>
    </w:p>
    <w:p>
      <w:pPr>
        <w:pStyle w:val="Author"/>
      </w:pPr>
      <w:r>
        <w:t xml:space="preserve">Florida Sea Grant Extension Agent Pinellas County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1" w:name="abbreviations-and-definitions"/>
    <w:p>
      <w:pPr>
        <w:pStyle w:val="Heading2"/>
      </w:pPr>
      <w:r>
        <w:t xml:space="preserve">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Area</w:t>
      </w:r>
      <w:r>
        <w:t xml:space="preserve">: For the MRIP survey, the variable “area” 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Effort</w:t>
      </w:r>
      <w:r>
        <w:t xml:space="preserve">: The amount of fishing trips taken during a place and time. This report describes the number of fishing trips taken to Pinellas County. It describes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then in also describes the seasonal effort patterns by looking at the proportions of trips per month.</w:t>
      </w:r>
    </w:p>
    <w:p>
      <w:pPr>
        <w:pStyle w:val="BodyText"/>
      </w:pPr>
      <w:r>
        <w:rPr>
          <w:b/>
          <w:bCs/>
        </w:rPr>
        <w:t xml:space="preserve">Mode</w:t>
      </w:r>
      <w:r>
        <w:t xml:space="preserve">: For the MRIP survey, the “mode” 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and charters (</w:t>
      </w:r>
      <w:r>
        <w:rPr>
          <w:b/>
          <w:bCs/>
        </w:rPr>
        <w:t xml:space="preserve">note, head- and party boats are considered for-hire but are surveyed under a different NOAA Fisheries program than used for these reports</w:t>
      </w:r>
      <w:r>
        <w:t xml:space="preserve">), and (3)</w:t>
      </w:r>
      <w:r>
        <w:t xml:space="preserve"> </w:t>
      </w:r>
      <w:r>
        <w:rPr>
          <w:b/>
          <w:bCs/>
        </w:rPr>
        <w:t xml:space="preserve">shore-based</w:t>
      </w:r>
      <w:r>
        <w:t xml:space="preserve">, which includes all non-boat fishing (piers, docks, beaches, etc.).</w:t>
      </w:r>
    </w:p>
    <w:p>
      <w:pPr>
        <w:pStyle w:val="BodyText"/>
      </w:pPr>
      <w:r>
        <w:rPr>
          <w:b/>
          <w:bCs/>
        </w:rPr>
        <w:t xml:space="preserve">MRIP</w:t>
      </w:r>
      <w:r>
        <w:t xml:space="preserve">: Marine Recreational Information Program, which is operated by NMFS to survey coastal anglers. The MRIP data are what this report uses.</w:t>
      </w:r>
    </w:p>
    <w:p>
      <w:pPr>
        <w:pStyle w:val="BodyText"/>
      </w:pPr>
      <w:r>
        <w:rPr>
          <w:b/>
          <w:bCs/>
        </w:rPr>
        <w:t xml:space="preserve">NMFS</w:t>
      </w:r>
      <w:r>
        <w:t xml:space="preserve">: National Marine Fisheries Service. The NMFS oversees the MRIP, as well as many other aspects of federal fisheries management.</w:t>
      </w:r>
    </w:p>
    <w:p>
      <w:r>
        <w:br w:type="page"/>
      </w:r>
    </w:p>
    <w:bookmarkEnd w:id="11"/>
    <w:bookmarkStart w:id="13" w:name="overview-summary"/>
    <w:p>
      <w:pPr>
        <w:pStyle w:val="Heading2"/>
      </w:pPr>
      <w:r>
        <w:t xml:space="preserve">Overview Summary</w:t>
      </w:r>
    </w:p>
    <w:p>
      <w:pPr>
        <w:pStyle w:val="FirstParagraph"/>
      </w:pPr>
      <w:r>
        <w:rPr>
          <w:i/>
          <w:iCs/>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 “</w:t>
      </w:r>
      <w:r>
        <w:rPr>
          <w:b/>
          <w:bCs/>
        </w:rPr>
        <w:t xml:space="preserve">effort</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
          <w:bCs/>
        </w:rPr>
        <w:t xml:space="preserve">This report uses publicly available data collected by federal and state agencies to describe the marine recreational fishing dynamics of Pinellas County, Florida</w:t>
      </w:r>
      <w:r>
        <w:t xml:space="preserve">. We believe this information is useful to several people and entities in Pinellas County and the broader region, such as the the Pinellas County Tourist Development Council, Chamber of Commerce, and Board of County Commissioners, as well as county commissioners and the fishing industry.</w:t>
      </w:r>
    </w:p>
    <w:p>
      <w:pPr>
        <w:pStyle w:val="BodyText"/>
      </w:pPr>
      <w:r>
        <w:rPr>
          <w:i/>
          <w:iCs/>
        </w:rPr>
        <w:t xml:space="preserve">What this report can be used for</w:t>
      </w:r>
      <w:r>
        <w:br/>
      </w:r>
      <w:r>
        <w:t xml:space="preserve">This report provides information about marine recreational fishing effort dynamics in Pinellas County. The report first describes trends in annual fishing effort–in terms of overall effort, and by</w:t>
      </w:r>
      <w:r>
        <w:t xml:space="preserve"> </w:t>
      </w:r>
      <w:r>
        <w:rPr>
          <w:b/>
          <w:bCs/>
        </w:rPr>
        <w:t xml:space="preserve">mode</w:t>
      </w:r>
      <w:r>
        <w:t xml:space="preserve"> </w:t>
      </w:r>
      <w:r>
        <w:t xml:space="preserve">and</w:t>
      </w:r>
      <w:r>
        <w:t xml:space="preserve"> </w:t>
      </w:r>
      <w:r>
        <w:rPr>
          <w:b/>
          <w:bCs/>
        </w:rPr>
        <w:t xml:space="preserve">area</w:t>
      </w:r>
      <w:r>
        <w:t xml:space="preserve"> </w:t>
      </w:r>
      <w:r>
        <w:t xml:space="preserve">for about the last years. This information may help understand:</w:t>
      </w:r>
    </w:p>
    <w:p>
      <w:pPr>
        <w:pStyle w:val="Compact"/>
        <w:numPr>
          <w:ilvl w:val="0"/>
          <w:numId w:val="1001"/>
        </w:numPr>
      </w:pPr>
      <w:r>
        <w:t xml:space="preserve">Changes in overall fishing expenditures and local fishing-related revenue. For example, increasing fishing effort would translate to increased local revenue from fishing.</w:t>
      </w:r>
    </w:p>
    <w:p>
      <w:pPr>
        <w:pStyle w:val="Compact"/>
        <w:numPr>
          <w:ilvl w:val="0"/>
          <w:numId w:val="1001"/>
        </w:numPr>
      </w:pPr>
      <w:r>
        <w:t xml:space="preserve">Changes in availability or enjoyment of fishing. For example, decreasing trends in fishing effort might reflect environmental disturbances like harmful algal blooms.</w:t>
      </w:r>
    </w:p>
    <w:p>
      <w:pPr>
        <w:pStyle w:val="Compact"/>
        <w:numPr>
          <w:ilvl w:val="0"/>
          <w:numId w:val="1001"/>
        </w:numPr>
      </w:pPr>
      <w:r>
        <w:t xml:space="preserve">Changes in the amount of “fishing pressure” or mortality exerted on fish populations. More effort will almost always mean more harvest and fishing mortality—though it is critical to understand that</w:t>
      </w:r>
      <w:r>
        <w:t xml:space="preserve"> </w:t>
      </w:r>
      <w:r>
        <w:rPr>
          <w:b/>
          <w:bCs/>
        </w:rPr>
        <w:t xml:space="preserve">fishing effort information alone is not enough to understand fishing sustainability.</w:t>
      </w:r>
    </w:p>
    <w:p>
      <w:pPr>
        <w:pStyle w:val="FirstParagraph"/>
      </w:pPr>
      <w:r>
        <w:t xml:space="preserve">This report also describes seasonal trends (percent of trips taken each month) averaged over years 2021-2025. This information is reported in terms of overall effort, and by</w:t>
      </w:r>
      <w:r>
        <w:t xml:space="preserve"> </w:t>
      </w:r>
      <w:r>
        <w:rPr>
          <w:b/>
          <w:bCs/>
        </w:rPr>
        <w:t xml:space="preserve">mode</w:t>
      </w:r>
      <w:r>
        <w:t xml:space="preserve"> </w:t>
      </w:r>
      <w:r>
        <w:t xml:space="preserve">and</w:t>
      </w:r>
      <w:r>
        <w:t xml:space="preserve"> </w:t>
      </w:r>
      <w:r>
        <w:rPr>
          <w:b/>
          <w:bCs/>
        </w:rPr>
        <w:t xml:space="preserve">area</w:t>
      </w:r>
      <w:r>
        <w:t xml:space="preserve">. Seasonal trends in fishing effort might be used slightly differently. These trends can inform:</w:t>
      </w:r>
    </w:p>
    <w:p>
      <w:pPr>
        <w:pStyle w:val="Compact"/>
        <w:numPr>
          <w:ilvl w:val="0"/>
          <w:numId w:val="1002"/>
        </w:numPr>
      </w:pPr>
      <w:r>
        <w:t xml:space="preserve">Timing of advertisements for tourism-based local fishing. For example, does it make more sense to advertise for Pinellas County recreational fishing more in the winter or in the summer? This information can be fine-tuned for the fishing</w:t>
      </w:r>
      <w:r>
        <w:t xml:space="preserve"> </w:t>
      </w:r>
      <w:r>
        <w:rPr>
          <w:b/>
          <w:bCs/>
        </w:rPr>
        <w:t xml:space="preserve">mode</w:t>
      </w:r>
      <w:r>
        <w:t xml:space="preserve">, especially the for-hire mode.</w:t>
      </w:r>
    </w:p>
    <w:p>
      <w:pPr>
        <w:pStyle w:val="Compact"/>
        <w:numPr>
          <w:ilvl w:val="0"/>
          <w:numId w:val="1002"/>
        </w:numPr>
      </w:pPr>
      <w:r>
        <w:t xml:space="preserve">Local seasonal policies that might affect fishing, like shoreline access, as well as any policies affecting tourism (“peak” or “off-season” rates, etc.).</w:t>
      </w:r>
    </w:p>
    <w:p>
      <w:pPr>
        <w:pStyle w:val="Compact"/>
        <w:numPr>
          <w:ilvl w:val="0"/>
          <w:numId w:val="1002"/>
        </w:numPr>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 “mini” season for an especially desired species that coincides with peak for-hire fishing season might boost local economies.</w:t>
      </w:r>
    </w:p>
    <w:p>
      <w:pPr>
        <w:pStyle w:val="FirstParagraph"/>
      </w:pPr>
      <w:r>
        <w:t xml:space="preserve">Together, this information is intended to help local governance entities, like the Pinellas County Tourist Development Council, Chamber of Commerce, and Board of County Commissioners, access and use data that can help them better serve their constituents and sustain or improve the economic effects of marine recreational fishing in Pinellas County.</w:t>
      </w:r>
    </w:p>
    <w:p>
      <w:pPr>
        <w:pStyle w:val="BodyText"/>
      </w:pPr>
      <w:r>
        <w:rPr>
          <w:i/>
          <w:iCs/>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12">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1995-2025. Future reports will show updated data as they are available.</w:t>
      </w:r>
    </w:p>
    <w:p>
      <w:r>
        <w:br w:type="page"/>
      </w:r>
    </w:p>
    <w:bookmarkEnd w:id="13"/>
    <w:bookmarkStart w:id="16" w:name="noaa-fisheries-mrip-background"/>
    <w:p>
      <w:pPr>
        <w:pStyle w:val="Heading2"/>
      </w:pPr>
      <w:r>
        <w:t xml:space="preserve">NOAA Fisheries MRIP background</w:t>
      </w:r>
    </w:p>
    <w:p>
      <w:pPr>
        <w:pStyle w:val="FirstParagraph"/>
      </w:pPr>
      <w:r>
        <w:rPr>
          <w:i/>
          <w:iCs/>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pStyle w:val="Compact"/>
        <w:numPr>
          <w:ilvl w:val="0"/>
          <w:numId w:val="1003"/>
        </w:numPr>
      </w:pPr>
      <w:r>
        <w:t xml:space="preserve">How many recreational fishing trips are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 “access point” or “intercept” survey designed to understand aspects of fishing trips like length of trip, origin, target species, etc. These surveys are called</w:t>
      </w:r>
      <w:r>
        <w:t xml:space="preserve"> </w:t>
      </w:r>
      <w:r>
        <w:t xml:space="preserve">“intercept”</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rPr>
          <w:b/>
          <w:bCs/>
        </w:rPr>
        <w:t xml:space="preserve">mode</w:t>
      </w:r>
      <w:r>
        <w:t xml:space="preserve">” and “</w:t>
      </w:r>
      <w:r>
        <w:rPr>
          <w:b/>
          <w:bCs/>
        </w:rPr>
        <w:t xml:space="preserve">area</w:t>
      </w:r>
      <w:r>
        <w:t xml:space="preserve">”.</w:t>
      </w:r>
      <w:r>
        <w:t xml:space="preserve"> </w:t>
      </w:r>
      <w:r>
        <w:rPr>
          <w:b/>
          <w:bCs/>
        </w:rPr>
        <w:t xml:space="preserve">Mode</w:t>
      </w:r>
      <w:r>
        <w:t xml:space="preserve"> </w:t>
      </w:r>
      <w:r>
        <w:t xml:space="preserve">describes the “type” of fishing trip, and there are three modes:</w:t>
      </w:r>
    </w:p>
    <w:p>
      <w:pPr>
        <w:pStyle w:val="Compact"/>
        <w:numPr>
          <w:ilvl w:val="0"/>
          <w:numId w:val="1004"/>
        </w:numPr>
      </w:pPr>
      <w:r>
        <w:t xml:space="preserve">shore-based fishing (fishing without a boat, like a jetty, pier, beach, etc.).</w:t>
      </w:r>
    </w:p>
    <w:p>
      <w:pPr>
        <w:pStyle w:val="Compact"/>
        <w:numPr>
          <w:ilvl w:val="0"/>
          <w:numId w:val="1004"/>
        </w:numPr>
      </w:pPr>
      <w:r>
        <w:t xml:space="preserve">for-hire fishing (fishing trips where the angler pays someone to take them, including guided or chartered trips)</w:t>
      </w:r>
      <w:r>
        <w:t xml:space="preserve"> </w:t>
      </w:r>
      <w:r>
        <w:rPr>
          <w:b/>
          <w:bCs/>
        </w:rPr>
        <w:t xml:space="preserve">Note, while headboat and party boats are considered part of the for-hire sector, they are surveyed under a different NOAA Fisheries program in the Southeastern US and their data is not incorporated into these effort estimates.</w:t>
      </w:r>
    </w:p>
    <w:p>
      <w:pPr>
        <w:pStyle w:val="Compact"/>
        <w:numPr>
          <w:ilvl w:val="0"/>
          <w:numId w:val="1004"/>
        </w:numPr>
      </w:pPr>
      <w:r>
        <w:t xml:space="preserve">private/rental (fishing from a personal or rented boat).</w:t>
      </w:r>
    </w:p>
    <w:p>
      <w:pPr>
        <w:pStyle w:val="FirstParagraph"/>
      </w:pPr>
      <w:r>
        <w:t xml:space="preserve">While private/rental fishing trips are somewhat the most “obvious” 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
          <w:bCs/>
        </w:rPr>
        <w:t xml:space="preserve">Area</w:t>
      </w:r>
      <w:r>
        <w:t xml:space="preserve"> </w:t>
      </w:r>
      <w:r>
        <w:t xml:space="preserve">refers to the area fished, in terms of rough distance from shore. There are also three area options:</w:t>
      </w:r>
    </w:p>
    <w:p>
      <w:pPr>
        <w:pStyle w:val="Compact"/>
        <w:numPr>
          <w:ilvl w:val="0"/>
          <w:numId w:val="1005"/>
        </w:numPr>
      </w:pPr>
      <w:r>
        <w:t xml:space="preserve">inland, which includes most brackish or protected salt waters that are not part of the open ocean or gulf</w:t>
      </w:r>
    </w:p>
    <w:p>
      <w:pPr>
        <w:pStyle w:val="Compact"/>
        <w:numPr>
          <w:ilvl w:val="0"/>
          <w:numId w:val="1005"/>
        </w:numPr>
      </w:pPr>
      <w:r>
        <w:t xml:space="preserve">nearshore waters, which are open ocean/gulf but within state-managed waters (less than 3 miles from shore in the Atlantic Ocean, less than 10 miles in the Gulf of Mexico)</w:t>
      </w:r>
    </w:p>
    <w:p>
      <w:pPr>
        <w:pStyle w:val="Compact"/>
        <w:numPr>
          <w:ilvl w:val="0"/>
          <w:numId w:val="1005"/>
        </w:numPr>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Pinellas, these areas can be used as rough proxies for the type of fishing going on (e.g., inshore vs. offshore fishing).</w:t>
      </w:r>
    </w:p>
    <w:p>
      <w:pPr>
        <w:pStyle w:val="BodyText"/>
      </w:pPr>
      <w:r>
        <w:rPr>
          <w:i/>
          <w:iCs/>
        </w:rPr>
        <w:t xml:space="preserve">What MRIP information does this report use?</w:t>
      </w:r>
      <w:r>
        <w:br/>
      </w:r>
      <w:r>
        <w:t xml:space="preserve">This report uses the estimates from fishing effort derived from MRIP. This means that the information provided here about fishing effort in Pinellas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Pinellas County were made in each mode or area. For the seasonal estimates, only the estimates are provided for simplicity.</w:t>
      </w:r>
    </w:p>
    <w:p>
      <w:pPr>
        <w:pStyle w:val="BodyText"/>
      </w:pPr>
      <w:r>
        <w:rPr>
          <w:i/>
          <w:iCs/>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14">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15">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16"/>
    <w:bookmarkStart w:id="25" w:name="overall-recreational-fishing-effort"/>
    <w:p>
      <w:pPr>
        <w:pStyle w:val="Heading2"/>
      </w:pPr>
      <w:r>
        <w:t xml:space="preserve">Overall Recreational Fishing Effort</w:t>
      </w:r>
    </w:p>
    <w:p>
      <w:pPr>
        <w:pStyle w:val="FirstParagraph"/>
      </w:pPr>
      <w:r>
        <w:t xml:space="preserve">This information and figures describe the total marine recreational fishing effort—that is, combined or “pooled” across all</w:t>
      </w:r>
      <w:r>
        <w:t xml:space="preserve"> </w:t>
      </w:r>
      <w:r>
        <w:rPr>
          <w:b/>
          <w:bCs/>
        </w:rPr>
        <w:t xml:space="preserve">modes</w:t>
      </w:r>
      <w:r>
        <w:t xml:space="preserve"> </w:t>
      </w:r>
      <w:r>
        <w:t xml:space="preserve">(types of fishing) and</w:t>
      </w:r>
      <w:r>
        <w:t xml:space="preserve"> </w:t>
      </w:r>
      <w:r>
        <w:rPr>
          <w:b/>
          <w:bCs/>
        </w:rPr>
        <w:t xml:space="preserve">areas</w:t>
      </w:r>
      <w:r>
        <w:t xml:space="preserve"> </w:t>
      </w:r>
      <w:r>
        <w:t xml:space="preserve">(distances from shore). The data are described first with an annual time series plot (</w:t>
      </w:r>
      <w:r>
        <w:rPr>
          <w:b/>
          <w:bCs/>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bookmarkStart w:id="20" w:name="annual-effort-time-series"/>
    <w:p>
      <w:pPr>
        <w:pStyle w:val="Heading3"/>
      </w:pPr>
      <w:r>
        <w:t xml:space="preserve">Annual Effort Time Series</w:t>
      </w:r>
    </w:p>
    <w:p>
      <w:pPr>
        <w:pStyle w:val="FirstParagraph"/>
      </w:pPr>
      <w:r>
        <w:t xml:space="preserve">The annual marine recreational fishing effort for all fishing trips from Pinellas County waters are shown in</w:t>
      </w:r>
      <w:r>
        <w:t xml:space="preserve"> </w:t>
      </w:r>
      <w:r>
        <w:rPr>
          <w:b/>
          <w:bCs/>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Pinellas County.</w:t>
      </w:r>
    </w:p>
    <w:p>
      <w:pPr>
        <w:pStyle w:val="CaptionedFigure"/>
      </w:pPr>
      <w:r>
        <w:drawing>
          <wp:inline>
            <wp:extent cx="5334000" cy="3556000"/>
            <wp:effectExtent b="0" l="0" r="0" t="0"/>
            <wp:docPr descr="Figure 1. Pinellas County overall fishing effort from 1995-2025 all modes, areas, and seasons. The dark blue line is the most likely number of trips and the light blue area shows the uncertainty. Absence of uncertainty can indicate sparse data." title="" id="18" name="Picture"/>
            <a:graphic>
              <a:graphicData uri="http://schemas.openxmlformats.org/drawingml/2006/picture">
                <pic:pic>
                  <pic:nvPicPr>
                    <pic:cNvPr descr="2025_Effort_Pinellas_full_files/2025_Effort_Pinellas_full_files/figure-docx/fig1-1.png" id="19" name="Picture"/>
                    <pic:cNvPicPr>
                      <a:picLocks noChangeArrowheads="1" noChangeAspect="1"/>
                    </pic:cNvPicPr>
                  </pic:nvPicPr>
                  <pic:blipFill>
                    <a:blip r:embed="rId1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b/>
          <w:bCs/>
        </w:rPr>
        <w:t xml:space="preserve">Figure 1.</w:t>
      </w:r>
      <w:r>
        <w:rPr>
          <w:b/>
          <w:bCs/>
        </w:rPr>
        <w:t xml:space="preserve"> </w:t>
      </w:r>
      <w:r>
        <w:t xml:space="preserve">Pinellas County overall fishing effort from 1995-2025 all modes, areas, and seasons. The dark blue line is the most likely number of trips and the light blue area shows the uncertainty. Absence of uncertainty can indicate sparse data.</w:t>
      </w:r>
    </w:p>
    <w:p>
      <w:r>
        <w:br w:type="page"/>
      </w:r>
    </w:p>
    <w:bookmarkEnd w:id="20"/>
    <w:bookmarkStart w:id="24" w:name="X4cb82fbc6bd6cd89248e83de1b4d69c9bd59207"/>
    <w:p>
      <w:pPr>
        <w:pStyle w:val="Heading3"/>
      </w:pPr>
      <w:r>
        <w:t xml:space="preserve">Seasonal Patterns in overall fishing effort</w:t>
      </w:r>
    </w:p>
    <w:p>
      <w:pPr>
        <w:pStyle w:val="FirstParagraph"/>
      </w:pPr>
      <w:r>
        <w:t xml:space="preserve">For almost all counties, fishing effort follows seasonal patterns with more effort in some months than others. These patterns can be shown by looking at the percent of effort that occurs in each month (</w:t>
      </w:r>
      <w:r>
        <w:rPr>
          <w:b/>
          <w:bCs/>
        </w:rPr>
        <w:t xml:space="preserve">Figure 2</w:t>
      </w:r>
      <w:r>
        <w:t xml:space="preserve">). These data are shown without error estimates for simplicity, but the data shown are for years 2021-2025 combined. Combining multiple years helps to smooth out strange patterns from random sampling and anomalous events that might occur in a single year.</w:t>
      </w:r>
    </w:p>
    <w:p>
      <w:pPr>
        <w:pStyle w:val="CaptionedFigure"/>
      </w:pPr>
      <w:r>
        <w:drawing>
          <wp:inline>
            <wp:extent cx="5334000" cy="2909454"/>
            <wp:effectExtent b="0" l="0" r="0" t="0"/>
            <wp:docPr descr="Figure 2. Pinellas County seasonal patterns of fishing effort, all modes, and areas.** The percent of total effort from years 2021-2025 occurring in each month is shown. The colors help to identify months with greater or lesser percent of effort. Greater percent of effort are warmer, more pink colors, and lesser are cooler, more blue colors." title="" id="22" name="Picture"/>
            <a:graphic>
              <a:graphicData uri="http://schemas.openxmlformats.org/drawingml/2006/picture">
                <pic:pic>
                  <pic:nvPicPr>
                    <pic:cNvPr descr="2025_Effort_Pinellas_full_files/2025_Effort_Pinellas_full_files/figure-docx/fig2-1.png" id="23" name="Picture"/>
                    <pic:cNvPicPr>
                      <a:picLocks noChangeArrowheads="1" noChangeAspect="1"/>
                    </pic:cNvPicPr>
                  </pic:nvPicPr>
                  <pic:blipFill>
                    <a:blip r:embed="rId21"/>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b/>
          <w:bCs/>
        </w:rPr>
        <w:t xml:space="preserve">Figure 2.</w:t>
      </w:r>
      <w:r>
        <w:rPr>
          <w:b/>
          <w:bCs/>
        </w:rPr>
        <w:t xml:space="preserve"> </w:t>
      </w:r>
      <w:r>
        <w:t xml:space="preserve">Pinellas County seasonal patterns of fishing effort, all modes, and areas.** The percent of total effort from years 2021-2025 occurring in each month is shown. The colors help to identify months with greater or lesser percent of effort. Greater percent of effort are warmer, more pink colors, and lesser are cooler, more blue colors.</w:t>
      </w:r>
    </w:p>
    <w:p>
      <w:r>
        <w:br w:type="page"/>
      </w:r>
    </w:p>
    <w:bookmarkEnd w:id="24"/>
    <w:bookmarkEnd w:id="25"/>
    <w:bookmarkStart w:id="34" w:name="fishing-effort-by-mode"/>
    <w:p>
      <w:pPr>
        <w:pStyle w:val="Heading2"/>
      </w:pPr>
      <w:r>
        <w:t xml:space="preserve">Fishing Effort by Mode</w:t>
      </w:r>
    </w:p>
    <w:p>
      <w:pPr>
        <w:pStyle w:val="FirstParagraph"/>
      </w:pPr>
      <w:r>
        <w:t xml:space="preserve">The</w:t>
      </w:r>
      <w:r>
        <w:t xml:space="preserve"> </w:t>
      </w:r>
      <w:r>
        <w:rPr>
          <w:b/>
          <w:bCs/>
        </w:rPr>
        <w:t xml:space="preserve">mode</w:t>
      </w:r>
      <w:r>
        <w:t xml:space="preserve"> </w:t>
      </w:r>
      <w:r>
        <w:t xml:space="preserve">describes the type of fishing trip– shore-based, for-hire, or private/rental vessel. Note, the for-hire effort shown here does not include headboat and partyboat effort, but instead is charter and guided fishing effort. We first show the time series of fishing trips by mode from 1995 to 2025 to describe trends over time (</w:t>
      </w:r>
      <w:r>
        <w:rPr>
          <w:b/>
          <w:bCs/>
        </w:rPr>
        <w:t xml:space="preserve">Figure 3</w:t>
      </w:r>
      <w:r>
        <w:t xml:space="preserve">). Then we show seasonal patterns as the percent of all trips from 2021 to 2025 occurring in each month (</w:t>
      </w:r>
      <w:r>
        <w:rPr>
          <w:b/>
          <w:bCs/>
        </w:rPr>
        <w:t xml:space="preserve">Figure 4</w:t>
      </w:r>
      <w:r>
        <w:t xml:space="preserve">).</w:t>
      </w:r>
    </w:p>
    <w:bookmarkStart w:id="29" w:name="effort-time-series-by-mode"/>
    <w:p>
      <w:pPr>
        <w:pStyle w:val="Heading3"/>
      </w:pPr>
      <w:r>
        <w:t xml:space="preserve">Effort time series by mode</w:t>
      </w:r>
    </w:p>
    <w:p>
      <w:pPr>
        <w:pStyle w:val="FirstParagraph"/>
      </w:pP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CaptionedFigure"/>
      </w:pPr>
      <w:r>
        <w:drawing>
          <wp:inline>
            <wp:extent cx="5334000" cy="4741333"/>
            <wp:effectExtent b="0" l="0" r="0" t="0"/>
            <wp:docPr descr="Figure 3. Trends in Pinellas County fishing effort by mode, for all areas and seasons. The dark blue line is the most likely number of trips and the light blue area shows the uncertainty. Absence of light blue uncertainty bands can indicate sparse data." title="" id="27" name="Picture"/>
            <a:graphic>
              <a:graphicData uri="http://schemas.openxmlformats.org/drawingml/2006/picture">
                <pic:pic>
                  <pic:nvPicPr>
                    <pic:cNvPr descr="2025_Effort_Pinellas_full_files/2025_Effort_Pinellas_full_files/figure-docx/fig3-1.png" id="28" name="Picture"/>
                    <pic:cNvPicPr>
                      <a:picLocks noChangeArrowheads="1" noChangeAspect="1"/>
                    </pic:cNvPicPr>
                  </pic:nvPicPr>
                  <pic:blipFill>
                    <a:blip r:embed="rId26"/>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Trends in Pinellas County fishing effort by mode, for all areas and seasons. The dark blue line is the most likely number of trips and the light blue area shows the uncertainty. Absence of light blue uncertainty bands can indicate sparse data.</w:t>
      </w:r>
    </w:p>
    <w:p>
      <w:r>
        <w:br w:type="page"/>
      </w:r>
    </w:p>
    <w:bookmarkEnd w:id="29"/>
    <w:bookmarkStart w:id="33" w:name="Xff5282f53e36181ce24dc57af7a74ae4a2ce7f7"/>
    <w:p>
      <w:pPr>
        <w:pStyle w:val="Heading3"/>
      </w:pPr>
      <w:r>
        <w:t xml:space="preserve">Seasonal patterns in fishing effort by mode</w:t>
      </w:r>
    </w:p>
    <w:p>
      <w:pPr>
        <w:pStyle w:val="FirstParagraph"/>
      </w:pP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2021-2025 that occurred in each month (</w:t>
      </w:r>
      <w:r>
        <w:rPr>
          <w:b/>
          <w:bCs/>
        </w:rPr>
        <w:t xml:space="preserve">Figure 4</w:t>
      </w:r>
      <w:r>
        <w:t xml:space="preserve">).</w:t>
      </w:r>
    </w:p>
    <w:p>
      <w:pPr>
        <w:pStyle w:val="CaptionedFigure"/>
      </w:pPr>
      <w:r>
        <w:drawing>
          <wp:inline>
            <wp:extent cx="5334000" cy="4000500"/>
            <wp:effectExtent b="0" l="0" r="0" t="0"/>
            <wp:docPr descr="Figure 4. Percent of Pinellas County effort from years r tmplist$mrip_seas_years by month for each mode, pooled across areas. The colors help to identify months with greater or lesser percent of effort. Greater percent of effort are warmer, pinker colors, and lesser are cooler, more blue colors." title="" id="31" name="Picture"/>
            <a:graphic>
              <a:graphicData uri="http://schemas.openxmlformats.org/drawingml/2006/picture">
                <pic:pic>
                  <pic:nvPicPr>
                    <pic:cNvPr descr="2025_Effort_Pinellas_full_files/2025_Effort_Pinellas_full_files/figure-docx/fig4-1.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Percent of Pinellas County effort from years</w:t>
      </w:r>
      <w:r>
        <w:t xml:space="preserve"> </w:t>
      </w:r>
      <w:r>
        <w:rPr>
          <w:rStyle w:val="VerbatimChar"/>
        </w:rPr>
        <w:t xml:space="preserve">r tmplist$mrip_seas_years</w:t>
      </w:r>
      <w:r>
        <w:t xml:space="preserve"> </w:t>
      </w:r>
      <w:r>
        <w:t xml:space="preserve">by month for each mode, pooled across areas. The colors help to identify months with greater or lesser percent of effort. Greater percent of effort are warmer, pinker colors, and lesser are cooler, more blue colors.</w:t>
      </w:r>
    </w:p>
    <w:p>
      <w:r>
        <w:br w:type="page"/>
      </w:r>
    </w:p>
    <w:bookmarkEnd w:id="33"/>
    <w:bookmarkEnd w:id="34"/>
    <w:bookmarkStart w:id="43" w:name="fishing-effort-by-area"/>
    <w:p>
      <w:pPr>
        <w:pStyle w:val="Heading2"/>
      </w:pPr>
      <w:r>
        <w:t xml:space="preserve">Fishing Effort by Area</w:t>
      </w:r>
    </w:p>
    <w:p>
      <w:pPr>
        <w:pStyle w:val="FirstParagraph"/>
      </w:pPr>
      <w:r>
        <w:t xml:space="preserve">The</w:t>
      </w:r>
      <w:r>
        <w:t xml:space="preserve"> </w:t>
      </w:r>
      <w:r>
        <w:rPr>
          <w:b/>
          <w:bCs/>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
          <w:bCs/>
        </w:rPr>
        <w:t xml:space="preserve">Figure 5</w:t>
      </w:r>
      <w:r>
        <w:t xml:space="preserve">) and the seasonal patterns by month (</w:t>
      </w:r>
      <w:r>
        <w:rPr>
          <w:b/>
          <w:bCs/>
        </w:rPr>
        <w:t xml:space="preserve">Figure 6</w:t>
      </w:r>
      <w:r>
        <w:t xml:space="preserve">)</w:t>
      </w:r>
    </w:p>
    <w:bookmarkStart w:id="38" w:name="effort-time-series-by-area"/>
    <w:p>
      <w:pPr>
        <w:pStyle w:val="Heading3"/>
      </w:pPr>
      <w:r>
        <w:t xml:space="preserve">Effort time series by area</w:t>
      </w:r>
    </w:p>
    <w:p>
      <w:pPr>
        <w:pStyle w:val="FirstParagraph"/>
      </w:pP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CaptionedFigure"/>
      </w:pPr>
      <w:r>
        <w:drawing>
          <wp:inline>
            <wp:extent cx="5334000" cy="4000500"/>
            <wp:effectExtent b="0" l="0" r="0" t="0"/>
            <wp:docPr descr="Figure 5. Trends in Pinellas County fishing effort by area, for all modes and seasons. The dark blue line is the most likely number of trips, and the light blue area shows the uncertainty. Absence of uncertainty can indicate sparse data." title="" id="36" name="Picture"/>
            <a:graphic>
              <a:graphicData uri="http://schemas.openxmlformats.org/drawingml/2006/picture">
                <pic:pic>
                  <pic:nvPicPr>
                    <pic:cNvPr descr="2025_Effort_Pinellas_full_files/2025_Effort_Pinellas_full_files/figure-docx/fig5-1.png" id="37" name="Picture"/>
                    <pic:cNvPicPr>
                      <a:picLocks noChangeArrowheads="1" noChangeAspect="1"/>
                    </pic:cNvPicPr>
                  </pic:nvPicPr>
                  <pic:blipFill>
                    <a:blip r:embed="rId3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Trends in Pinellas County fishing effort by area, for all modes and seasons. The dark blue line is the most likely number of trips, and the light blue area shows the uncertainty. Absence of uncertainty can indicate sparse data.</w:t>
      </w:r>
    </w:p>
    <w:p>
      <w:r>
        <w:br w:type="page"/>
      </w:r>
    </w:p>
    <w:bookmarkEnd w:id="38"/>
    <w:bookmarkStart w:id="42" w:name="X2de94e2e8ad4f5645e9f8ac09fd617eede41138"/>
    <w:p>
      <w:pPr>
        <w:pStyle w:val="Heading3"/>
      </w:pPr>
      <w:r>
        <w:t xml:space="preserve">Seasonal Patterns in fishing effort by area</w:t>
      </w:r>
    </w:p>
    <w:p>
      <w:pPr>
        <w:pStyle w:val="FirstParagraph"/>
      </w:pP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(2021-2025) that occurred in each month (</w:t>
      </w:r>
      <w:r>
        <w:rPr>
          <w:b/>
          <w:bCs/>
        </w:rPr>
        <w:t xml:space="preserve">Figure 6</w:t>
      </w:r>
      <w:r>
        <w:t xml:space="preserve">).</w:t>
      </w:r>
    </w:p>
    <w:p>
      <w:pPr>
        <w:pStyle w:val="CaptionedFigure"/>
      </w:pPr>
      <w:r>
        <w:drawing>
          <wp:inline>
            <wp:extent cx="5334000" cy="4148666"/>
            <wp:effectExtent b="0" l="0" r="0" t="0"/>
            <wp:docPr descr="Figure 6. Percent of Pinellas County effort from years 2021-2025 by area for each area, pooled across modes. The colors simply help to identify months with greater or lesser percent of effort. Greater percent of effort are warmer, pinker colors, and lesser are cooler, more blue colors." title="" id="40" name="Picture"/>
            <a:graphic>
              <a:graphicData uri="http://schemas.openxmlformats.org/drawingml/2006/picture">
                <pic:pic>
                  <pic:nvPicPr>
                    <pic:cNvPr descr="2025_Effort_Pinellas_full_files/2025_Effort_Pinellas_full_files/figure-docx/fig6-1.png" id="41" name="Picture"/>
                    <pic:cNvPicPr>
                      <a:picLocks noChangeArrowheads="1" noChangeAspect="1"/>
                    </pic:cNvPicPr>
                  </pic:nvPicPr>
                  <pic:blipFill>
                    <a:blip r:embed="rId39"/>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Percent of Pinellas County effort from years 2021-2025 by area for each area, pooled across modes. The colors simply help to identify months with greater or lesser percent of effort. Greater percent of effort are warmer, pinker colors, and lesser are cooler, more blue colors.</w:t>
      </w:r>
    </w:p>
    <w:p>
      <w:r>
        <w:br w:type="page"/>
      </w:r>
    </w:p>
    <w:bookmarkEnd w:id="42"/>
    <w:bookmarkEnd w:id="43"/>
    <w:bookmarkStart w:id="44" w:name="summary"/>
    <w:p>
      <w:pPr>
        <w:pStyle w:val="Heading2"/>
      </w:pPr>
      <w:r>
        <w:t xml:space="preserve">Summary</w:t>
      </w:r>
    </w:p>
    <w:p>
      <w:pPr>
        <w:pStyle w:val="FirstParagraph"/>
      </w:pPr>
      <w:r>
        <w:t xml:space="preserve">This document describes the estimated marine recreational fishing effort in Pinellas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Pinellas County are:</w:t>
      </w:r>
    </w:p>
    <w:p>
      <w:pPr>
        <w:pStyle w:val="Compact"/>
        <w:numPr>
          <w:ilvl w:val="0"/>
          <w:numId w:val="1006"/>
        </w:numPr>
      </w:pPr>
      <w:r>
        <w:t xml:space="preserve">Overall effort over the last five years is substantially less that the previous 20</w:t>
      </w:r>
    </w:p>
    <w:p>
      <w:pPr>
        <w:pStyle w:val="Compact"/>
        <w:numPr>
          <w:ilvl w:val="0"/>
          <w:numId w:val="1006"/>
        </w:numPr>
      </w:pPr>
      <w:r>
        <w:t xml:space="preserve">The majority of effort comes from the Shore-based mode</w:t>
      </w:r>
    </w:p>
    <w:p>
      <w:pPr>
        <w:pStyle w:val="Compact"/>
        <w:numPr>
          <w:ilvl w:val="0"/>
          <w:numId w:val="1006"/>
        </w:numPr>
      </w:pPr>
      <w:r>
        <w:t xml:space="preserve">Seasonally, effort is spread fairly evently thorughout the year.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44"/>
    <w:bookmarkStart w:id="48" w:name="references"/>
    <w:p>
      <w:pPr>
        <w:pStyle w:val="Heading2"/>
      </w:pPr>
      <w:r>
        <w:t xml:space="preserve">References</w:t>
      </w:r>
    </w:p>
    <w:bookmarkStart w:id="47" w:name="refs"/>
    <w:bookmarkStart w:id="45" w:name="ref-NOAA_2017"/>
    <w:p>
      <w:pPr>
        <w:pStyle w:val="Bibliography"/>
      </w:pPr>
      <w:r>
        <w:t xml:space="preserve">NOAA, National Marine Fisheries Service. 2017.</w:t>
      </w:r>
      <w:r>
        <w:t xml:space="preserve"> </w:t>
      </w:r>
      <w:r>
        <w:rPr>
          <w:i/>
          <w:iCs/>
        </w:rPr>
        <w:t xml:space="preserve">Fisheries Economics of the United States, 2015</w:t>
      </w:r>
      <w:r>
        <w:t xml:space="preserve">. NOAA Tech. Memo. NMFS-F/SPO-170. U.S. Depart. of Commerce.</w:t>
      </w:r>
    </w:p>
    <w:bookmarkEnd w:id="45"/>
    <w:bookmarkStart w:id="46" w:name="ref-USFWS_2011"/>
    <w:p>
      <w:pPr>
        <w:pStyle w:val="Bibliography"/>
      </w:pPr>
      <w:r>
        <w:t xml:space="preserve">USFWS, U. S. Fish Wildlife Service. 2011.</w:t>
      </w:r>
      <w:r>
        <w:t xml:space="preserve"> </w:t>
      </w:r>
      <w:r>
        <w:rPr>
          <w:i/>
          <w:iCs/>
        </w:rPr>
        <w:t xml:space="preserve">National Survey of Fishing, Hunting, and Wildlife-Associated Recreation</w:t>
      </w:r>
      <w:r>
        <w:t xml:space="preserve">. U.S. Depart. of Commerce.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hyperlink" Id="rId12" Target="https://www.fisheries.noaa.gov/recreational-fishing-data/data-downloads" TargetMode="External" /><Relationship Type="http://schemas.openxmlformats.org/officeDocument/2006/relationships/hyperlink" Id="rId14" Target="https://www.fisheries.noaa.gov/topic/recreational-fishing-data" TargetMode="External" /><Relationship Type="http://schemas.openxmlformats.org/officeDocument/2006/relationships/hyperlink" Id="rId15" Target="https://www.gmri.org/our-work/fisheries-convening/mrep-southeast" TargetMode="External" /><Relationship Type="http://schemas.openxmlformats.org/officeDocument/2006/relationships/hyperlink" Id="rId10" Target="mailto:a.braswell@ufl.edu" TargetMode="External" /><Relationship Type="http://schemas.openxmlformats.org/officeDocument/2006/relationships/hyperlink" Id="rId9" Target="mailto:edvcamp@ufl.edu" TargetMode="External" /></Relationships>
</file>

<file path=word/_rels/footnotes.xml.rels><?xml version="1.0" encoding="UTF-8"?><Relationships xmlns="http://schemas.openxmlformats.org/package/2006/relationships"><Relationship Type="http://schemas.openxmlformats.org/officeDocument/2006/relationships/hyperlink" Id="rId12" Target="https://www.fisheries.noaa.gov/recreational-fishing-data/data-downloads" TargetMode="External" /><Relationship Type="http://schemas.openxmlformats.org/officeDocument/2006/relationships/hyperlink" Id="rId14" Target="https://www.fisheries.noaa.gov/topic/recreational-fishing-data" TargetMode="External" /><Relationship Type="http://schemas.openxmlformats.org/officeDocument/2006/relationships/hyperlink" Id="rId15" Target="https://www.gmri.org/our-work/fisheries-convening/mrep-southeast" TargetMode="External" /><Relationship Type="http://schemas.openxmlformats.org/officeDocument/2006/relationships/hyperlink" Id="rId10" Target="mailto:a.braswell@ufl.edu" TargetMode="External" /><Relationship Type="http://schemas.openxmlformats.org/officeDocument/2006/relationships/hyperlink" Id="rId9"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Pinellas County</dc:title>
  <dc:creator>A data report for the Pinellas County Tourist Development Council, Chamber of Commerce, and Board of County Commissioners prepared by:; Edward Camp, Associate Professor of Fisheries and Aquaculture Governance, University of Florida, edvcamp@ufl.edu; Anna Braswell, Assistant Professor of Coastal Ecosystems and Watersheds, University of Florida, a.braswell@ufl.edu; Florida Sea Grant Extension Agent Pinellas County</dc:creator>
  <cp:keywords/>
  <dcterms:created xsi:type="dcterms:W3CDTF">2026-08-04T17:38:12Z</dcterms:created>
  <dcterms:modified xsi:type="dcterms:W3CDTF">2026-08-04T17:38:12Z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ies>
</file>