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0A1628"/>
          <w:sz w:val="48"/>
          <w:szCs w:val="48"/>
        </w:rPr>
        <w:t xml:space="preserve">HCCS</w:t>
      </w:r>
      <w:r>
        <w:rPr>
          <w:rFonts w:ascii="Arial" w:cs="Arial" w:eastAsia="Arial" w:hAnsi="Arial"/>
          <w:b/>
          <w:bCs/>
          <w:color w:val="185FA5"/>
          <w:sz w:val="48"/>
          <w:szCs w:val="48"/>
        </w:rPr>
        <w:t xml:space="preserve"> Standard</w:t>
      </w:r>
      <w:r>
        <w:rPr>
          <w:rFonts w:ascii="Arial" w:cs="Arial" w:eastAsia="Arial" w:hAnsi="Arial"/>
          <w:color w:val="185FA5"/>
          <w:sz w:val="28"/>
          <w:szCs w:val="28"/>
        </w:rPr>
        <w:t xml:space="preserve">™</w:t>
      </w:r>
    </w:p>
    <w:p>
      <w:pPr>
        <w:spacing w:before="100"/>
      </w:pPr>
    </w:p>
    <w:p>
      <w:pPr>
        <w:pBdr>
          <w:bottom w:val="single" w:color="2563EB" w:sz="6"/>
        </w:pBdr>
        <w:spacing w:after="200"/>
      </w:pPr>
    </w:p>
    <w:p>
      <w:pPr>
        <w:spacing w:before="100"/>
      </w:pPr>
    </w:p>
    <w:p>
      <w:r>
        <w:rPr>
          <w:rFonts w:ascii="Arial" w:cs="Arial" w:eastAsia="Arial" w:hAnsi="Arial"/>
          <w:b/>
          <w:bCs/>
          <w:color w:val="2563EB"/>
          <w:spacing w:val="120"/>
          <w:sz w:val="22"/>
          <w:szCs w:val="22"/>
        </w:rPr>
        <w:t xml:space="preserve">CASE STUDY</w:t>
      </w:r>
    </w:p>
    <w:p>
      <w:pPr>
        <w:spacing w:before="100"/>
      </w:pPr>
    </w:p>
    <w:p>
      <w:r>
        <w:rPr>
          <w:rFonts w:ascii="Arial" w:cs="Arial" w:eastAsia="Arial" w:hAnsi="Arial"/>
          <w:b/>
          <w:bCs/>
          <w:color w:val="0F172A"/>
          <w:sz w:val="40"/>
          <w:szCs w:val="40"/>
        </w:rPr>
        <w:t xml:space="preserve">The Effect of Agency-Supportive AI Design on Trust in Automation</w:t>
      </w:r>
    </w:p>
    <w:p>
      <w:pPr>
        <w:spacing w:before="200"/>
      </w:pPr>
    </w:p>
    <w:p>
      <w:r>
        <w:rPr>
          <w:rFonts w:ascii="Arial" w:cs="Arial" w:eastAsia="Arial" w:hAnsi="Arial"/>
          <w:i/>
          <w:iCs/>
          <w:color w:val="475569"/>
          <w:sz w:val="28"/>
          <w:szCs w:val="28"/>
        </w:rPr>
        <w:t xml:space="preserve">You cannot fix trust with a design change.</w:t>
      </w:r>
    </w:p>
    <w:p>
      <w:pPr>
        <w:spacing w:before="600"/>
      </w:pPr>
    </w:p>
    <w:p>
      <w:r>
        <w:rPr>
          <w:rFonts w:ascii="Arial" w:cs="Arial" w:eastAsia="Arial" w:hAnsi="Arial"/>
          <w:color w:val="1E293B"/>
          <w:sz w:val="22"/>
          <w:szCs w:val="22"/>
        </w:rPr>
        <w:t xml:space="preserve">Diane Malefyt</w:t>
      </w:r>
    </w:p>
    <w:p>
      <w:r>
        <w:rPr>
          <w:rFonts w:ascii="Arial" w:cs="Arial" w:eastAsia="Arial" w:hAnsi="Arial"/>
          <w:color w:val="94A3B8"/>
          <w:sz w:val="20"/>
          <w:szCs w:val="20"/>
        </w:rPr>
        <w:t xml:space="preserve">IngenuityCo LLC | hccsstandard.com</w:t>
      </w:r>
    </w:p>
    <w:p>
      <w:r>
        <w:rPr>
          <w:rFonts w:ascii="Arial" w:cs="Arial" w:eastAsia="Arial" w:hAnsi="Arial"/>
          <w:color w:val="94A3B8"/>
          <w:sz w:val="20"/>
          <w:szCs w:val="20"/>
        </w:rPr>
        <w:t xml:space="preserve">2026 | IRB-Approved Study | Evangel University</w:t>
      </w:r>
    </w:p>
    <w:p>
      <w:r>
        <w:br w:type="page"/>
      </w:r>
    </w:p>
    <w:p>
      <w:pPr>
        <w:pStyle w:val="Heading1"/>
      </w:pPr>
      <w:r>
        <w:t xml:space="preserve">Study Overview</w:t>
      </w:r>
    </w:p>
    <w:p>
      <w:pPr>
        <w:spacing w:after="120" w:line="276"/>
      </w:pPr>
      <w:r>
        <w:rPr>
          <w:rFonts w:ascii="Arial" w:cs="Arial" w:eastAsia="Arial" w:hAnsi="Arial"/>
          <w:color w:val="475569"/>
          <w:sz w:val="22"/>
          <w:szCs w:val="22"/>
        </w:rPr>
        <w:t xml:space="preserve">HCCS™ is grounded in original empirical research on how humans actually form trust in AI decision systems. The findings challenge the assumptions driving most AI adoption strategy and explain why governance, not design, is the only durable solution.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1F5F9" w:val="clear"/>
            <w:tcMar>
              <w:top w:type="dxa" w:w="120"/>
              <w:left w:type="dxa" w:w="80"/>
              <w:bottom w:type="dxa" w:w="120"/>
              <w:right w:type="dxa" w:w="80"/>
            </w:tcMar>
          </w:tcPr>
          <w:p>
            <w:pPr>
              <w:jc w:val="center"/>
            </w:pPr>
            <w:r>
              <w:rPr>
                <w:rFonts w:ascii="Arial" w:cs="Arial" w:eastAsia="Arial" w:hAnsi="Arial"/>
                <w:b/>
                <w:bCs/>
                <w:color w:val="0A1628"/>
                <w:sz w:val="36"/>
                <w:szCs w:val="36"/>
              </w:rPr>
              <w:t xml:space="preserve">319</w:t>
            </w:r>
          </w:p>
          <w:p>
            <w:pPr>
              <w:spacing w:before="40"/>
              <w:jc w:val="center"/>
            </w:pPr>
            <w:r>
              <w:rPr>
                <w:rFonts w:ascii="Arial" w:cs="Arial" w:eastAsia="Arial" w:hAnsi="Arial"/>
                <w:color w:val="94A3B8"/>
                <w:sz w:val="18"/>
                <w:szCs w:val="18"/>
              </w:rPr>
              <w:t xml:space="preserve">Participants</w:t>
            </w:r>
          </w:p>
        </w:tc>
        <w:tc>
          <w:tcPr>
            <w:tcW w:type="dxa" w:w="2340"/>
            <w:tcBorders>
              <w:top w:val="none" w:sz="0"/>
              <w:left w:val="none" w:sz="0"/>
              <w:bottom w:val="none" w:sz="0"/>
              <w:right w:val="none" w:sz="0"/>
            </w:tcBorders>
            <w:shd w:fill="F1F5F9" w:val="clear"/>
            <w:tcMar>
              <w:top w:type="dxa" w:w="120"/>
              <w:left w:type="dxa" w:w="80"/>
              <w:bottom w:type="dxa" w:w="120"/>
              <w:right w:type="dxa" w:w="80"/>
            </w:tcMar>
          </w:tcPr>
          <w:p>
            <w:pPr>
              <w:jc w:val="center"/>
            </w:pPr>
            <w:r>
              <w:rPr>
                <w:rFonts w:ascii="Arial" w:cs="Arial" w:eastAsia="Arial" w:hAnsi="Arial"/>
                <w:b/>
                <w:bCs/>
                <w:color w:val="0A1628"/>
                <w:sz w:val="36"/>
                <w:szCs w:val="36"/>
              </w:rPr>
              <w:t xml:space="preserve">3</w:t>
            </w:r>
          </w:p>
          <w:p>
            <w:pPr>
              <w:spacing w:before="40"/>
              <w:jc w:val="center"/>
            </w:pPr>
            <w:r>
              <w:rPr>
                <w:rFonts w:ascii="Arial" w:cs="Arial" w:eastAsia="Arial" w:hAnsi="Arial"/>
                <w:color w:val="94A3B8"/>
                <w:sz w:val="18"/>
                <w:szCs w:val="18"/>
              </w:rPr>
              <w:t xml:space="preserve">Conditions</w:t>
            </w:r>
          </w:p>
        </w:tc>
        <w:tc>
          <w:tcPr>
            <w:tcW w:type="dxa" w:w="2340"/>
            <w:tcBorders>
              <w:top w:val="none" w:sz="0"/>
              <w:left w:val="none" w:sz="0"/>
              <w:bottom w:val="none" w:sz="0"/>
              <w:right w:val="none" w:sz="0"/>
            </w:tcBorders>
            <w:shd w:fill="F1F5F9" w:val="clear"/>
            <w:tcMar>
              <w:top w:type="dxa" w:w="120"/>
              <w:left w:type="dxa" w:w="80"/>
              <w:bottom w:type="dxa" w:w="120"/>
              <w:right w:type="dxa" w:w="80"/>
            </w:tcMar>
          </w:tcPr>
          <w:p>
            <w:pPr>
              <w:jc w:val="center"/>
            </w:pPr>
            <w:r>
              <w:rPr>
                <w:rFonts w:ascii="Arial" w:cs="Arial" w:eastAsia="Arial" w:hAnsi="Arial"/>
                <w:b/>
                <w:bCs/>
                <w:color w:val="0A1628"/>
                <w:sz w:val="36"/>
                <w:szCs w:val="36"/>
              </w:rPr>
              <w:t xml:space="preserve">25.8%</w:t>
            </w:r>
          </w:p>
          <w:p>
            <w:pPr>
              <w:spacing w:before="40"/>
              <w:jc w:val="center"/>
            </w:pPr>
            <w:r>
              <w:rPr>
                <w:rFonts w:ascii="Arial" w:cs="Arial" w:eastAsia="Arial" w:hAnsi="Arial"/>
                <w:color w:val="94A3B8"/>
                <w:sz w:val="18"/>
                <w:szCs w:val="18"/>
              </w:rPr>
              <w:t xml:space="preserve">Variance explained
by traits</w:t>
            </w:r>
          </w:p>
        </w:tc>
        <w:tc>
          <w:tcPr>
            <w:tcW w:type="dxa" w:w="2340"/>
            <w:tcBorders>
              <w:top w:val="none" w:sz="0"/>
              <w:left w:val="none" w:sz="0"/>
              <w:bottom w:val="none" w:sz="0"/>
              <w:right w:val="none" w:sz="0"/>
            </w:tcBorders>
            <w:shd w:fill="F1F5F9" w:val="clear"/>
            <w:tcMar>
              <w:top w:type="dxa" w:w="120"/>
              <w:left w:type="dxa" w:w="80"/>
              <w:bottom w:type="dxa" w:w="120"/>
              <w:right w:type="dxa" w:w="80"/>
            </w:tcMar>
          </w:tcPr>
          <w:p>
            <w:pPr>
              <w:jc w:val="center"/>
            </w:pPr>
            <w:r>
              <w:rPr>
                <w:rFonts w:ascii="Arial" w:cs="Arial" w:eastAsia="Arial" w:hAnsi="Arial"/>
                <w:b/>
                <w:bCs/>
                <w:color w:val="0A1628"/>
                <w:sz w:val="36"/>
                <w:szCs w:val="36"/>
              </w:rPr>
              <w:t xml:space="preserve">p = .676</w:t>
            </w:r>
          </w:p>
          <w:p>
            <w:pPr>
              <w:spacing w:before="40"/>
              <w:jc w:val="center"/>
            </w:pPr>
            <w:r>
              <w:rPr>
                <w:rFonts w:ascii="Arial" w:cs="Arial" w:eastAsia="Arial" w:hAnsi="Arial"/>
                <w:color w:val="94A3B8"/>
                <w:sz w:val="18"/>
                <w:szCs w:val="18"/>
              </w:rPr>
              <w:t xml:space="preserve">Non-significant
result</w:t>
            </w:r>
          </w:p>
        </w:tc>
      </w:tr>
    </w:tbl>
    <w:p>
      <w:pPr>
        <w:spacing w:before="100"/>
      </w:pPr>
    </w:p>
    <w:p>
      <w:pPr>
        <w:spacing w:after="120" w:line="276"/>
      </w:pPr>
      <w:r>
        <w:rPr>
          <w:rFonts w:ascii="Arial" w:cs="Arial" w:eastAsia="Arial" w:hAnsi="Arial"/>
          <w:color w:val="475569"/>
          <w:sz w:val="22"/>
          <w:szCs w:val="22"/>
        </w:rPr>
        <w:t xml:space="preserve">Design: Three-condition between-subjects experiment. Conditions: no AI recommendation, direct AI recommendation, and agency-supportive AI recommendation (participant chooses whether to view). Dependent variable: trust measured via validated Jian et al. (2000) scale with independent trust and distrust subscales. Faculty supervisor: Dr. Heather Kelly, Evangel University.</w:t>
      </w:r>
    </w:p>
    <w:p>
      <w:pPr>
        <w:pStyle w:val="Heading1"/>
      </w:pPr>
      <w:r>
        <w:t xml:space="preserve">Key Findings</w:t>
      </w:r>
    </w:p>
    <w:p>
      <w:pPr>
        <w:pStyle w:val="Heading2"/>
      </w:pPr>
      <w:r>
        <w:t xml:space="preserve">Finding 1: Trust is a trait, not a state.</w:t>
      </w:r>
    </w:p>
    <w:p>
      <w:pPr>
        <w:spacing w:after="120" w:line="276"/>
      </w:pPr>
      <w:r>
        <w:rPr>
          <w:rFonts w:ascii="Arial" w:cs="Arial" w:eastAsia="Arial" w:hAnsi="Arial"/>
          <w:color w:val="475569"/>
          <w:sz w:val="22"/>
          <w:szCs w:val="22"/>
        </w:rPr>
        <w:t xml:space="preserve">Three experimental conditions produced no statistically significant difference in trust scores, F(2, 316) = 0.39, p = .676, η² = .002. The manipulation explained essentially nothing. An exploratory regression found individual characteristics (AI usage frequency, decision confidence, follow-through intention) accounted for 25.8% of TrustScore variance (adjusted R2 = .244). What explained 25.8% of variance in trust was who the participant already was: how often they use AI, how engaged they were with the scenario, what their behavioral intentions already were.</w:t>
      </w:r>
    </w:p>
    <w:p>
      <w:pPr>
        <w:spacing w:after="120" w:line="276"/>
      </w:pPr>
      <w:r>
        <w:rPr>
          <w:rFonts w:ascii="Arial" w:cs="Arial" w:eastAsia="Arial" w:hAnsi="Arial"/>
          <w:color w:val="475569"/>
          <w:sz w:val="22"/>
          <w:szCs w:val="22"/>
        </w:rPr>
        <w:t xml:space="preserve">Trust in AI tools is formed over time through accumulated experience. It is not meaningfully moved by a single design intervention.</w:t>
      </w:r>
    </w:p>
    <w:p>
      <w:pPr>
        <w:spacing w:before="60"/>
      </w:pPr>
    </w:p>
    <w:p>
      <w:pPr>
        <w:pStyle w:val="Heading2"/>
      </w:pPr>
      <w:r>
        <w:t xml:space="preserve">Finding 2: Trust is a profile, not a score.</w:t>
      </w:r>
    </w:p>
    <w:p>
      <w:pPr>
        <w:spacing w:after="120" w:line="276"/>
      </w:pPr>
      <w:r>
        <w:rPr>
          <w:rFonts w:ascii="Arial" w:cs="Arial" w:eastAsia="Arial" w:hAnsi="Arial"/>
          <w:color w:val="475569"/>
          <w:sz w:val="22"/>
          <w:szCs w:val="22"/>
        </w:rPr>
        <w:t xml:space="preserve">The trust and distrust subscales were essentially uncorrelated, r = .077, p = .457. They measure different psychological constructs, not opposite ends of a single dimension.</w:t>
      </w:r>
    </w:p>
    <w:p>
      <w:pPr>
        <w:spacing w:after="120" w:line="276"/>
      </w:pPr>
      <w:r>
        <w:rPr>
          <w:rFonts w:ascii="Arial" w:cs="Arial" w:eastAsia="Arial" w:hAnsi="Arial"/>
          <w:color w:val="475569"/>
          <w:sz w:val="22"/>
          <w:szCs w:val="22"/>
        </w:rPr>
        <w:t xml:space="preserve">A composite trust score of 48 looks the same whether the person holds high trust and low distrust (resolved, experience-based confidence) or high trust and high distrust simultaneously (engaged ambivalence). These two profiles carry completely different implications for decision quality and organizational risk. Composite scores obscure the difference.</w:t>
      </w:r>
    </w:p>
    <w:p>
      <w:pPr>
        <w:spacing w:before="60"/>
      </w:pPr>
    </w:p>
    <w:p>
      <w:pPr>
        <w:pStyle w:val="Heading2"/>
      </w:pPr>
      <w:r>
        <w:t xml:space="preserve">Finding 3: Agency-supportive design produces deliberate judgment, not trust.</w:t>
      </w:r>
    </w:p>
    <w:p>
      <w:pPr>
        <w:spacing w:after="120" w:line="276"/>
      </w:pPr>
      <w:r>
        <w:rPr>
          <w:rFonts w:ascii="Arial" w:cs="Arial" w:eastAsia="Arial" w:hAnsi="Arial"/>
          <w:color w:val="475569"/>
          <w:sz w:val="22"/>
          <w:szCs w:val="22"/>
        </w:rPr>
        <w:t xml:space="preserve">The agency-supportive condition had the lowest blind trust rate (3%), the highest skepticism rate (15%), and the smallest gap between trust and distrust subscales (0.06 vs. 1.09 in the no-recommendation condition). Giving people control over the AI decision did not increase their trust. It activated more careful, ambivalent thinking.</w:t>
      </w:r>
    </w:p>
    <w:p>
      <w:pPr>
        <w:spacing w:after="120" w:line="276"/>
      </w:pPr>
      <w:r>
        <w:rPr>
          <w:rFonts w:ascii="Arial" w:cs="Arial" w:eastAsia="Arial" w:hAnsi="Arial"/>
          <w:color w:val="475569"/>
          <w:sz w:val="22"/>
          <w:szCs w:val="22"/>
        </w:rPr>
        <w:t xml:space="preserve">This is arguably the correct psychological outcome for a novel AI tool in a high-stakes domain. But it is not what conventional trust measures detect, and it is not what most AI governance frameworks are designed to produce.</w:t>
      </w:r>
    </w:p>
    <w:p>
      <w:pPr>
        <w:spacing w:before="60"/>
      </w:pPr>
    </w:p>
    <w:p>
      <w:pPr>
        <w:pStyle w:val="Heading2"/>
      </w:pPr>
      <w:r>
        <w:t xml:space="preserve">Finding 4: Accountability cannot be delegated to design.</w:t>
      </w:r>
    </w:p>
    <w:p>
      <w:pPr>
        <w:spacing w:after="120" w:line="276"/>
      </w:pPr>
      <w:r>
        <w:rPr>
          <w:rFonts w:ascii="Arial" w:cs="Arial" w:eastAsia="Arial" w:hAnsi="Arial"/>
          <w:color w:val="475569"/>
          <w:sz w:val="22"/>
          <w:szCs w:val="22"/>
        </w:rPr>
        <w:t xml:space="preserve">If trust in AI cannot be manufactured through design, then governance frameworks that rely on transparency features, explainability interfaces, or agency-supportive framing to produce warranted trust are insufficient.</w:t>
      </w:r>
    </w:p>
    <w:p>
      <w:pPr>
        <w:spacing w:after="120" w:line="276"/>
      </w:pPr>
      <w:r>
        <w:rPr>
          <w:rFonts w:ascii="Arial" w:cs="Arial" w:eastAsia="Arial" w:hAnsi="Arial"/>
          <w:color w:val="475569"/>
          <w:sz w:val="22"/>
          <w:szCs w:val="22"/>
        </w:rPr>
        <w:t xml:space="preserve">Warranted trust must be earned through demonstrated accuracy over time, meaningful human oversight, and accountability structures that function when the AI is wrong. The question was never how to build AI that people trust. The question is how to build governance that makes trust warranted when it exists and protective when it does not.</w:t>
      </w:r>
    </w:p>
    <w:p>
      <w:r>
        <w:br w:type="page"/>
      </w:r>
    </w:p>
    <w:p>
      <w:pPr>
        <w:pStyle w:val="Heading1"/>
      </w:pPr>
      <w:r>
        <w:t xml:space="preserve">Four Trust Profiles</w:t>
      </w:r>
    </w:p>
    <w:p>
      <w:pPr>
        <w:spacing w:after="120" w:line="276"/>
      </w:pPr>
      <w:r>
        <w:rPr>
          <w:rFonts w:ascii="Arial" w:cs="Arial" w:eastAsia="Arial" w:hAnsi="Arial"/>
          <w:color w:val="475569"/>
          <w:sz w:val="22"/>
          <w:szCs w:val="22"/>
        </w:rPr>
        <w:t xml:space="preserve">Cluster analysis revealed four distinct trust profiles. Each carries different implications for decision quality and organizational risk.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993C1D" w:sz="6"/>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b/>
                <w:bCs/>
                <w:color w:val="993C1D"/>
                <w:sz w:val="24"/>
                <w:szCs w:val="24"/>
              </w:rPr>
              <w:t xml:space="preserve">Blind Trusters (9%, n=9)</w:t>
            </w:r>
          </w:p>
          <w:p>
            <w:pPr>
              <w:spacing w:after="60" w:line="260"/>
            </w:pPr>
            <w:r>
              <w:rPr>
                <w:rFonts w:ascii="Arial" w:cs="Arial" w:eastAsia="Arial" w:hAnsi="Arial"/>
                <w:color w:val="475569"/>
                <w:sz w:val="20"/>
                <w:szCs w:val="20"/>
              </w:rPr>
              <w:t xml:space="preserve">High trust, low distrust. Cognitively immersed and deferring to the AI without critical engagement.</w:t>
            </w:r>
          </w:p>
          <w:p>
            <w:pPr>
              <w:spacing w:after="60" w:line="260"/>
            </w:pPr>
            <w:r>
              <w:rPr>
                <w:rFonts w:ascii="Arial" w:cs="Arial" w:eastAsia="Arial" w:hAnsi="Arial"/>
                <w:b/>
                <w:bCs/>
                <w:color w:val="1E293B"/>
                <w:sz w:val="20"/>
                <w:szCs w:val="20"/>
              </w:rPr>
              <w:t xml:space="preserve">Risk: </w:t>
            </w:r>
            <w:r>
              <w:rPr>
                <w:rFonts w:ascii="Arial" w:cs="Arial" w:eastAsia="Arial" w:hAnsi="Arial"/>
                <w:color w:val="475569"/>
                <w:sz w:val="20"/>
                <w:szCs w:val="20"/>
              </w:rPr>
              <w:t xml:space="preserve">Highest risk in high-stakes decisions. Most likely to accept incorrect AI recommendations without override.</w:t>
            </w:r>
          </w:p>
          <w:p>
            <w:pPr>
              <w:spacing w:line="260"/>
            </w:pPr>
            <w:r>
              <w:rPr>
                <w:rFonts w:ascii="Arial" w:cs="Arial" w:eastAsia="Arial" w:hAnsi="Arial"/>
                <w:b/>
                <w:bCs/>
                <w:color w:val="1E293B"/>
                <w:sz w:val="20"/>
                <w:szCs w:val="20"/>
              </w:rPr>
              <w:t xml:space="preserve">Governance implication: </w:t>
            </w:r>
            <w:r>
              <w:rPr>
                <w:rFonts w:ascii="Arial" w:cs="Arial" w:eastAsia="Arial" w:hAnsi="Arial"/>
                <w:color w:val="475569"/>
                <w:sz w:val="20"/>
                <w:szCs w:val="20"/>
              </w:rPr>
              <w:t xml:space="preserve">Nominal human oversight does not protect against this profile. Governance must detect and flag deference behavior.</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534AB7" w:sz="6"/>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b/>
                <w:bCs/>
                <w:color w:val="534AB7"/>
                <w:sz w:val="24"/>
                <w:szCs w:val="24"/>
              </w:rPr>
              <w:t xml:space="preserve">Conflicted (22%, n=21)</w:t>
            </w:r>
          </w:p>
          <w:p>
            <w:pPr>
              <w:spacing w:after="60" w:line="260"/>
            </w:pPr>
            <w:r>
              <w:rPr>
                <w:rFonts w:ascii="Arial" w:cs="Arial" w:eastAsia="Arial" w:hAnsi="Arial"/>
                <w:color w:val="475569"/>
                <w:sz w:val="20"/>
                <w:szCs w:val="20"/>
              </w:rPr>
              <w:t xml:space="preserve">High trust AND high distrust simultaneously. Finds the tool useful while maintaining critical awareness.</w:t>
            </w:r>
          </w:p>
          <w:p>
            <w:pPr>
              <w:spacing w:after="60" w:line="260"/>
            </w:pPr>
            <w:r>
              <w:rPr>
                <w:rFonts w:ascii="Arial" w:cs="Arial" w:eastAsia="Arial" w:hAnsi="Arial"/>
                <w:b/>
                <w:bCs/>
                <w:color w:val="1E293B"/>
                <w:sz w:val="20"/>
                <w:szCs w:val="20"/>
              </w:rPr>
              <w:t xml:space="preserve">Risk: </w:t>
            </w:r>
            <w:r>
              <w:rPr>
                <w:rFonts w:ascii="Arial" w:cs="Arial" w:eastAsia="Arial" w:hAnsi="Arial"/>
                <w:color w:val="475569"/>
                <w:sz w:val="20"/>
                <w:szCs w:val="20"/>
              </w:rPr>
              <w:t xml:space="preserve">Healthiest decision-making profile. Neither blindly deferring nor rejecting useful AI output.</w:t>
            </w:r>
          </w:p>
          <w:p>
            <w:pPr>
              <w:spacing w:line="260"/>
            </w:pPr>
            <w:r>
              <w:rPr>
                <w:rFonts w:ascii="Arial" w:cs="Arial" w:eastAsia="Arial" w:hAnsi="Arial"/>
                <w:b/>
                <w:bCs/>
                <w:color w:val="1E293B"/>
                <w:sz w:val="20"/>
                <w:szCs w:val="20"/>
              </w:rPr>
              <w:t xml:space="preserve">Governance implication: </w:t>
            </w:r>
            <w:r>
              <w:rPr>
                <w:rFonts w:ascii="Arial" w:cs="Arial" w:eastAsia="Arial" w:hAnsi="Arial"/>
                <w:color w:val="475569"/>
                <w:sz w:val="20"/>
                <w:szCs w:val="20"/>
              </w:rPr>
              <w:t xml:space="preserve">This is what good human-AI collaboration looks like. Governance should protect and enable this profile.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85FA5" w:sz="6"/>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b/>
                <w:bCs/>
                <w:color w:val="185FA5"/>
                <w:sz w:val="24"/>
                <w:szCs w:val="24"/>
              </w:rPr>
              <w:t xml:space="preserve">Ambivalent (36%, n=34)</w:t>
            </w:r>
          </w:p>
          <w:p>
            <w:pPr>
              <w:spacing w:after="60" w:line="260"/>
            </w:pPr>
            <w:r>
              <w:rPr>
                <w:rFonts w:ascii="Arial" w:cs="Arial" w:eastAsia="Arial" w:hAnsi="Arial"/>
                <w:color w:val="475569"/>
                <w:sz w:val="20"/>
                <w:szCs w:val="20"/>
              </w:rPr>
              <w:t xml:space="preserve">Moderate on both trust and distrust. Has not yet formed a stable relationship with AI tools.</w:t>
            </w:r>
          </w:p>
          <w:p>
            <w:pPr>
              <w:spacing w:after="60" w:line="260"/>
            </w:pPr>
            <w:r>
              <w:rPr>
                <w:rFonts w:ascii="Arial" w:cs="Arial" w:eastAsia="Arial" w:hAnsi="Arial"/>
                <w:b/>
                <w:bCs/>
                <w:color w:val="1E293B"/>
                <w:sz w:val="20"/>
                <w:szCs w:val="20"/>
              </w:rPr>
              <w:t xml:space="preserve">Risk: </w:t>
            </w:r>
            <w:r>
              <w:rPr>
                <w:rFonts w:ascii="Arial" w:cs="Arial" w:eastAsia="Arial" w:hAnsi="Arial"/>
                <w:color w:val="475569"/>
                <w:sz w:val="20"/>
                <w:szCs w:val="20"/>
              </w:rPr>
              <w:t xml:space="preserve">Largest group. Susceptible to design nudges in either direction toward deference or avoidance.</w:t>
            </w:r>
          </w:p>
          <w:p>
            <w:pPr>
              <w:spacing w:line="260"/>
            </w:pPr>
            <w:r>
              <w:rPr>
                <w:rFonts w:ascii="Arial" w:cs="Arial" w:eastAsia="Arial" w:hAnsi="Arial"/>
                <w:b/>
                <w:bCs/>
                <w:color w:val="1E293B"/>
                <w:sz w:val="20"/>
                <w:szCs w:val="20"/>
              </w:rPr>
              <w:t xml:space="preserve">Governance implication: </w:t>
            </w:r>
            <w:r>
              <w:rPr>
                <w:rFonts w:ascii="Arial" w:cs="Arial" w:eastAsia="Arial" w:hAnsi="Arial"/>
                <w:color w:val="475569"/>
                <w:sz w:val="20"/>
                <w:szCs w:val="20"/>
              </w:rPr>
              <w:t xml:space="preserve">This group is where governance frameworks matter most. Their trust disposition is still forming.</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F6E56" w:sz="6"/>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b/>
                <w:bCs/>
                <w:color w:val="0F6E56"/>
                <w:sz w:val="24"/>
                <w:szCs w:val="24"/>
              </w:rPr>
              <w:t xml:space="preserve">Skeptics (7%, n=7)</w:t>
            </w:r>
          </w:p>
          <w:p>
            <w:pPr>
              <w:spacing w:after="60" w:line="260"/>
            </w:pPr>
            <w:r>
              <w:rPr>
                <w:rFonts w:ascii="Arial" w:cs="Arial" w:eastAsia="Arial" w:hAnsi="Arial"/>
                <w:color w:val="475569"/>
                <w:sz w:val="20"/>
                <w:szCs w:val="20"/>
              </w:rPr>
              <w:t xml:space="preserve">Low trust, high distrust. Withholding judgment regardless of AI output quality.</w:t>
            </w:r>
          </w:p>
          <w:p>
            <w:pPr>
              <w:spacing w:after="60" w:line="260"/>
            </w:pPr>
            <w:r>
              <w:rPr>
                <w:rFonts w:ascii="Arial" w:cs="Arial" w:eastAsia="Arial" w:hAnsi="Arial"/>
                <w:b/>
                <w:bCs/>
                <w:color w:val="1E293B"/>
                <w:sz w:val="20"/>
                <w:szCs w:val="20"/>
              </w:rPr>
              <w:t xml:space="preserve">Risk: </w:t>
            </w:r>
            <w:r>
              <w:rPr>
                <w:rFonts w:ascii="Arial" w:cs="Arial" w:eastAsia="Arial" w:hAnsi="Arial"/>
                <w:color w:val="475569"/>
                <w:sz w:val="20"/>
                <w:szCs w:val="20"/>
              </w:rPr>
              <w:t xml:space="preserve">May reject accurate AI recommendations. Over-represented in agency-supportive condition.</w:t>
            </w:r>
          </w:p>
          <w:p>
            <w:pPr>
              <w:spacing w:line="260"/>
            </w:pPr>
            <w:r>
              <w:rPr>
                <w:rFonts w:ascii="Arial" w:cs="Arial" w:eastAsia="Arial" w:hAnsi="Arial"/>
                <w:b/>
                <w:bCs/>
                <w:color w:val="1E293B"/>
                <w:sz w:val="20"/>
                <w:szCs w:val="20"/>
              </w:rPr>
              <w:t xml:space="preserve">Governance implication: </w:t>
            </w:r>
            <w:r>
              <w:rPr>
                <w:rFonts w:ascii="Arial" w:cs="Arial" w:eastAsia="Arial" w:hAnsi="Arial"/>
                <w:color w:val="475569"/>
                <w:sz w:val="20"/>
                <w:szCs w:val="20"/>
              </w:rPr>
              <w:t xml:space="preserve">Not a failure. May reflect appropriate skepticism for the domain. Governance should understand why, not override it.</w:t>
            </w:r>
          </w:p>
        </w:tc>
      </w:tr>
    </w:tbl>
    <w:p>
      <w:r>
        <w:br w:type="page"/>
      </w:r>
    </w:p>
    <w:p>
      <w:pPr>
        <w:pStyle w:val="Heading1"/>
      </w:pPr>
      <w:r>
        <w:t xml:space="preserve">What Predicted Trust (When Design Did Not)</w:t>
      </w:r>
    </w:p>
    <w:p>
      <w:pPr>
        <w:spacing w:after="120" w:line="276"/>
      </w:pPr>
      <w:r>
        <w:rPr>
          <w:rFonts w:ascii="Arial" w:cs="Arial" w:eastAsia="Arial" w:hAnsi="Arial"/>
          <w:color w:val="475569"/>
          <w:sz w:val="22"/>
          <w:szCs w:val="22"/>
        </w:rPr>
        <w:t xml:space="preserve">Three individual-level factors explained nearly all measurable variation in trust. None of them were under the organization’s control at the moment of deployment.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1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Avg Trust</w:t>
            </w:r>
          </w:p>
        </w:tc>
        <w:tc>
          <w:tcPr>
            <w:tcW w:type="dxa" w:w="1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Blind Trust</w:t>
            </w:r>
          </w:p>
        </w:tc>
        <w:tc>
          <w:tcPr>
            <w:tcW w:type="dxa" w:w="396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Observation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18-29</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47.00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9%</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Highest rates of both blind trust and skepticism. Trust disposition not yet stabilized.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30-39</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46.89</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7%</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Highest conflicted profile rate (30%). Using AI critically while maintaining awareness.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40-49</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48.11</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21%</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Largest trust/distrust gap (+1.32). Most resolved, experience-based confidence.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50+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49.80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0%</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Zero blind trusters. Highest distrust alongside highest trust. Genuine wisdom-based ambivalence.</w:t>
            </w:r>
          </w:p>
        </w:tc>
      </w:tr>
    </w:tbl>
    <w:p>
      <w:pPr>
        <w:spacing w:before="100"/>
      </w:pPr>
    </w:p>
    <w:p>
      <w:pPr>
        <w:spacing w:after="120" w:line="276"/>
      </w:pPr>
      <w:r>
        <w:rPr>
          <w:rFonts w:ascii="Arial" w:cs="Arial" w:eastAsia="Arial" w:hAnsi="Arial"/>
          <w:b/>
          <w:bCs/>
          <w:color w:val="1E293B"/>
          <w:sz w:val="22"/>
          <w:szCs w:val="22"/>
        </w:rPr>
        <w:t xml:space="preserve">Key insight: </w:t>
      </w:r>
      <w:r>
        <w:rPr>
          <w:rFonts w:ascii="Arial" w:cs="Arial" w:eastAsia="Arial" w:hAnsi="Arial"/>
          <w:color w:val="475569"/>
          <w:sz w:val="22"/>
          <w:szCs w:val="22"/>
        </w:rPr>
        <w:t xml:space="preserve">The 50+ group has the numerically highest composite trust score but also zero blind trusters and the most genuine ambivalence of any group. Organizations that interpret high average trust as a positive governance outcome may be misreading their most experienced employees.</w:t>
      </w:r>
    </w:p>
    <w:p>
      <w:pPr>
        <w:pStyle w:val="Heading1"/>
      </w:pPr>
      <w:r>
        <w:t xml:space="preserve">Governance Implications: Three New Controls</w:t>
      </w:r>
    </w:p>
    <w:p>
      <w:pPr>
        <w:spacing w:after="120" w:line="276"/>
      </w:pPr>
      <w:r>
        <w:rPr>
          <w:rFonts w:ascii="Arial" w:cs="Arial" w:eastAsia="Arial" w:hAnsi="Arial"/>
          <w:color w:val="475569"/>
          <w:sz w:val="22"/>
          <w:szCs w:val="22"/>
        </w:rPr>
        <w:t xml:space="preserve">The research makes the accountability argument concrete. Blind trust is measurable and predictable. Nominal human oversight is demonstrably different from substantive human oversight.</w:t>
      </w:r>
    </w:p>
    <w:p>
      <w:pPr>
        <w:spacing w:after="120" w:line="276"/>
      </w:pPr>
      <w:r>
        <w:rPr>
          <w:rFonts w:ascii="Arial" w:cs="Arial" w:eastAsia="Arial" w:hAnsi="Arial"/>
          <w:color w:val="475569"/>
          <w:sz w:val="22"/>
          <w:szCs w:val="22"/>
        </w:rPr>
        <w:t xml:space="preserve">Accountability must attach to the deployment decision, not the human reviewer's nominal presence. The organization that chose to deploy an AI system in a high-stakes decision context owns the outcomes that system produces.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pPr>
              <w:spacing w:after="40"/>
            </w:pPr>
            <w:r>
              <w:rPr>
                <w:rFonts w:ascii="Arial" w:cs="Arial" w:eastAsia="Arial" w:hAnsi="Arial"/>
                <w:b/>
                <w:bCs/>
                <w:color w:val="993C1D"/>
                <w:sz w:val="18"/>
                <w:szCs w:val="18"/>
              </w:rPr>
              <w:t xml:space="preserve">AG-011</w:t>
            </w:r>
          </w:p>
          <w:p>
            <w:pPr>
              <w:spacing w:after="60"/>
            </w:pPr>
            <w:r>
              <w:rPr>
                <w:rFonts w:ascii="Arial" w:cs="Arial" w:eastAsia="Arial" w:hAnsi="Arial"/>
                <w:b/>
                <w:bCs/>
                <w:color w:val="0F172A"/>
                <w:sz w:val="22"/>
                <w:szCs w:val="22"/>
              </w:rPr>
              <w:t xml:space="preserve">Trust Profile Assessment</w:t>
            </w:r>
          </w:p>
          <w:p>
            <w:pPr>
              <w:spacing w:line="260"/>
            </w:pPr>
            <w:r>
              <w:rPr>
                <w:rFonts w:ascii="Arial" w:cs="Arial" w:eastAsia="Arial" w:hAnsi="Arial"/>
                <w:color w:val="475569"/>
                <w:sz w:val="20"/>
                <w:szCs w:val="20"/>
              </w:rPr>
              <w:t xml:space="preserve">Know your workforce trust profiles before deployment. Not after a liability event.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pPr>
              <w:spacing w:after="40"/>
            </w:pPr>
            <w:r>
              <w:rPr>
                <w:rFonts w:ascii="Arial" w:cs="Arial" w:eastAsia="Arial" w:hAnsi="Arial"/>
                <w:b/>
                <w:bCs/>
                <w:color w:val="993C1D"/>
                <w:sz w:val="18"/>
                <w:szCs w:val="18"/>
              </w:rPr>
              <w:t xml:space="preserve">AG-012</w:t>
            </w:r>
          </w:p>
          <w:p>
            <w:pPr>
              <w:spacing w:after="60"/>
            </w:pPr>
            <w:r>
              <w:rPr>
                <w:rFonts w:ascii="Arial" w:cs="Arial" w:eastAsia="Arial" w:hAnsi="Arial"/>
                <w:b/>
                <w:bCs/>
                <w:color w:val="0F172A"/>
                <w:sz w:val="22"/>
                <w:szCs w:val="22"/>
              </w:rPr>
              <w:t xml:space="preserve">Substantive Oversight</w:t>
            </w:r>
          </w:p>
          <w:p>
            <w:pPr>
              <w:spacing w:line="260"/>
            </w:pPr>
            <w:r>
              <w:rPr>
                <w:rFonts w:ascii="Arial" w:cs="Arial" w:eastAsia="Arial" w:hAnsi="Arial"/>
                <w:color w:val="475569"/>
                <w:sz w:val="20"/>
                <w:szCs w:val="20"/>
              </w:rPr>
              <w:t xml:space="preserve">Demonstrate that human review involves genuine judgment, not rubber-stamping.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pPr>
              <w:spacing w:after="40"/>
            </w:pPr>
            <w:r>
              <w:rPr>
                <w:rFonts w:ascii="Arial" w:cs="Arial" w:eastAsia="Arial" w:hAnsi="Arial"/>
                <w:b/>
                <w:bCs/>
                <w:color w:val="993C1D"/>
                <w:sz w:val="18"/>
                <w:szCs w:val="18"/>
              </w:rPr>
              <w:t xml:space="preserve">AG-013</w:t>
            </w:r>
          </w:p>
          <w:p>
            <w:pPr>
              <w:spacing w:after="60"/>
            </w:pPr>
            <w:r>
              <w:rPr>
                <w:rFonts w:ascii="Arial" w:cs="Arial" w:eastAsia="Arial" w:hAnsi="Arial"/>
                <w:b/>
                <w:bCs/>
                <w:color w:val="0F172A"/>
                <w:sz w:val="22"/>
                <w:szCs w:val="22"/>
              </w:rPr>
              <w:t xml:space="preserve">Deference Risk Monitoring</w:t>
            </w:r>
          </w:p>
          <w:p>
            <w:pPr>
              <w:spacing w:line="260"/>
            </w:pPr>
            <w:r>
              <w:rPr>
                <w:rFonts w:ascii="Arial" w:cs="Arial" w:eastAsia="Arial" w:hAnsi="Arial"/>
                <w:color w:val="475569"/>
                <w:sz w:val="20"/>
                <w:szCs w:val="20"/>
              </w:rPr>
              <w:t xml:space="preserve">Monitor for blind trust behavior in AI-assisted decision pipelines on an ongoing basis.</w:t>
            </w:r>
          </w:p>
        </w:tc>
      </w:tr>
    </w:tbl>
    <w:p>
      <w:r>
        <w:br w:type="page"/>
      </w:r>
    </w:p>
    <w:p>
      <w:pPr>
        <w:pStyle w:val="Heading1"/>
      </w:pPr>
      <w:r>
        <w:t xml:space="preserve">Research Program</w:t>
      </w:r>
    </w:p>
    <w:p>
      <w:pPr>
        <w:spacing w:after="120" w:line="276"/>
      </w:pPr>
      <w:r>
        <w:rPr>
          <w:rFonts w:ascii="Arial" w:cs="Arial" w:eastAsia="Arial" w:hAnsi="Arial"/>
          <w:color w:val="475569"/>
          <w:sz w:val="22"/>
          <w:szCs w:val="22"/>
        </w:rPr>
        <w:t xml:space="preserve">This case study represents Study 1 of a three-study research program.</w:t>
      </w:r>
    </w:p>
    <w:p>
      <w:pPr>
        <w:spacing w:before="100"/>
      </w:pPr>
    </w:p>
    <w:p>
      <w:pPr>
        <w:spacing w:after="120" w:line="276"/>
      </w:pPr>
      <w:r>
        <w:rPr>
          <w:rFonts w:ascii="Arial" w:cs="Arial" w:eastAsia="Arial" w:hAnsi="Arial"/>
          <w:b/>
          <w:bCs/>
          <w:color w:val="1E293B"/>
          <w:sz w:val="22"/>
          <w:szCs w:val="22"/>
        </w:rPr>
        <w:t xml:space="preserve">Study 1 (Complete): </w:t>
      </w:r>
      <w:r>
        <w:rPr>
          <w:rFonts w:ascii="Arial" w:cs="Arial" w:eastAsia="Arial" w:hAnsi="Arial"/>
          <w:color w:val="475569"/>
          <w:sz w:val="22"/>
          <w:szCs w:val="22"/>
        </w:rPr>
        <w:t xml:space="preserve">Single-session design interventions do not move trust. Trust is predicted by pre-existing individual traits. Trust is a profile, not a score. Agency-supportive design promotes deliberate judgment. Null result on the primary hypothesis with significant theoretical contribution.</w:t>
      </w:r>
    </w:p>
    <w:p>
      <w:pPr>
        <w:spacing w:before="60"/>
      </w:pPr>
    </w:p>
    <w:p>
      <w:pPr>
        <w:spacing w:after="120" w:line="276"/>
      </w:pPr>
      <w:r>
        <w:rPr>
          <w:rFonts w:ascii="Arial" w:cs="Arial" w:eastAsia="Arial" w:hAnsi="Arial"/>
          <w:b/>
          <w:bCs/>
          <w:color w:val="1E293B"/>
          <w:sz w:val="22"/>
          <w:szCs w:val="22"/>
        </w:rPr>
        <w:t xml:space="preserve">Study 2 (In progress, M.S. thesis, ASU): </w:t>
      </w:r>
      <w:r>
        <w:rPr>
          <w:rFonts w:ascii="Arial" w:cs="Arial" w:eastAsia="Arial" w:hAnsi="Arial"/>
          <w:color w:val="475569"/>
          <w:sz w:val="22"/>
          <w:szCs w:val="22"/>
        </w:rPr>
        <w:t xml:space="preserve">Trust profiles are stable across domains and individuals. Replication across healthcare, employment, legal, and financial decision scenarios. Profiles predict decision quality differentially. Blind trust predicts deference errors. AI experience is the primary driver of profile formation. Minimum N = 400.</w:t>
      </w:r>
    </w:p>
    <w:p>
      <w:pPr>
        <w:spacing w:before="60"/>
      </w:pPr>
    </w:p>
    <w:p>
      <w:pPr>
        <w:spacing w:after="120" w:line="276"/>
      </w:pPr>
      <w:r>
        <w:rPr>
          <w:rFonts w:ascii="Arial" w:cs="Arial" w:eastAsia="Arial" w:hAnsi="Arial"/>
          <w:b/>
          <w:bCs/>
          <w:color w:val="1E293B"/>
          <w:sz w:val="22"/>
          <w:szCs w:val="22"/>
        </w:rPr>
        <w:t xml:space="preserve">Study 3 (Planned): </w:t>
      </w:r>
      <w:r>
        <w:rPr>
          <w:rFonts w:ascii="Arial" w:cs="Arial" w:eastAsia="Arial" w:hAnsi="Arial"/>
          <w:color w:val="475569"/>
          <w:sz w:val="22"/>
          <w:szCs w:val="22"/>
        </w:rPr>
        <w:t xml:space="preserve">Organizational trust profile distribution predicts AI deployment outcomes. A validated trust profile assessment tool embedded in governance frameworks reduces deference errors and improves decision quality at the workforce level.</w:t>
      </w:r>
    </w:p>
    <w:p>
      <w:pPr>
        <w:spacing w:before="400"/>
      </w:pPr>
    </w:p>
    <w:p>
      <w:pPr>
        <w:pBdr>
          <w:top w:val="single" w:color="E2E8F0" w:sz="2"/>
        </w:pBdr>
        <w:spacing w:after="100" w:before="200"/>
      </w:pPr>
    </w:p>
    <w:p>
      <w:r>
        <w:rPr>
          <w:rFonts w:ascii="Arial" w:cs="Arial" w:eastAsia="Arial" w:hAnsi="Arial"/>
          <w:color w:val="94A3B8"/>
          <w:sz w:val="18"/>
          <w:szCs w:val="18"/>
        </w:rPr>
        <w:t xml:space="preserve">HCCS™ Case Study: The Effect of Agency-Supportive AI Design on Trust in Automation</w:t>
      </w:r>
    </w:p>
    <w:p>
      <w:r>
        <w:rPr>
          <w:rFonts w:ascii="Arial" w:cs="Arial" w:eastAsia="Arial" w:hAnsi="Arial"/>
          <w:color w:val="94A3B8"/>
          <w:sz w:val="18"/>
          <w:szCs w:val="18"/>
        </w:rPr>
        <w:t xml:space="preserve">© 2026 IngenuityCo LLC | hccsstandard.com | info@hccsstandard.com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0F172A"/>
      <w:sz w:val="36"/>
      <w:szCs w:val="36"/>
    </w:rPr>
  </w:style>
  <w:style w:type="paragraph" w:styleId="Heading2">
    <w:name w:val="Heading 2"/>
    <w:basedOn w:val="Normal"/>
    <w:next w:val="Normal"/>
    <w:qFormat/>
    <w:pPr>
      <w:spacing w:after="160" w:before="280"/>
    </w:pPr>
    <w:rPr>
      <w:rFonts w:ascii="Arial" w:cs="Arial" w:eastAsia="Arial" w:hAnsi="Arial"/>
      <w:b/>
      <w:bCs/>
      <w:color w:val="0F172A"/>
      <w:sz w:val="28"/>
      <w:szCs w:val="28"/>
    </w:rPr>
  </w:style>
  <w:style w:type="paragraph" w:styleId="Heading3">
    <w:name w:val="Heading 3"/>
    <w:basedOn w:val="Normal"/>
    <w:next w:val="Normal"/>
    <w:qFormat/>
    <w:pPr>
      <w:spacing w:after="120" w:before="200"/>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2026-04-14T16:35:43.896Z</dcterms:created>
  <dcterms:modified xsi:type="dcterms:W3CDTF">2026-04-14T16:35:43.897Z</dcterms:modified>
</cp:coreProperties>
</file>

<file path=docProps/custom.xml><?xml version="1.0" encoding="utf-8"?>
<Properties xmlns="http://schemas.openxmlformats.org/officeDocument/2006/custom-properties" xmlns:vt="http://schemas.openxmlformats.org/officeDocument/2006/docPropsVTypes"/>
</file>