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HCCS</w:t>
      </w:r>
    </w:p>
    <w:p>
      <w:pPr>
        <w:spacing w:after="120"/>
        <w:jc w:val="center"/>
      </w:pPr>
      <w:r>
        <w:rPr>
          <w:rFonts w:ascii="Arial" w:cs="Arial" w:eastAsia="Arial" w:hAnsi="Arial"/>
          <w:color w:val="2B6CB0"/>
          <w:sz w:val="36"/>
          <w:szCs w:val="36"/>
        </w:rPr>
        <w:t xml:space="preserve">Human Capital Control Standard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Template Library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HCCS-T-1.0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Aligned to HCCS-1.0 Core Standard + HCCS-IG-1.0 Implementation Guide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| March 2026</w:t>
      </w:r>
    </w:p>
    <w:p>
      <w:r>
        <w:br w:type="page"/>
      </w:r>
    </w:p>
    <w:p>
      <w:pPr>
        <w:pStyle w:val="Heading1"/>
      </w:pPr>
      <w: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HCCS-T-1.0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Human Capital Control Standard: Template Library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Aligned 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HCCS-1.0 + HCCS-IG-1.0 (March 2026)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Author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Diane Malefyt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Copyright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© 2026 Diane Malefyt. All rights reserved.</w:t>
            </w:r>
          </w:p>
        </w:tc>
      </w:tr>
    </w:tbl>
    <w:p>
      <w:pPr>
        <w:spacing w:before="120" w:after="120"/>
      </w:pP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before="40" w:after="40"/>
      </w:pPr>
    </w:p>
    <w:p>
      <w:pPr>
        <w:spacing w:after="80" w:line="276"/>
        <w:ind w:left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Purpose and Usage</w:t>
      </w:r>
      <w:r>
        <w:rPr>
          <w:rFonts w:ascii="Arial" w:cs="Arial" w:eastAsia="Arial" w:hAnsi="Arial"/>
          <w:color w:val="666666"/>
          <w:sz w:val="22"/>
          <w:szCs w:val="22"/>
        </w:rPr>
        <w:ptab w:alignment="right" w:relativeTo="margin" w:leader="dot"/>
      </w:r>
    </w:p>
    <w:p>
      <w:pPr>
        <w:spacing w:after="40" w:line="276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1.1 Template Index</w:t>
      </w:r>
      <w:r>
        <w:rPr>
          <w:rFonts w:ascii="Arial" w:cs="Arial" w:eastAsia="Arial" w:hAnsi="Arial"/>
          <w:color w:val="666666"/>
          <w:sz w:val="20"/>
          <w:szCs w:val="20"/>
        </w:rPr>
        <w:ptab w:alignment="right" w:relativeTo="margin" w:leader="dot"/>
      </w:r>
    </w:p>
    <w:p>
      <w:pPr>
        <w:spacing w:after="80" w:line="276"/>
        <w:ind w:left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T-01: Role Definition Worksheet</w:t>
      </w:r>
      <w:r>
        <w:rPr>
          <w:rFonts w:ascii="Arial" w:cs="Arial" w:eastAsia="Arial" w:hAnsi="Arial"/>
          <w:color w:val="666666"/>
          <w:sz w:val="22"/>
          <w:szCs w:val="22"/>
        </w:rPr>
        <w:ptab w:alignment="right" w:relativeTo="margin" w:leader="dot"/>
      </w:r>
    </w:p>
    <w:p>
      <w:pPr>
        <w:spacing w:after="80" w:line="276"/>
        <w:ind w:left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T-02: Evaluation Criteria Design</w:t>
      </w:r>
      <w:r>
        <w:rPr>
          <w:rFonts w:ascii="Arial" w:cs="Arial" w:eastAsia="Arial" w:hAnsi="Arial"/>
          <w:color w:val="666666"/>
          <w:sz w:val="22"/>
          <w:szCs w:val="22"/>
        </w:rPr>
        <w:ptab w:alignment="right" w:relativeTo="margin" w:leader="dot"/>
      </w:r>
    </w:p>
    <w:p>
      <w:pPr>
        <w:spacing w:after="80" w:line="276"/>
        <w:ind w:left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T-03: Candidate Evaluation Scorecard</w:t>
      </w:r>
      <w:r>
        <w:rPr>
          <w:rFonts w:ascii="Arial" w:cs="Arial" w:eastAsia="Arial" w:hAnsi="Arial"/>
          <w:color w:val="666666"/>
          <w:sz w:val="22"/>
          <w:szCs w:val="22"/>
        </w:rPr>
        <w:ptab w:alignment="right" w:relativeTo="margin" w:leader="dot"/>
      </w:r>
    </w:p>
    <w:p>
      <w:pPr>
        <w:spacing w:after="80" w:line="276"/>
        <w:ind w:left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T-04: Structured Debrief Record</w:t>
      </w:r>
      <w:r>
        <w:rPr>
          <w:rFonts w:ascii="Arial" w:cs="Arial" w:eastAsia="Arial" w:hAnsi="Arial"/>
          <w:color w:val="666666"/>
          <w:sz w:val="22"/>
          <w:szCs w:val="22"/>
        </w:rPr>
        <w:ptab w:alignment="right" w:relativeTo="margin" w:leader="dot"/>
      </w:r>
    </w:p>
    <w:p>
      <w:pPr>
        <w:spacing w:after="80" w:line="276"/>
        <w:ind w:left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T-05: Hiring Decision Rationale</w:t>
      </w:r>
      <w:r>
        <w:rPr>
          <w:rFonts w:ascii="Arial" w:cs="Arial" w:eastAsia="Arial" w:hAnsi="Arial"/>
          <w:color w:val="666666"/>
          <w:sz w:val="22"/>
          <w:szCs w:val="22"/>
        </w:rPr>
        <w:ptab w:alignment="right" w:relativeTo="margin" w:leader="dot"/>
      </w:r>
    </w:p>
    <w:p>
      <w:pPr>
        <w:spacing w:after="80" w:line="276"/>
        <w:ind w:left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T-06: ADT Inventory Entry</w:t>
      </w:r>
      <w:r>
        <w:rPr>
          <w:rFonts w:ascii="Arial" w:cs="Arial" w:eastAsia="Arial" w:hAnsi="Arial"/>
          <w:color w:val="666666"/>
          <w:sz w:val="22"/>
          <w:szCs w:val="22"/>
        </w:rPr>
        <w:ptab w:alignment="right" w:relativeTo="margin" w:leader="dot"/>
      </w:r>
    </w:p>
    <w:p>
      <w:pPr>
        <w:spacing w:after="80" w:line="276"/>
        <w:ind w:left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T-07: ADT Human Review Record</w:t>
      </w:r>
      <w:r>
        <w:rPr>
          <w:rFonts w:ascii="Arial" w:cs="Arial" w:eastAsia="Arial" w:hAnsi="Arial"/>
          <w:color w:val="666666"/>
          <w:sz w:val="22"/>
          <w:szCs w:val="22"/>
        </w:rPr>
        <w:ptab w:alignment="right" w:relativeTo="margin" w:leader="dot"/>
      </w:r>
    </w:p>
    <w:p>
      <w:pPr>
        <w:spacing w:after="80" w:line="276"/>
        <w:ind w:left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T-08: Process Classification Record</w:t>
      </w:r>
      <w:r>
        <w:rPr>
          <w:rFonts w:ascii="Arial" w:cs="Arial" w:eastAsia="Arial" w:hAnsi="Arial"/>
          <w:color w:val="666666"/>
          <w:sz w:val="22"/>
          <w:szCs w:val="22"/>
        </w:rPr>
        <w:ptab w:alignment="right" w:relativeTo="margin" w:leader="dot"/>
      </w:r>
    </w:p>
    <w:p>
      <w:pPr>
        <w:spacing w:after="80" w:line="276"/>
        <w:ind w:left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T-09: Compensable Factor Analysis</w:t>
      </w:r>
      <w:r>
        <w:rPr>
          <w:rFonts w:ascii="Arial" w:cs="Arial" w:eastAsia="Arial" w:hAnsi="Arial"/>
          <w:color w:val="666666"/>
          <w:sz w:val="22"/>
          <w:szCs w:val="22"/>
        </w:rPr>
        <w:ptab w:alignment="right" w:relativeTo="margin" w:leader="dot"/>
      </w:r>
    </w:p>
    <w:p>
      <w:pPr>
        <w:spacing w:after="80" w:line="276"/>
        <w:ind w:left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T-10: Maturity Self-Assessment Instrument</w:t>
      </w:r>
      <w:r>
        <w:rPr>
          <w:rFonts w:ascii="Arial" w:cs="Arial" w:eastAsia="Arial" w:hAnsi="Arial"/>
          <w:color w:val="666666"/>
          <w:sz w:val="22"/>
          <w:szCs w:val="22"/>
        </w:rPr>
        <w:ptab w:alignment="right" w:relativeTo="margin" w:leader="dot"/>
      </w:r>
    </w:p>
    <w:p>
      <w:r>
        <w:br w:type="page"/>
      </w:r>
    </w:p>
    <w:p>
      <w:pPr>
        <w:pStyle w:val="Heading1"/>
      </w:pPr>
      <w:r>
        <w:t xml:space="preserve">1. Purpose and Usage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library provides fillable templates for implementing HCCS controls. Each template maps to specific control IDs in the Core Standard and is designed to produce the evidence required for audit.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How to use: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Complete the template for each relevant decision event. Retain completed templates as evidence per ER domain requirements (minimum 3 years, contemporaneous, retrievable).</w:t>
      </w:r>
    </w:p>
    <w:p>
      <w:pPr>
        <w:spacing w:before="120" w:after="120"/>
      </w:pPr>
    </w:p>
    <w:p>
      <w:pPr>
        <w:jc w:val="center"/>
      </w:pPr>
      <w:r>
        <w:drawing>
          <wp:inline distT="0" distB="0" distL="0" distR="0">
            <wp:extent cx="5334000" cy="2971800"/>
            <wp:effectExtent t="0" r="0" b="0" l="0"/>
            <wp:docPr id="1" name="Architecture" descr="Template Library sits in the three-document architecture" title="HCCS Document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/>
      </w:pPr>
    </w:p>
    <w:p>
      <w:pPr>
        <w:pStyle w:val="Heading2"/>
      </w:pPr>
      <w:r>
        <w:t xml:space="preserve">1.1 Template Index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400"/>
        <w:gridCol w:w="2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IDs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 Definition Worksheet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RG-001 to RG-007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 Governance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Evaluation Criteria Design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EI-001, EI-003, EI-010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Evaluation Integrity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Candidate Evaluation Scorecard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EI-002, EI-004, EI-005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Evaluation Integrity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Structured Debrief Record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DG-007, DG-009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Decision Governance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Hiring Decision Rationale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DG-001 to DG-006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Decision Governance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ADT Inventory Entry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AG-001, AG-003, AG-007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Governance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T-07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ADT Human Review Record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AG-002, AG-006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Governance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T-08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Process Classification Record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PI-001, PI-002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Process Integrity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T-09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Compensable Factor Analysis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CG-001 to CG-003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Compensation Gov.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T-10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Maturity Self-Assessment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domains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Cross-domain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T-01: Role Definition Worksheet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Controls: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HCCS-RG-001 through HCCS-RG-007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Instructions: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Complete all sections before sourcing begins. Both hiring manager and validator must sign. This document becomes the anchor for evaluation criteria (EI), decision rationale (DG), and compensation alignment (CG).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Role Title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Department / Business Unit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Reporting Line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Date Completed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Requisition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Business Outcomes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results is this role expected to deliver? Be specific and measurable.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30-Day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60-Day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90-Day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Annual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Decision Rights (RG-004)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Authority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Makes independently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Makes with consultation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Requires approval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Budget authority limit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Scope Indicators (RG-005)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Direct reports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Indirect reports / influence span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Cross-functional exposure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Ambiguity level (low/med/high)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Stakeholder exposure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Capabilities (RG-003)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Distinguish clearly between what the candidate MUST demonstrate at hire vs. what can be developed.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at Hire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Learnable Post-Hire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Compensable Factor Alignment (RG-007, linked to T-09)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(1-5)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Decision Authority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Scope Complexity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Accountability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Required Expertise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Approval (RG-006)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/ Signature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Hiring Manager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Validator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T-02: Evaluation Criteria Design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Controls: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HCCS-EI-001, EI-003, EI-010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Instructions: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Derive 4-6 criteria from the Role Definition (T-01). Define behavioral anchors at 1, 3, and 5. Lock this document before evaluating any candidate. This is the master criteria set used by all evaluators.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Role Title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Linked Role Definition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Criteria locked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Locked by (name)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Criterion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Capability assessed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Evaluation method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Construct validity basis (EI-010)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Behavioral Anchor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1 - Does not meet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3 - Meets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5 - Exceptional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Criterion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Capability assessed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Evaluation method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Construct validity basis (EI-010)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Behavioral Anchor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1 - Does not meet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3 - Meets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5 - Exceptional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Criterion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Capability assessed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Evaluation method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Construct validity basis (EI-010)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Behavioral Anchor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1 - Does not meet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3 - Meets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5 - Exceptional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Criterion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Capability assessed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Evaluation method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Construct validity basis (EI-010)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Behavioral Anchor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1 - Does not meet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3 - Meets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5 - Exceptional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Criterion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Capability assessed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Evaluation method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Construct validity basis (EI-010)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Behavioral Anchor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1 - Does not meet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3 - Meets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5 - Exceptional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Criterion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Capability assessed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Evaluation method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Construct validity basis (EI-010)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Behavioral Anchor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1 - Does not meet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3 - Meets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5 - Exceptional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r>
        <w:br w:type="page"/>
      </w:r>
    </w:p>
    <w:p>
      <w:pPr>
        <w:pStyle w:val="Heading1"/>
      </w:pPr>
      <w:r>
        <w:t xml:space="preserve">T-03: Candidate Evaluation Scorecard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Controls: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HCCS-EI-002, EI-004, EI-005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Instructions: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Complete independently before any group debrief. Score each criterion 1-5 using the anchors from T-02. Document specific evidence for each score. Scores of 4-5 require cited evidence; scores of 1-2 require documented rationale for what was absent.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Role Title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Candidate Name /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Evaluator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Evaluation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Evaluation Method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Start Time / End Time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(1-5)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Evidence / Rationale for Score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(1-5)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Evidence / Rationale for Score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(1-5)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Evidence / Rationale for Score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(1-5)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Evidence / Rationale for Score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 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(1-5)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Evidence / Rationale for Score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 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(1-5)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Evidence / Rationale for Score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60" w:after="60"/>
      </w:pPr>
    </w:p>
    <w:p>
      <w:pPr>
        <w:pStyle w:val="Heading3"/>
      </w:pPr>
      <w:r>
        <w:t xml:space="preserve">Overall Assessment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 NOT complete this section until all criteria are scored individually.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Structured synthesis (reference criteria scores, not overall impression)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Recommendation (advance / hold / reject)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Evaluator signature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Timestamp submitted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T-04: Structured Debrief Record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Controls: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HCCS-DG-007, DG-009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Instructions: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Follow the 5-step debrief protocol. All individual scorecards (T-03) MUST be submitted before this meeting begins. Document the sequence and any score changes.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Role Title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Candidate Name /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Debrief Date / Time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Facilitator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Participating Evaluators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Evaluator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Scorecard Submitted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Timestamp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Step 2: Evidence Presentation (criterion by criterion)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Evidence Discussed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Criterion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Criterion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Criterion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Criterion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Criterion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Criterion 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Step 3-4: Calibration and Re-scoring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Evaluator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Scores Changed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 for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Step 5: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Decision (advance / reject)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Decision-maker name and authority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Rationale (reference criteria)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Post-Decision Rationalization Check (DG-009)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Present? Y/N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Rationale documented &gt;24 hrs after decision?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Rationale omits reference to specific criteria?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Rationale contradicts documented scores?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Rationale uses subjective language without criteria linkage?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If any indicator = Y, flag for review under DG-005.</w:t>
      </w:r>
    </w:p>
    <w:p>
      <w:r>
        <w:br w:type="page"/>
      </w:r>
    </w:p>
    <w:p>
      <w:pPr>
        <w:pStyle w:val="Heading1"/>
      </w:pPr>
      <w:r>
        <w:t xml:space="preserve">T-05: Hiring Decision Rationale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Controls: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HCCS-DG-001 through DG-006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Instructions: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Complete within 24 hours of the decision. This is the primary decision record for audit. Must reference pre-defined criteria and cite specific evidence.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Role Title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Requisition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Decision Date / Time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Decision-Maker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Decision-Maker Title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Authority Basis (per matrix)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Decision (hire / reject / hold)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Selected Candidate Name / 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Criteria-Referenced Rationale (DG-001, DG-002)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EACH evaluation criterion, document the selected candidate's score and the specific evidence supporting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Cited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Criterion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Criterion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Criterion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Criterion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Criterion 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Criterion 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Comparative Basis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How did the selected candidate compare to other finalists on the criteria? (cite specific criteria differences, not overall impressions)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Rejection Rationale for Final-Stage Candidates (DG-006)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each candidate who reached final evaluation but was not selected: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Candidate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 Not Met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 Evidence / Gap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Conflict of Interest Disclosure (DG-004)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Disclosure Item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Present? Y/N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Prior personal or professional relationship with any candidate?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Financial interest in the hiring outcome?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Other potential conflicts?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T-06: ADT Inventory Entry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Controls: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HCCS-AG-001, AG-003, AG-007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Instructions: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Complete one entry per automated decision tool. Review and update at minimum annually.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Tool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Vendor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Function (screen/score/rank/recommend/benchmark)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Decision Scope (what decisions does it influence?)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 Inputs (what data does the tool use?)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Output (what does the tool produce?)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Deployment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Last Review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Accountable Owner (name, title)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Human Review Point (where does a human review?)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Explainability Documentation (AG-003)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 plain language, how does this tool produce its outputs? What criteria drive its recommendations?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Bias Testing Record (AG-004)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 Summary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Remediation (if needed)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T-07: ADT Human Review Record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Controls: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HCCS-AG-002, AG-006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Instructions: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Complete for every batch or individual ADT-supported decision. The reviewer MUST have authority to override the ADT. Passive batch approval does not satisfy this requirement.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ADT Name (per T-06 inventory)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Reviewer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Reviewer Title / Authority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Candidates / Decisions Reviewed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ADT Recommendations Reviewed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Review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Candidate /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ADT Output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Reviewer Decision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Override 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overrides this review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Reviewer signature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T-08: Process Classification Record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Controls: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HCCS-PI-001, PI-002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Instructions: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Complete BEFORE posting the role. The hiring manager must classify the process and sign. If internal-preference, document the rationale. This is the record that prevents performative posting findings.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Role Title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Requisition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Classification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Posting Date (must be after classification)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Hiring Manager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Process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preferred candidate. External and internal evaluated equally on criteria.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Internal-Preference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 candidate identified. Documented. External candidates still evaluated on same criteria.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Restricted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 transfer/promotion only. Not posted externally.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Internal-Preference Documentation (if applicable)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Internal candidate name /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Rationale for internal preference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Will external candidates be evaluated on identical criteria?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Hiring Manager Signature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T-09: Compensable Factor Analysis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Controls: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HCCS-CG-001 through CG-003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Instructions: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Score each of the five required compensable factors 1-5. Derive the target compensation range from the factor profile. Document the rationale connecting factors to pay. Salary history MUST NOT be used as a determining factor.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Role Title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Linked Role Definition (T-01)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Analysis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Factor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 / Evidence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Decision Authority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What decisions can this role make? Financial/strategic impact?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Scope Complexity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Systems, teams, geographies, ambiguity, competing priorities?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Accountability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End-to-end ownership? Consequences of failure?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Business Impact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Revenue, cost, risk, strategic impact? Impact radius?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Required Expertise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Non-trainable skill/knowledge? Market scarcity?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Compensation Determination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factor score (sum of 5 factors)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Factor-derived compensation range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Actual offer / compensation amount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If actual offer deviates from factor-derived range, document rationale: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Confirm: Salary history was NOT used as a determining factor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T-10: Maturity Self-Assessment Instrument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Controls: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All domains (cross-cutting)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Instructions: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Score each domain against the maturity level criteria. Provide evidence references for each claimed level. This instrument supports self-attestation (L1-L2) and forms the basis for validated self-assessment (L3).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Organization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Assessment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Assessor Name / Title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Assessment Period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Domain-Level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2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Claimed 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Evidence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Gaps / Remediation Plan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RG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Role Governance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EI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Evaluation Integrity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DG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Decision Governance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AG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AI Governance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PI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Process Integrity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CG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Compensation Gov.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ER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Evidence &amp; Records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Overall Maturity Level Claim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Overall claimed maturity level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Compliance tier (self-attest / validated / audit)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MUST Control Compliance Check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Level 3 claims: confirm all 25 MUST controls are operational.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MUST Controls Operational?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RG-001 to RG-004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EI-001 to EI-004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DG-001 to DG-003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AG-001 to AG-004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PI-001 to PI-003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CG-001 to CG-003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ER-001 to ER-004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SHOULD Control Status (Level 3+)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400"/>
        <w:gridCol w:w="34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SHOULD Control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Implemented?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No: Departure Rationale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Attestation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Assessor Signature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Executive Sponsor Signature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B6CB0" w:sz="4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© 2026 Diane Malefyt. All rights reserved.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6CB0" w:sz="4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HCCS-T-1.0 | Template Library</w:t>
    </w:r>
    <w:r>
      <w:rPr>
        <w:rFonts w:ascii="Arial" w:cs="Arial" w:eastAsia="Arial" w:hAnsi="Arial"/>
        <w:color w:val="666666"/>
        <w:sz w:val="18"/>
        <w:szCs w:val="18"/>
      </w:rPr>
      <w:t xml:space="preserve">	Aligned to HCCS-1.0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B6CB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7b3115cd8c035303d7894a06d39b4db2ec7c7267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2026-03-25T15:56:09.292Z</dcterms:created>
  <dcterms:modified xsi:type="dcterms:W3CDTF">2026-03-25T15:56:09.296Z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