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before="0" w:after="480"/>
        <w:ind w:firstLine="0"/>
        <w:jc w:val="center"/>
      </w:pPr>
      <w:r>
        <w:rPr>
          <w:rFonts w:ascii="Times New Roman" w:cs="Times New Roman" w:eastAsia="Times New Roman" w:hAnsi="Times New Roman"/>
          <w:b/>
          <w:bCs/>
          <w:sz w:val="28"/>
          <w:szCs w:val="28"/>
        </w:rPr>
        <w:t xml:space="preserve">ГЛАВА 1. ТЕОРИЯ И ОБЗОР СУЩЕСТВУЮЩИХ РЕШЕНИЙ</w:t>
      </w:r>
    </w:p>
    <w:p>
      <w:pPr>
        <w:spacing w:line="360" w:lineRule="auto" w:before="480" w:after="240"/>
        <w:ind w:firstLine="0"/>
        <w:jc w:val="center"/>
      </w:pPr>
      <w:r>
        <w:rPr>
          <w:rFonts w:ascii="Times New Roman" w:cs="Times New Roman" w:eastAsia="Times New Roman" w:hAnsi="Times New Roman"/>
          <w:b/>
          <w:bCs/>
          <w:sz w:val="28"/>
          <w:szCs w:val="28"/>
        </w:rPr>
        <w:t xml:space="preserve">1.1 Существующие исследования</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Автоматическое выявление дублирующихся сущностей в текстовых данных является устоявшейся задачей в области обработки естественного языка (Natural Language Processing, NLP). Применительно к аналитическим таксономиям событий задача распадается на два взаимосвязанных направления: семантическое сопоставление текстовых идентификаторов событий (duplicate detection) и проверка соответствия их форматирования принятым стандартам именования (naming convention validation). Оба направления имеют обширную теоретическую базу, которая рассматривается в настоящем разделе.</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1.1.1 Задача семантического сходства коротких текстов</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Семантическое сходство коротких текстов (Short Text Semantic Similarity) представляет собой фундаментальную NLP-задачу, направленную на определение меры смысловой близости между двумя текстовыми фрагментами. В обзорной работе Хана и соавторов [1] методы решения этой задачи систематизируются по трём категориям.</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К первой категории относятся </w:t>
      </w:r>
      <w:r>
        <w:rPr>
          <w:rFonts w:ascii="Times New Roman" w:cs="Times New Roman" w:eastAsia="Times New Roman" w:hAnsi="Times New Roman"/>
          <w:b/>
          <w:bCs/>
          <w:i w:val="false"/>
          <w:iCs w:val="false"/>
          <w:sz w:val="24"/>
          <w:szCs w:val="24"/>
        </w:rPr>
        <w:t xml:space="preserve">корпусные методы (corpus-based)</w:t>
      </w:r>
      <w:r>
        <w:rPr>
          <w:rFonts w:ascii="Times New Roman" w:cs="Times New Roman" w:eastAsia="Times New Roman" w:hAnsi="Times New Roman"/>
          <w:b w:val="false"/>
          <w:bCs w:val="false"/>
          <w:i w:val="false"/>
          <w:iCs w:val="false"/>
          <w:sz w:val="24"/>
          <w:szCs w:val="24"/>
        </w:rPr>
        <w:t xml:space="preserve">: TF-IDF, латентно-семантический анализ (LSA), Word2Vec, GloVe. Данные подходы строят векторные представления слов на основе статистики совстречаемости в больших корпусах текстов. Для задачи сравнения названий аналитических событий их применение ограничено: они плохо обрабатывают специфическую терминологию предметной области (</w:t>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button_click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purchase_complete</w:t>
      </w:r>
      <w:r>
        <w:rPr>
          <w:rFonts w:ascii="Times New Roman" w:cs="Times New Roman" w:eastAsia="Times New Roman" w:hAnsi="Times New Roman"/>
          <w:b w:val="false"/>
          <w:bCs w:val="false"/>
          <w:i w:val="false"/>
          <w:iCs w:val="false"/>
          <w:sz w:val="24"/>
          <w:szCs w:val="24"/>
        </w:rPr>
        <w:t xml:space="preserve">), не встречающуюся в общих корпусах.</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Вторая категория — </w:t>
      </w:r>
      <w:r>
        <w:rPr>
          <w:rFonts w:ascii="Times New Roman" w:cs="Times New Roman" w:eastAsia="Times New Roman" w:hAnsi="Times New Roman"/>
          <w:b/>
          <w:bCs/>
          <w:i w:val="false"/>
          <w:iCs w:val="false"/>
          <w:sz w:val="24"/>
          <w:szCs w:val="24"/>
        </w:rPr>
        <w:t xml:space="preserve">методы, основанные на тезаурусах (knowledge-based)</w:t>
      </w:r>
      <w:r>
        <w:rPr>
          <w:rFonts w:ascii="Times New Roman" w:cs="Times New Roman" w:eastAsia="Times New Roman" w:hAnsi="Times New Roman"/>
          <w:b w:val="false"/>
          <w:bCs w:val="false"/>
          <w:i w:val="false"/>
          <w:iCs w:val="false"/>
          <w:sz w:val="24"/>
          <w:szCs w:val="24"/>
        </w:rPr>
        <w:t xml:space="preserve">: использование WordNet, Wikidata и других онтологических источников для определения семантической близости через иерархию понятий. Применимость данных методов к технической терминологии продуктовой аналитики существенно ограничена в силу отсутствия соответствующих словарей.</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Третья категория — </w:t>
      </w:r>
      <w:r>
        <w:rPr>
          <w:rFonts w:ascii="Times New Roman" w:cs="Times New Roman" w:eastAsia="Times New Roman" w:hAnsi="Times New Roman"/>
          <w:b/>
          <w:bCs/>
          <w:i w:val="false"/>
          <w:iCs w:val="false"/>
          <w:sz w:val="24"/>
          <w:szCs w:val="24"/>
        </w:rPr>
        <w:t xml:space="preserve">методы глубокого обучения (deep learning-based)</w:t>
      </w:r>
      <w:r>
        <w:rPr>
          <w:rFonts w:ascii="Times New Roman" w:cs="Times New Roman" w:eastAsia="Times New Roman" w:hAnsi="Times New Roman"/>
          <w:b w:val="false"/>
          <w:bCs w:val="false"/>
          <w:i w:val="false"/>
          <w:iCs w:val="false"/>
          <w:sz w:val="24"/>
          <w:szCs w:val="24"/>
        </w:rPr>
        <w:t xml:space="preserve"> — демонстрирует значимое превосходство над двумя предыдущими категориями на всех стандартных бенчмарках [1]. Именно они составляют основу современных решений задачи детекции дублей.</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Ключевым достижением в данной области стала архитектура Sentence-BERT (SBERT), предложенная Реймерсом и Гуревичем в 2019 году [2]. В отличие от оригинальной модели BERT, требующей совместной обработки каждой пары предложений (cross-attention), SBERT использует сиамскую сеть, где каждое предложение кодируется независимо в компактный числовой вектор (эмбеддинг). Сходство между двумя названиями событий затем вычисляется как косинусное расстояние между их эмбеддингами, что снижает вычислительную сложность с O(n²) пар до O(n) операций кодирования. Авторы демонстрируют значение коэффициента Спирмена 0.8706 на датасете STS-B при использовании метрики косинусного сходства.</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Практически значимым результатом работы [2] является открытая библиотека </w:t>
      </w:r>
      <w:r>
        <w:rPr>
          <w:rFonts w:ascii="Times New Roman" w:cs="Times New Roman" w:eastAsia="Times New Roman" w:hAnsi="Times New Roman"/>
          <w:b w:val="false"/>
          <w:bCs w:val="false"/>
          <w:i/>
          <w:iCs/>
          <w:sz w:val="24"/>
          <w:szCs w:val="24"/>
        </w:rPr>
        <w:t xml:space="preserve">sentence-transformers</w:t>
      </w:r>
      <w:r>
        <w:rPr>
          <w:rFonts w:ascii="Times New Roman" w:cs="Times New Roman" w:eastAsia="Times New Roman" w:hAnsi="Times New Roman"/>
          <w:b w:val="false"/>
          <w:bCs w:val="false"/>
          <w:i w:val="false"/>
          <w:iCs w:val="false"/>
          <w:sz w:val="24"/>
          <w:szCs w:val="24"/>
        </w:rPr>
        <w:t xml:space="preserve"> (HuggingFace), содержащая более 10 000 предобученных моделей. Для задач настоящего исследования наибольший интерес представляют модели </w:t>
      </w:r>
      <w:r>
        <w:rPr>
          <w:rFonts w:ascii="Times New Roman" w:cs="Times New Roman" w:eastAsia="Times New Roman" w:hAnsi="Times New Roman"/>
          <w:b w:val="false"/>
          <w:bCs w:val="false"/>
          <w:i/>
          <w:iCs/>
          <w:sz w:val="24"/>
          <w:szCs w:val="24"/>
        </w:rPr>
        <w:t xml:space="preserve">all-MiniLM-L6-v2</w:t>
      </w:r>
      <w:r>
        <w:rPr>
          <w:rFonts w:ascii="Times New Roman" w:cs="Times New Roman" w:eastAsia="Times New Roman" w:hAnsi="Times New Roman"/>
          <w:b w:val="false"/>
          <w:bCs w:val="false"/>
          <w:i w:val="false"/>
          <w:iCs w:val="false"/>
          <w:sz w:val="24"/>
          <w:szCs w:val="24"/>
        </w:rPr>
        <w:t xml:space="preserve"> (быстрый baseline, F1 ≈ 82% на QQP) и </w:t>
      </w:r>
      <w:r>
        <w:rPr>
          <w:rFonts w:ascii="Times New Roman" w:cs="Times New Roman" w:eastAsia="Times New Roman" w:hAnsi="Times New Roman"/>
          <w:b w:val="false"/>
          <w:bCs w:val="false"/>
          <w:i/>
          <w:iCs/>
          <w:sz w:val="24"/>
          <w:szCs w:val="24"/>
        </w:rPr>
        <w:t xml:space="preserve">all-mpnet-base-v2</w:t>
      </w:r>
      <w:r>
        <w:rPr>
          <w:rFonts w:ascii="Times New Roman" w:cs="Times New Roman" w:eastAsia="Times New Roman" w:hAnsi="Times New Roman"/>
          <w:b w:val="false"/>
          <w:bCs w:val="false"/>
          <w:i w:val="false"/>
          <w:iCs w:val="false"/>
          <w:sz w:val="24"/>
          <w:szCs w:val="24"/>
        </w:rPr>
        <w:t xml:space="preserve"> (наилучшее качество по данным сравнительного исследования MDPI 2025 [3]). В случае если таксономия содержит события как на русском, так и на английском языке, применима модель </w:t>
      </w:r>
      <w:r>
        <w:rPr>
          <w:rFonts w:ascii="Times New Roman" w:cs="Times New Roman" w:eastAsia="Times New Roman" w:hAnsi="Times New Roman"/>
          <w:b w:val="false"/>
          <w:bCs w:val="false"/>
          <w:i/>
          <w:iCs/>
          <w:sz w:val="24"/>
          <w:szCs w:val="24"/>
        </w:rPr>
        <w:t xml:space="preserve">paraphrase-multilingual-mpnet-base-v2</w:t>
      </w:r>
      <w:r>
        <w:rPr>
          <w:rFonts w:ascii="Times New Roman" w:cs="Times New Roman" w:eastAsia="Times New Roman" w:hAnsi="Times New Roman"/>
          <w:b w:val="false"/>
          <w:bCs w:val="false"/>
          <w:i w:val="false"/>
          <w:iCs w:val="false"/>
          <w:sz w:val="24"/>
          <w:szCs w:val="24"/>
        </w:rPr>
        <w:t xml:space="preserve"> [2].</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1.1.2 Задача обнаружения дублей и парафраза</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Задача обнаружения дублей (duplicate detection) формализуется как бинарная классификация пар текстов: каждой паре присваивается метка «дубликат» или «не дубликат». Наиболее распространённым публичным датасетом для данной задачи является Quora Question Pairs (QQP) [4] — 404 351 пара вопросов с разметкой дублей/не-дублей. QQP является золотым стандартом для сравнения методов и составляет основу лидерборда задачи.</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 комплексном сравнительном исследовании MDPI </w:t>
      </w:r>
      <w:r>
        <w:rPr>
          <w:rFonts w:ascii="Times New Roman" w:cs="Times New Roman" w:eastAsia="Times New Roman" w:hAnsi="Times New Roman"/>
          <w:b w:val="false"/>
          <w:bCs w:val="false"/>
          <w:i/>
          <w:iCs/>
          <w:sz w:val="24"/>
          <w:szCs w:val="24"/>
        </w:rPr>
        <w:t xml:space="preserve">Computers</w:t>
      </w:r>
      <w:r>
        <w:rPr>
          <w:rFonts w:ascii="Times New Roman" w:cs="Times New Roman" w:eastAsia="Times New Roman" w:hAnsi="Times New Roman"/>
          <w:b w:val="false"/>
          <w:bCs w:val="false"/>
          <w:i w:val="false"/>
          <w:iCs w:val="false"/>
          <w:sz w:val="24"/>
          <w:szCs w:val="24"/>
        </w:rPr>
        <w:t xml:space="preserve"> (2025) [3] оцениваются пять современных трансформерных моделей (BERT, RoBERTa, DistilBERT, MPNet, MiniLM) на датасетах MRPC и QQP с использованием различных метрик сходства (косинусное, манхэттенское, евклидово расстояния). Ключевые результаты приведены в таблице 1.</w:t>
      </w:r>
    </w:p>
    <w:p>
      <w:pPr>
        <w:spacing w:line="360" w:lineRule="auto"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000"/>
        <w:gridCol w:w="1563"/>
        <w:gridCol w:w="1563"/>
      </w:tblGrid>
      <w:tr>
        <w:tc>
          <w:tcPr>
            <w:tcW w:type="dxa" w:w="24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Модель</w:t>
            </w:r>
          </w:p>
        </w:tc>
        <w:tc>
          <w:tcPr>
            <w:tcW w:type="dxa" w:w="15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Датасет</w:t>
            </w:r>
          </w:p>
        </w:tc>
        <w:tc>
          <w:tcPr>
            <w:tcW w:type="dxa" w:w="20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Метрика сходства</w:t>
            </w:r>
          </w:p>
        </w:tc>
        <w:tc>
          <w:tcPr>
            <w:tcW w:type="dxa" w:w="1563"/>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Accuracy</w:t>
            </w:r>
          </w:p>
        </w:tc>
        <w:tc>
          <w:tcPr>
            <w:tcW w:type="dxa" w:w="1563"/>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F1</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all-mpnet-base-v2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MRPC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Cosine</w:t>
            </w:r>
          </w:p>
        </w:tc>
        <w:tc>
          <w:tcPr>
            <w:tcW w:type="dxa" w:w="156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75.6%</w:t>
            </w:r>
          </w:p>
        </w:tc>
        <w:tc>
          <w:tcPr>
            <w:tcW w:type="dxa" w:w="156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0.836</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all-MiniLM-L6-v2</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MRPC</w:t>
            </w:r>
          </w:p>
        </w:tc>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Cosine</w:t>
            </w:r>
          </w:p>
        </w:tc>
        <w:tc>
          <w:tcPr>
            <w:tcW w:type="dxa" w:w="1563"/>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73.1%</w:t>
            </w:r>
          </w:p>
        </w:tc>
        <w:tc>
          <w:tcPr>
            <w:tcW w:type="dxa" w:w="1563"/>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0.814</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BERT-base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MRPC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Manhattan</w:t>
            </w:r>
          </w:p>
        </w:tc>
        <w:tc>
          <w:tcPr>
            <w:tcW w:type="dxa" w:w="156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74.2%</w:t>
            </w:r>
          </w:p>
        </w:tc>
        <w:tc>
          <w:tcPr>
            <w:tcW w:type="dxa" w:w="156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0.821</w:t>
            </w:r>
          </w:p>
        </w:tc>
      </w:tr>
      <w:tr>
        <w:tc>
          <w:tcPr>
            <w:tcW w:type="dxa" w:w="24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RoBERTa-base</w:t>
            </w:r>
          </w:p>
        </w:tc>
        <w:tc>
          <w:tcPr>
            <w:tcW w:type="dxa" w:w="15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MRPC</w:t>
            </w:r>
          </w:p>
        </w:tc>
        <w:tc>
          <w:tcPr>
            <w:tcW w:type="dxa" w:w="20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Cosine</w:t>
            </w:r>
          </w:p>
        </w:tc>
        <w:tc>
          <w:tcPr>
            <w:tcW w:type="dxa" w:w="1563"/>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74.0%</w:t>
            </w:r>
          </w:p>
        </w:tc>
        <w:tc>
          <w:tcPr>
            <w:tcW w:type="dxa" w:w="1563"/>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0.819</w:t>
            </w:r>
          </w:p>
        </w:tc>
      </w:tr>
      <w:tr>
        <w:tc>
          <w:tcPr>
            <w:tcW w:type="dxa" w:w="24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DistilBERT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MRPC</w:t>
            </w:r>
          </w:p>
        </w:tc>
        <w:tc>
          <w:tcPr>
            <w:tcW w:type="dxa" w:w="20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Cosine</w:t>
            </w:r>
          </w:p>
        </w:tc>
        <w:tc>
          <w:tcPr>
            <w:tcW w:type="dxa" w:w="156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71.8%</w:t>
            </w:r>
          </w:p>
        </w:tc>
        <w:tc>
          <w:tcPr>
            <w:tcW w:type="dxa" w:w="1563"/>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0.801</w:t>
            </w:r>
          </w:p>
        </w:tc>
      </w:tr>
    </w:tbl>
    <w:p>
      <w:pPr>
        <w:spacing w:line="360" w:lineRule="auto" w:before="240" w:after="120"/>
        <w:ind w:firstLine="0"/>
        <w:jc w:val="center"/>
      </w:pPr>
      <w:r>
        <w:rPr>
          <w:rFonts w:ascii="Times New Roman" w:cs="Times New Roman" w:eastAsia="Times New Roman" w:hAnsi="Times New Roman"/>
          <w:sz w:val="24"/>
          <w:szCs w:val="24"/>
        </w:rPr>
        <w:t xml:space="preserve">Таблица 1. Сравнение трансформерных моделей на задаче paraphrase detection. Источник [3].</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Существенным результатом исследования [3] является вывод о том, что оптимальные пороговые значения косинусного сходства для разбиения на классы «дубликат» / «не дубликат» существенно варьируются в диапазоне от 0.334 до 0.867 в зависимости от домена данных. Данное наблюдение определяет необходимость домен-специфической калибровки порогов для банковской аналитической таксономии.</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 работе Хана, Ши и Цуй (2025) [5] исследуется эффективность дообучения больших языковых моделей (LLM) на задаче QQP. Авторы демонстрируют, что дообучение LLaMA-7B с применением метода LoRA (Low-Rank Adaptation) достигает F1 &gt; 87%, превосходя сиамскую CNN (F1 ≈ 82%), и что </w:t>
      </w:r>
      <w:r>
        <w:rPr>
          <w:rFonts w:ascii="Times New Roman" w:cs="Times New Roman" w:eastAsia="Times New Roman" w:hAnsi="Times New Roman"/>
          <w:b/>
          <w:bCs/>
          <w:i w:val="false"/>
          <w:iCs w:val="false"/>
          <w:sz w:val="24"/>
          <w:szCs w:val="24"/>
        </w:rPr>
        <w:t xml:space="preserve">supervised fine-tuning значимо превосходит prompt engineering</w:t>
      </w:r>
      <w:r>
        <w:rPr>
          <w:rFonts w:ascii="Times New Roman" w:cs="Times New Roman" w:eastAsia="Times New Roman" w:hAnsi="Times New Roman"/>
          <w:b w:val="false"/>
          <w:bCs w:val="false"/>
          <w:i w:val="false"/>
          <w:iCs w:val="false"/>
          <w:sz w:val="24"/>
          <w:szCs w:val="24"/>
        </w:rPr>
        <w:t xml:space="preserve"> и n-shot подходы. Данный результат обосновывает ценность размеченного датасета для задачи настоящего исследования.</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1.1.3 Entity Matching с предобученными языковыми моделями</w:t>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Задача entity matching (EM) — установление соответствия между записями, описывающими одну и ту же реальную сущность, — является ближайшим академическим аналогом задачи детекции дублей в таксономии событий. Ключевой работой в данной области является система </w:t>
      </w:r>
      <w:r>
        <w:rPr>
          <w:rFonts w:ascii="Times New Roman" w:cs="Times New Roman" w:eastAsia="Times New Roman" w:hAnsi="Times New Roman"/>
          <w:b/>
          <w:bCs/>
          <w:i w:val="false"/>
          <w:iCs w:val="false"/>
          <w:sz w:val="24"/>
          <w:szCs w:val="24"/>
        </w:rPr>
        <w:t xml:space="preserve">DITTO</w:t>
      </w:r>
      <w:r>
        <w:rPr>
          <w:rFonts w:ascii="Times New Roman" w:cs="Times New Roman" w:eastAsia="Times New Roman" w:hAnsi="Times New Roman"/>
          <w:b w:val="false"/>
          <w:bCs w:val="false"/>
          <w:i w:val="false"/>
          <w:iCs w:val="false"/>
          <w:sz w:val="24"/>
          <w:szCs w:val="24"/>
        </w:rPr>
        <w:t xml:space="preserve">, предложенная Ли и соавторами (2020) [6]. DITTO использует архитектуру cross-encoder на базе BERT/RoBERTa/DistilBERT и дополняет её тремя техниками: аугментацией данных (span deletion, span summarization), инжекцией доменных знаний (span tagging) и блокировкой на основе TF-IDF для снижения вычислительной сложности. Прирост F1 по сравнению с методами, не использующими предобученные LM, составил до +35.9%.</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С архитектурной точки зрения DITTO реализует двухэтапный пайплайн: на первом этапе TF-IDF-блокировка отсеивает очевидно различные пары, на втором — cross-encoder выносит финальное решение по каждой паре кандидатов. Данная архитектура напрямую применима к задаче сопоставления событий в таксономии: названия событий рассматриваются как «записи», задача совпадения — как задача entity matching.</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 обзорной работе по deep entity matching Ли и соавторов (2021) [7] систематизированы проблемы, характерные для данной области: дисбаланс классов (негативных пар значительно больше позитивных), необходимость large-scale blocking при больших объёмах данных, а также ограниченная интерпретируемость нейросетевых решений. Все перечисленные аспекты релевантны для разрабатываемого инструмента.</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1.1.4 Методы сопоставления онтологий (Ontology Matching)</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Задача сопоставления онтологий (Ontology Matching) по своей постановке близка к задаче детекции дублей в таксономии: требуется установить соответствие между концептами двух онтологических структур. Ежегодный бенчмарк OAEI (Ontology Alignment Evaluation Initiative) предоставляет стандартизированную среду для сравнения систем и является основным ориентиром для оценки SOTA-результатов.</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 работе Бабаи Гиглу и соавторов (2024) [8] предложена система </w:t>
      </w:r>
      <w:r>
        <w:rPr>
          <w:rFonts w:ascii="Times New Roman" w:cs="Times New Roman" w:eastAsia="Times New Roman" w:hAnsi="Times New Roman"/>
          <w:b/>
          <w:bCs/>
          <w:i w:val="false"/>
          <w:iCs w:val="false"/>
          <w:sz w:val="24"/>
          <w:szCs w:val="24"/>
        </w:rPr>
        <w:t xml:space="preserve">LLMs4OM</w:t>
      </w:r>
      <w:r>
        <w:rPr>
          <w:rFonts w:ascii="Times New Roman" w:cs="Times New Roman" w:eastAsia="Times New Roman" w:hAnsi="Times New Roman"/>
          <w:b w:val="false"/>
          <w:bCs w:val="false"/>
          <w:i w:val="false"/>
          <w:iCs w:val="false"/>
          <w:sz w:val="24"/>
          <w:szCs w:val="24"/>
        </w:rPr>
        <w:t xml:space="preserve">, реализующая пайплайн «retrieve-then-prompt»: на первом этапе SBERT отбирает top-k кандидатов по семантическому сходству, на втором — LLM (GPT-4 или LLaMA) принимает финальное решение по каждой паре. Система демонстрирует высокое качество при минимальном объёме размеченных данных, однако требует значительных вычислительных ресурсов при масштабировании на большие таксономии.</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Система </w:t>
      </w:r>
      <w:r>
        <w:rPr>
          <w:rFonts w:ascii="Times New Roman" w:cs="Times New Roman" w:eastAsia="Times New Roman" w:hAnsi="Times New Roman"/>
          <w:b/>
          <w:bCs/>
          <w:i w:val="false"/>
          <w:iCs w:val="false"/>
          <w:sz w:val="24"/>
          <w:szCs w:val="24"/>
        </w:rPr>
        <w:t xml:space="preserve">MILA</w:t>
      </w:r>
      <w:r>
        <w:rPr>
          <w:rFonts w:ascii="Times New Roman" w:cs="Times New Roman" w:eastAsia="Times New Roman" w:hAnsi="Times New Roman"/>
          <w:b w:val="false"/>
          <w:bCs w:val="false"/>
          <w:i w:val="false"/>
          <w:iCs w:val="false"/>
          <w:sz w:val="24"/>
          <w:szCs w:val="24"/>
        </w:rPr>
        <w:t xml:space="preserve"> (2025) [9] показывает лучший F1 на бенчмарке OAEI biomedical 2023/2024 благодаря применению приоритетного обхода в глубину (prioritized DFS) и отправке в LLM только «пограничных» случаев. Данный подход существенно снижает число запросов к LLM при сохранении качества.</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Для LLM-подходов в задаче онтологического сопоставления характерна устойчивая закономерность: высокий Precision при относительно низком Recall — система «осторожна» в предсказаниях. В работе Хертлинга и Паульхайма (2023) [10] данная характеристика подтверждается для zero-shot подхода OLaLa на бенчмарке OAEI. Применительно к задаче проверки нейминга подобное поведение может быть предпочтительным: лучше не предупредить об одном нарушении, чем генерировать ложные тревоги, снижающие доверие аналитика к инструменту.</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1.1.5 Метрики оценки качества</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Выбор метрик для оценки качества инструмента детекции дублей и проверки нейминга определяется характером задачи — бинарной классификации пар с выраженным дисбалансом классов (большинство пар не являются дублями). В данных условиях метрика Accuracy непригодна в качестве основной, так как тривиальный классификатор «всё не дубли» достигает высокого значения.</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Основной метрикой в большинстве рассмотренных работ [6, 7] является </w:t>
      </w:r>
      <w:r>
        <w:rPr>
          <w:rFonts w:ascii="Times New Roman" w:cs="Times New Roman" w:eastAsia="Times New Roman" w:hAnsi="Times New Roman"/>
          <w:b/>
          <w:bCs/>
          <w:i w:val="false"/>
          <w:iCs w:val="false"/>
          <w:sz w:val="24"/>
          <w:szCs w:val="24"/>
        </w:rPr>
        <w:t xml:space="preserve">F1-score</w:t>
      </w:r>
      <w:r>
        <w:rPr>
          <w:rFonts w:ascii="Times New Roman" w:cs="Times New Roman" w:eastAsia="Times New Roman" w:hAnsi="Times New Roman"/>
          <w:b w:val="false"/>
          <w:bCs w:val="false"/>
          <w:i w:val="false"/>
          <w:iCs w:val="false"/>
          <w:sz w:val="24"/>
          <w:szCs w:val="24"/>
        </w:rPr>
        <w:t xml:space="preserve"> — гармоническое среднее Precision и Recall. Именно F1 используется на лидерборде QQP, в системе DITTO, в бенчмарке OAEI. Для случаев, когда ложноположительные срабатывания критичнее пропусков (аналитик получает избыточные предупреждения), целесообразно применять </w:t>
      </w:r>
      <w:r>
        <w:rPr>
          <w:rFonts w:ascii="Times New Roman" w:cs="Times New Roman" w:eastAsia="Times New Roman" w:hAnsi="Times New Roman"/>
          <w:b/>
          <w:bCs/>
          <w:i w:val="false"/>
          <w:iCs w:val="false"/>
          <w:sz w:val="24"/>
          <w:szCs w:val="24"/>
        </w:rPr>
        <w:t xml:space="preserve">F0.5-score</w:t>
      </w:r>
      <w:r>
        <w:rPr>
          <w:rFonts w:ascii="Times New Roman" w:cs="Times New Roman" w:eastAsia="Times New Roman" w:hAnsi="Times New Roman"/>
          <w:b w:val="false"/>
          <w:bCs w:val="false"/>
          <w:i w:val="false"/>
          <w:iCs w:val="false"/>
          <w:sz w:val="24"/>
          <w:szCs w:val="24"/>
        </w:rPr>
        <w:t xml:space="preserve">, взвешенный в пользу Precision. Метрика </w:t>
      </w:r>
      <w:r>
        <w:rPr>
          <w:rFonts w:ascii="Times New Roman" w:cs="Times New Roman" w:eastAsia="Times New Roman" w:hAnsi="Times New Roman"/>
          <w:b/>
          <w:bCs/>
          <w:i w:val="false"/>
          <w:iCs w:val="false"/>
          <w:sz w:val="24"/>
          <w:szCs w:val="24"/>
        </w:rPr>
        <w:t xml:space="preserve">AUC-ROC</w:t>
      </w:r>
      <w:r>
        <w:rPr>
          <w:rFonts w:ascii="Times New Roman" w:cs="Times New Roman" w:eastAsia="Times New Roman" w:hAnsi="Times New Roman"/>
          <w:b w:val="false"/>
          <w:bCs w:val="false"/>
          <w:i w:val="false"/>
          <w:iCs w:val="false"/>
          <w:sz w:val="24"/>
          <w:szCs w:val="24"/>
        </w:rPr>
        <w:t xml:space="preserve"> используется для оценки качества ранжирования кандидатов по порогу сходства, что необходимо для калибровки пороговых значений на домен-специфических данных.</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Для задачи проверки стандартов именования применяются Accuracy per rule (доля событий, соответствующих каждому правилу), Weighted F1 по всем правилам и матрица ошибок, позволяющая идентифицировать наиболее часто нарушаемые правила.</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Таким образом, анализ существующих исследований демонстрирует широкий спектр подходов к задачам семантического сходства и обнаружения дублей — от классических строковых метрик до современных LLM-пайплайнов. Ни одна из рассмотренных работ не рассматривает специализированную задачу управления качеством аналитической таксономии событий, что определяет актуальность и новизну настоящего исследования.</w:t>
      </w:r>
    </w:p>
    <w:p>
      <w:pPr>
        <w:spacing w:line="360" w:lineRule="auto" w:before="0" w:after="0"/>
      </w:pPr>
      <w:r>
        <w:t xml:space="preserve"/>
      </w:r>
    </w:p>
    <w:p>
      <w:pPr>
        <w:spacing w:line="360" w:lineRule="auto" w:before="480" w:after="240"/>
        <w:ind w:firstLine="0"/>
        <w:jc w:val="center"/>
      </w:pPr>
      <w:r>
        <w:rPr>
          <w:rFonts w:ascii="Times New Roman" w:cs="Times New Roman" w:eastAsia="Times New Roman" w:hAnsi="Times New Roman"/>
          <w:b/>
          <w:bCs/>
          <w:sz w:val="28"/>
          <w:szCs w:val="28"/>
        </w:rPr>
        <w:t xml:space="preserve">1.2 Обзор существующих инструментов</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Наряду с академическими исследованиями существует ряд промышленных платформ и сервисов, реализующих функционал детекции дублей и управления данными. В данном разделе рассматриваются четыре системы: Ataccama ONE, Informatica IDMC, IBM InfoSphere QualityStage и Amplitude — как наиболее релевантные для контекста настоящего исследования. Необходимо подчеркнуть принципиальное различие между контекстами применения: платформы класса MDM ориентированы на поиск дублей в корпоративных мастер-данных с жёсткой структурой (клиенты, поставщики, продуктовые справочники), тогда как аналитические таксономии событий — это, как правило, короткие строки в формате snake_case или camelCase, лишённые дополнительных атрибутов.</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1.2.1 Ataccama ONE</w:t>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Ataccama ONE [11] представляет собой комплексную платформу управления данными, объединяющую модули Data Quality, MDM и Data Catalog. В контексте настоящего исследования интерес представляет компонент </w:t>
      </w:r>
      <w:r>
        <w:rPr>
          <w:rFonts w:ascii="Times New Roman" w:cs="Times New Roman" w:eastAsia="Times New Roman" w:hAnsi="Times New Roman"/>
          <w:b/>
          <w:bCs/>
          <w:i w:val="false"/>
          <w:iCs w:val="false"/>
          <w:sz w:val="24"/>
          <w:szCs w:val="24"/>
        </w:rPr>
        <w:t xml:space="preserve">AI Matching</w:t>
      </w:r>
      <w:r>
        <w:rPr>
          <w:rFonts w:ascii="Times New Roman" w:cs="Times New Roman" w:eastAsia="Times New Roman" w:hAnsi="Times New Roman"/>
          <w:b w:val="false"/>
          <w:bCs w:val="false"/>
          <w:i w:val="false"/>
          <w:iCs w:val="false"/>
          <w:sz w:val="24"/>
          <w:szCs w:val="24"/>
        </w:rPr>
        <w:t xml:space="preserve">, реализующий интеллектуальный поиск дублирующихся записей в каталоге данных.</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С архитектурной точки зрения AI Matching построен на двух микросервисах: </w:t>
      </w:r>
      <w:r>
        <w:rPr>
          <w:rFonts w:ascii="Times New Roman" w:cs="Times New Roman" w:eastAsia="Times New Roman" w:hAnsi="Times New Roman"/>
          <w:b/>
          <w:bCs/>
          <w:i w:val="false"/>
          <w:iCs w:val="false"/>
          <w:sz w:val="24"/>
          <w:szCs w:val="24"/>
        </w:rPr>
        <w:t xml:space="preserve">Manager</w:t>
      </w:r>
      <w:r>
        <w:rPr>
          <w:rFonts w:ascii="Times New Roman" w:cs="Times New Roman" w:eastAsia="Times New Roman" w:hAnsi="Times New Roman"/>
          <w:b w:val="false"/>
          <w:bCs w:val="false"/>
          <w:i w:val="false"/>
          <w:iCs w:val="false"/>
          <w:sz w:val="24"/>
          <w:szCs w:val="24"/>
        </w:rPr>
        <w:t xml:space="preserve"> (управление процессами через gRPC) и </w:t>
      </w:r>
      <w:r>
        <w:rPr>
          <w:rFonts w:ascii="Times New Roman" w:cs="Times New Roman" w:eastAsia="Times New Roman" w:hAnsi="Times New Roman"/>
          <w:b/>
          <w:bCs/>
          <w:i w:val="false"/>
          <w:iCs w:val="false"/>
          <w:sz w:val="24"/>
          <w:szCs w:val="24"/>
        </w:rPr>
        <w:t xml:space="preserve">Worker</w:t>
      </w:r>
      <w:r>
        <w:rPr>
          <w:rFonts w:ascii="Times New Roman" w:cs="Times New Roman" w:eastAsia="Times New Roman" w:hAnsi="Times New Roman"/>
          <w:b w:val="false"/>
          <w:bCs w:val="false"/>
          <w:i w:val="false"/>
          <w:iCs w:val="false"/>
          <w:sz w:val="24"/>
          <w:szCs w:val="24"/>
        </w:rPr>
        <w:t xml:space="preserve"> (вычислительный модуль с поддержкой параллелизма через OpenMP и BLAS). Алгоритмическое ядро системы включает несколько взаимодополняющих компонентов.</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На этапе блокировки применяется жадный алгоритм покрытия множеств Хвателя (Chvatal's greedy set-cover), который автоматически подбирает оптимальные предикаты для группировки записей — токены, n-граммы, общие префиксы — с целью снизить вычислительную сложность с O(n</w:t>
      </w:r>
      <w:r>
        <w:rPr>
          <w:rFonts w:ascii="Times New Roman" w:cs="Times New Roman" w:eastAsia="Times New Roman" w:hAnsi="Times New Roman"/>
          <w:b w:val="false"/>
          <w:bCs w:val="false"/>
          <w:i w:val="false"/>
          <w:iCs w:val="false"/>
          <w:sz w:val="18"/>
          <w:szCs w:val="18"/>
        </w:rPr>
        <w:t xml:space="preserve">²</w:t>
      </w:r>
      <w:r>
        <w:rPr>
          <w:rFonts w:ascii="Times New Roman" w:cs="Times New Roman" w:eastAsia="Times New Roman" w:hAnsi="Times New Roman"/>
          <w:b w:val="false"/>
          <w:bCs w:val="false"/>
          <w:i w:val="false"/>
          <w:iCs w:val="false"/>
          <w:sz w:val="24"/>
          <w:szCs w:val="24"/>
        </w:rPr>
        <w:t xml:space="preserve">) до управляемого значения. Классификация пар осуществляется </w:t>
      </w:r>
      <w:r>
        <w:rPr>
          <w:rFonts w:ascii="Times New Roman" w:cs="Times New Roman" w:eastAsia="Times New Roman" w:hAnsi="Times New Roman"/>
          <w:b/>
          <w:bCs/>
          <w:i w:val="false"/>
          <w:iCs w:val="false"/>
          <w:sz w:val="24"/>
          <w:szCs w:val="24"/>
        </w:rPr>
        <w:t xml:space="preserve">регуляризованной логистической регрессией</w:t>
      </w:r>
      <w:r>
        <w:rPr>
          <w:rFonts w:ascii="Times New Roman" w:cs="Times New Roman" w:eastAsia="Times New Roman" w:hAnsi="Times New Roman"/>
          <w:b w:val="false"/>
          <w:bCs w:val="false"/>
          <w:i w:val="false"/>
          <w:iCs w:val="false"/>
          <w:sz w:val="24"/>
          <w:szCs w:val="24"/>
        </w:rPr>
        <w:t xml:space="preserve">, которая обучается с использованием </w:t>
      </w:r>
      <w:r>
        <w:rPr>
          <w:rFonts w:ascii="Times New Roman" w:cs="Times New Roman" w:eastAsia="Times New Roman" w:hAnsi="Times New Roman"/>
          <w:b/>
          <w:bCs/>
          <w:i w:val="false"/>
          <w:iCs w:val="false"/>
          <w:sz w:val="24"/>
          <w:szCs w:val="24"/>
        </w:rPr>
        <w:t xml:space="preserve">активного обучения (Active Learning)</w:t>
      </w:r>
      <w:r>
        <w:rPr>
          <w:rFonts w:ascii="Times New Roman" w:cs="Times New Roman" w:eastAsia="Times New Roman" w:hAnsi="Times New Roman"/>
          <w:b w:val="false"/>
          <w:bCs w:val="false"/>
          <w:i w:val="false"/>
          <w:iCs w:val="false"/>
          <w:sz w:val="24"/>
          <w:szCs w:val="24"/>
        </w:rPr>
        <w:t xml:space="preserve">: система самостоятельно отбирает наиболее «спорные» пары и предлагает эксперту разметить их. На финальном этапе применяется </w:t>
      </w:r>
      <w:r>
        <w:rPr>
          <w:rFonts w:ascii="Times New Roman" w:cs="Times New Roman" w:eastAsia="Times New Roman" w:hAnsi="Times New Roman"/>
          <w:b/>
          <w:bCs/>
          <w:i w:val="false"/>
          <w:iCs w:val="false"/>
          <w:sz w:val="24"/>
          <w:szCs w:val="24"/>
        </w:rPr>
        <w:t xml:space="preserve">иерархическая кластеризация методом центроидного связывания (Centroid Linkage)</w:t>
      </w:r>
      <w:r>
        <w:rPr>
          <w:rFonts w:ascii="Times New Roman" w:cs="Times New Roman" w:eastAsia="Times New Roman" w:hAnsi="Times New Roman"/>
          <w:b w:val="false"/>
          <w:bCs w:val="false"/>
          <w:i w:val="false"/>
          <w:iCs w:val="false"/>
          <w:sz w:val="24"/>
          <w:szCs w:val="24"/>
        </w:rPr>
        <w:t xml:space="preserve">, объединяющая записи в кластеры-дубликаты.</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Ключевое ограничение Ataccama AI Matching применительно к таксономии аналитических событий состоит в следующем. Алгоритм оперирует строковыми и токенными признаками, что эффективно для выявления опечаток, однако плохо распознаёт семантические дубликаты без предварительного накопления обучающих примеров. Система оптимальна для объёмов до 1 млн записей с жёсткой табличной структурой и не адаптирована к коротким однострочным идентификаторам событий. Платформа не предоставляет механизмов проверки соответствия стандартам именования.</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1.2.2 Informatica IDMC</w:t>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Informatica Intelligent Data Management Cloud (IDMC) [12] — ведущая корпоративная платформа управления данными, чей AI-слой носит название </w:t>
      </w:r>
      <w:r>
        <w:rPr>
          <w:rFonts w:ascii="Times New Roman" w:cs="Times New Roman" w:eastAsia="Times New Roman" w:hAnsi="Times New Roman"/>
          <w:b/>
          <w:bCs/>
          <w:i w:val="false"/>
          <w:iCs w:val="false"/>
          <w:sz w:val="24"/>
          <w:szCs w:val="24"/>
        </w:rPr>
        <w:t xml:space="preserve">CLAIRE</w:t>
      </w:r>
      <w:r>
        <w:rPr>
          <w:rFonts w:ascii="Times New Roman" w:cs="Times New Roman" w:eastAsia="Times New Roman" w:hAnsi="Times New Roman"/>
          <w:b w:val="false"/>
          <w:bCs w:val="false"/>
          <w:i w:val="false"/>
          <w:iCs w:val="false"/>
          <w:sz w:val="24"/>
          <w:szCs w:val="24"/>
        </w:rPr>
        <w:t xml:space="preserve"> (CLoud AI and Real-time Engine). В части дедупликации CLAIRE реализует принципиально иной подход по сравнению с Ataccama: вместо акцента на активном обучении на данных конкретного клиента система делает ставку на предобученные модели, обогащённые метаданными миллионов корпоративных проектов.</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Первым этапом является автоматическая классификация данных через </w:t>
      </w:r>
      <w:r>
        <w:rPr>
          <w:rFonts w:ascii="Times New Roman" w:cs="Times New Roman" w:eastAsia="Times New Roman" w:hAnsi="Times New Roman"/>
          <w:b/>
          <w:bCs/>
          <w:i w:val="false"/>
          <w:iCs w:val="false"/>
          <w:sz w:val="24"/>
          <w:szCs w:val="24"/>
        </w:rPr>
        <w:t xml:space="preserve">Smart Discovery</w:t>
      </w:r>
      <w:r>
        <w:rPr>
          <w:rFonts w:ascii="Times New Roman" w:cs="Times New Roman" w:eastAsia="Times New Roman" w:hAnsi="Times New Roman"/>
          <w:b w:val="false"/>
          <w:bCs w:val="false"/>
          <w:i w:val="false"/>
          <w:iCs w:val="false"/>
          <w:sz w:val="24"/>
          <w:szCs w:val="24"/>
        </w:rPr>
        <w:t xml:space="preserve">: CLAIRE анализирует не только содержимое, но и структурные характеристики поля. Семантическое сходство между записями вычисляется с использованием </w:t>
      </w:r>
      <w:r>
        <w:rPr>
          <w:rFonts w:ascii="Times New Roman" w:cs="Times New Roman" w:eastAsia="Times New Roman" w:hAnsi="Times New Roman"/>
          <w:b/>
          <w:bCs/>
          <w:i w:val="false"/>
          <w:iCs w:val="false"/>
          <w:sz w:val="24"/>
          <w:szCs w:val="24"/>
        </w:rPr>
        <w:t xml:space="preserve">контекстных эмбеддингов на основе архитектуры BERT/RoBERTa</w:t>
      </w:r>
      <w:r>
        <w:rPr>
          <w:rFonts w:ascii="Times New Roman" w:cs="Times New Roman" w:eastAsia="Times New Roman" w:hAnsi="Times New Roman"/>
          <w:b w:val="false"/>
          <w:bCs w:val="false"/>
          <w:i w:val="false"/>
          <w:iCs w:val="false"/>
          <w:sz w:val="24"/>
          <w:szCs w:val="24"/>
        </w:rPr>
        <w:t xml:space="preserve">. Каждое название события преобразуется в числовой вектор, и система способна «из коробки» устанавливать связь между синонимичными обозначениями — такими как </w:t>
      </w:r>
      <w:r>
        <w:rPr>
          <w:rFonts w:ascii="Times New Roman" w:cs="Times New Roman" w:eastAsia="Times New Roman" w:hAnsi="Times New Roman"/>
          <w:b w:val="false"/>
          <w:bCs w:val="false"/>
          <w:i/>
          <w:iCs/>
          <w:sz w:val="24"/>
          <w:szCs w:val="24"/>
        </w:rPr>
        <w:t xml:space="preserve">purchase</w:t>
      </w:r>
      <w:r>
        <w:rPr>
          <w:rFonts w:ascii="Times New Roman" w:cs="Times New Roman" w:eastAsia="Times New Roman" w:hAnsi="Times New Roman"/>
          <w:b w:val="false"/>
          <w:bCs w:val="false"/>
          <w:i w:val="false"/>
          <w:iCs w:val="false"/>
          <w:sz w:val="24"/>
          <w:szCs w:val="24"/>
        </w:rPr>
        <w:t xml:space="preserve"> и </w:t>
      </w:r>
      <w:r>
        <w:rPr>
          <w:rFonts w:ascii="Times New Roman" w:cs="Times New Roman" w:eastAsia="Times New Roman" w:hAnsi="Times New Roman"/>
          <w:b w:val="false"/>
          <w:bCs w:val="false"/>
          <w:i/>
          <w:iCs/>
          <w:sz w:val="24"/>
          <w:szCs w:val="24"/>
        </w:rPr>
        <w:t xml:space="preserve">buy</w:t>
      </w:r>
      <w:r>
        <w:rPr>
          <w:rFonts w:ascii="Times New Roman" w:cs="Times New Roman" w:eastAsia="Times New Roman" w:hAnsi="Times New Roman"/>
          <w:b w:val="false"/>
          <w:bCs w:val="false"/>
          <w:i w:val="false"/>
          <w:iCs w:val="false"/>
          <w:sz w:val="24"/>
          <w:szCs w:val="24"/>
        </w:rPr>
        <w:t xml:space="preserve">, — что выгодно отличает CLAIRE от Ataccama, где аналогичный результат требует накопления ручной разметки.</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Финальное решение принимается </w:t>
      </w:r>
      <w:r>
        <w:rPr>
          <w:rFonts w:ascii="Times New Roman" w:cs="Times New Roman" w:eastAsia="Times New Roman" w:hAnsi="Times New Roman"/>
          <w:b/>
          <w:bCs/>
          <w:i w:val="false"/>
          <w:iCs w:val="false"/>
          <w:sz w:val="24"/>
          <w:szCs w:val="24"/>
        </w:rPr>
        <w:t xml:space="preserve">двухуровневым движком сопоставления</w:t>
      </w:r>
      <w:r>
        <w:rPr>
          <w:rFonts w:ascii="Times New Roman" w:cs="Times New Roman" w:eastAsia="Times New Roman" w:hAnsi="Times New Roman"/>
          <w:b w:val="false"/>
          <w:bCs w:val="false"/>
          <w:i w:val="false"/>
          <w:iCs w:val="false"/>
          <w:sz w:val="24"/>
          <w:szCs w:val="24"/>
        </w:rPr>
        <w:t xml:space="preserve">: жёсткие правила на первом уровне и ML-компонент CLAIRE с вычислением score уверенности на основе трансфера знаний между проектами — на втором. Дополнительно реализован </w:t>
      </w:r>
      <w:r>
        <w:rPr>
          <w:rFonts w:ascii="Times New Roman" w:cs="Times New Roman" w:eastAsia="Times New Roman" w:hAnsi="Times New Roman"/>
          <w:b/>
          <w:bCs/>
          <w:i w:val="false"/>
          <w:iCs w:val="false"/>
          <w:sz w:val="24"/>
          <w:szCs w:val="24"/>
        </w:rPr>
        <w:t xml:space="preserve">Field Pairing</w:t>
      </w:r>
      <w:r>
        <w:rPr>
          <w:rFonts w:ascii="Times New Roman" w:cs="Times New Roman" w:eastAsia="Times New Roman" w:hAnsi="Times New Roman"/>
          <w:b w:val="false"/>
          <w:bCs w:val="false"/>
          <w:i w:val="false"/>
          <w:iCs w:val="false"/>
          <w:sz w:val="24"/>
          <w:szCs w:val="24"/>
        </w:rPr>
        <w:t xml:space="preserve"> — механизм автоматического игнорирования шумовых фрагментов строки (версионные суффиксы _v1, _v2).</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Применительно к задаче аналитической таксономии у Informatica существует ряд существенных ограничений. Система рассчитана на структурированные мастер-данные с множеством атрибутов, тогда как событие в таксономии — зачастую единственная короткая строка. Платформа не имеет встроенного механизма проверки правил именования и не интегрируется с инструментами продуктовой аналитики. Высокая стоимость лицензирования и сложность настройки делают платформу нецелесообразной для применения исключительно в целях управления таксономией событий.</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1.2.3 IBM InfoSphere QualityStage</w:t>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IBM InfoSphere QualityStage [13] реализует вероятностный подход к поиску дублей, считающийся одним из наиболее математически строгих в индустрии. В основе системы лежит </w:t>
      </w:r>
      <w:r>
        <w:rPr>
          <w:rFonts w:ascii="Times New Roman" w:cs="Times New Roman" w:eastAsia="Times New Roman" w:hAnsi="Times New Roman"/>
          <w:b/>
          <w:bCs/>
          <w:i w:val="false"/>
          <w:iCs w:val="false"/>
          <w:sz w:val="24"/>
          <w:szCs w:val="24"/>
        </w:rPr>
        <w:t xml:space="preserve">вероятностная модель связывания записей Фелледжи–Сантера (Fellegi–Sunter)</w:t>
      </w:r>
      <w:r>
        <w:rPr>
          <w:rFonts w:ascii="Times New Roman" w:cs="Times New Roman" w:eastAsia="Times New Roman" w:hAnsi="Times New Roman"/>
          <w:b w:val="false"/>
          <w:bCs w:val="false"/>
          <w:i w:val="false"/>
          <w:iCs w:val="false"/>
          <w:sz w:val="24"/>
          <w:szCs w:val="24"/>
        </w:rPr>
        <w:t xml:space="preserve">: для каждого сравниваемого поля вычисляются m-вероятность (совпадение при условии дубля) и u-вероятность (случайное совпадение), на основе которых рассчитывается логарифмический вес поля, а итоговый Match Score — взвешенная сумма по всем полям.</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Для снижения вычислительной сложности IBM применяет </w:t>
      </w:r>
      <w:r>
        <w:rPr>
          <w:rFonts w:ascii="Times New Roman" w:cs="Times New Roman" w:eastAsia="Times New Roman" w:hAnsi="Times New Roman"/>
          <w:b/>
          <w:bCs/>
          <w:i w:val="false"/>
          <w:iCs w:val="false"/>
          <w:sz w:val="24"/>
          <w:szCs w:val="24"/>
        </w:rPr>
        <w:t xml:space="preserve">многопроходную стратегию (Multi-pass Matching)</w:t>
      </w:r>
      <w:r>
        <w:rPr>
          <w:rFonts w:ascii="Times New Roman" w:cs="Times New Roman" w:eastAsia="Times New Roman" w:hAnsi="Times New Roman"/>
          <w:b w:val="false"/>
          <w:bCs w:val="false"/>
          <w:i w:val="false"/>
          <w:iCs w:val="false"/>
          <w:sz w:val="24"/>
          <w:szCs w:val="24"/>
        </w:rPr>
        <w:t xml:space="preserve">: первый проход обрабатывает строгие совпадения, второй — фонетические сходства с игнорированием разделителей, третий — поиск по редким токенам. Отдельного внимания заслуживает механизм </w:t>
      </w:r>
      <w:r>
        <w:rPr>
          <w:rFonts w:ascii="Times New Roman" w:cs="Times New Roman" w:eastAsia="Times New Roman" w:hAnsi="Times New Roman"/>
          <w:b/>
          <w:bCs/>
          <w:i w:val="false"/>
          <w:iCs w:val="false"/>
          <w:sz w:val="24"/>
          <w:szCs w:val="24"/>
        </w:rPr>
        <w:t xml:space="preserve">Identity Resolution на базе технологии SSA-NAME3</w:t>
      </w:r>
      <w:r>
        <w:rPr>
          <w:rFonts w:ascii="Times New Roman" w:cs="Times New Roman" w:eastAsia="Times New Roman" w:hAnsi="Times New Roman"/>
          <w:b w:val="false"/>
          <w:bCs w:val="false"/>
          <w:i w:val="false"/>
          <w:iCs w:val="false"/>
          <w:sz w:val="24"/>
          <w:szCs w:val="24"/>
        </w:rPr>
        <w:t xml:space="preserve">, который генерирует поисковые ключи, устойчивые к перестановке слов: события «Home Page Viewed» и «Viewed Home Page» получат идентичный ключ, что полезно применительно к таксономии аналитических событий.</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 современных версиях (Cloud Pak for Data) IBM дополнила классический движок ML-слоем: </w:t>
      </w:r>
      <w:r>
        <w:rPr>
          <w:rFonts w:ascii="Times New Roman" w:cs="Times New Roman" w:eastAsia="Times New Roman" w:hAnsi="Times New Roman"/>
          <w:b/>
          <w:bCs/>
          <w:i w:val="false"/>
          <w:iCs w:val="false"/>
          <w:sz w:val="24"/>
          <w:szCs w:val="24"/>
        </w:rPr>
        <w:t xml:space="preserve">Auto-tuning</w:t>
      </w:r>
      <w:r>
        <w:rPr>
          <w:rFonts w:ascii="Times New Roman" w:cs="Times New Roman" w:eastAsia="Times New Roman" w:hAnsi="Times New Roman"/>
          <w:b w:val="false"/>
          <w:bCs w:val="false"/>
          <w:i w:val="false"/>
          <w:iCs w:val="false"/>
          <w:sz w:val="24"/>
          <w:szCs w:val="24"/>
        </w:rPr>
        <w:t xml:space="preserve"> автоматически подбирает пороговые значения Match Score, а </w:t>
      </w:r>
      <w:r>
        <w:rPr>
          <w:rFonts w:ascii="Times New Roman" w:cs="Times New Roman" w:eastAsia="Times New Roman" w:hAnsi="Times New Roman"/>
          <w:b/>
          <w:bCs/>
          <w:i w:val="false"/>
          <w:iCs w:val="false"/>
          <w:sz w:val="24"/>
          <w:szCs w:val="24"/>
        </w:rPr>
        <w:t xml:space="preserve">Term Assignment</w:t>
      </w:r>
      <w:r>
        <w:rPr>
          <w:rFonts w:ascii="Times New Roman" w:cs="Times New Roman" w:eastAsia="Times New Roman" w:hAnsi="Times New Roman"/>
          <w:b w:val="false"/>
          <w:bCs w:val="false"/>
          <w:i w:val="false"/>
          <w:iCs w:val="false"/>
          <w:sz w:val="24"/>
          <w:szCs w:val="24"/>
        </w:rPr>
        <w:t xml:space="preserve"> использует ML для автоматического присвоения бизнес-терминов техническим названиям колонок — функциональность, наиболее близкая к задаче настоящего исследования.</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Вместе с тем QualityStage имеет существенные ограничения. Система требует обязательного этапа ручной стандартизации перед поиском дублей. Частотные словари, необходимые для качественного вероятностного сопоставления, неэффективны на небольших таксономиях (до нескольких тысяч событий). Запуск поиска дублей требует создания полноценного DataStage Job, что несовместимо по трудозатратам с оперативным управлением продуктовой таксономией.</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1.2.4 Amplitude</w:t>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Amplitude [14] — ведущая платформа продуктовой аналитики, предоставляющая инструменты для сбора, анализа и управления событийными данными. В отличие от рассмотренных MDM-платформ, Amplitude изначально создана для работы именно с аналитическими событиями, что делает её наиболее прямым аналогом разрабатываемого инструмента с точки зрения предметной области.</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В состав Amplitude входит компонент </w:t>
      </w:r>
      <w:r>
        <w:rPr>
          <w:rFonts w:ascii="Times New Roman" w:cs="Times New Roman" w:eastAsia="Times New Roman" w:hAnsi="Times New Roman"/>
          <w:b/>
          <w:bCs/>
          <w:i w:val="false"/>
          <w:iCs w:val="false"/>
          <w:sz w:val="24"/>
          <w:szCs w:val="24"/>
        </w:rPr>
        <w:t xml:space="preserve">Amplitude Data</w:t>
      </w:r>
      <w:r>
        <w:rPr>
          <w:rFonts w:ascii="Times New Roman" w:cs="Times New Roman" w:eastAsia="Times New Roman" w:hAnsi="Times New Roman"/>
          <w:b w:val="false"/>
          <w:bCs w:val="false"/>
          <w:i w:val="false"/>
          <w:iCs w:val="false"/>
          <w:sz w:val="24"/>
          <w:szCs w:val="24"/>
        </w:rPr>
        <w:t xml:space="preserve"> (ранее Iteratively), реализующий концепцию Tracking Plan — централизованного каталога всех событий и их свойств. Механизм предотвращения дублей в Amplitude реализован исключительно как </w:t>
      </w:r>
      <w:r>
        <w:rPr>
          <w:rFonts w:ascii="Times New Roman" w:cs="Times New Roman" w:eastAsia="Times New Roman" w:hAnsi="Times New Roman"/>
          <w:b/>
          <w:bCs/>
          <w:i w:val="false"/>
          <w:iCs w:val="false"/>
          <w:sz w:val="24"/>
          <w:szCs w:val="24"/>
        </w:rPr>
        <w:t xml:space="preserve">rule-based фильтрация</w:t>
      </w:r>
      <w:r>
        <w:rPr>
          <w:rFonts w:ascii="Times New Roman" w:cs="Times New Roman" w:eastAsia="Times New Roman" w:hAnsi="Times New Roman"/>
          <w:b w:val="false"/>
          <w:bCs w:val="false"/>
          <w:i w:val="false"/>
          <w:iCs w:val="false"/>
          <w:sz w:val="24"/>
          <w:szCs w:val="24"/>
        </w:rPr>
        <w:t xml:space="preserve">: при добавлении нового события система предлагает список похожих по строковому совпадению существующих событий на основе токенного сравнения и простого нечёткого поиска.</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Принципиальное ограничение подхода Amplitude состоит в полном отсутствии семантического анализа. Система не способна автоматически связать события, описывающие одно действие разными словами: button_click и cta_tap, purchase_completed и order_success будут представлены как самостоятельные события без каких-либо предупреждений.</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Что касается проверки стандартов именования, Amplitude позволяет задавать </w:t>
      </w:r>
      <w:r>
        <w:rPr>
          <w:rFonts w:ascii="Times New Roman" w:cs="Times New Roman" w:eastAsia="Times New Roman" w:hAnsi="Times New Roman"/>
          <w:b/>
          <w:bCs/>
          <w:i w:val="false"/>
          <w:iCs w:val="false"/>
          <w:sz w:val="24"/>
          <w:szCs w:val="24"/>
        </w:rPr>
        <w:t xml:space="preserve">naming conventions</w:t>
      </w:r>
      <w:r>
        <w:rPr>
          <w:rFonts w:ascii="Times New Roman" w:cs="Times New Roman" w:eastAsia="Times New Roman" w:hAnsi="Times New Roman"/>
          <w:b w:val="false"/>
          <w:bCs w:val="false"/>
          <w:i w:val="false"/>
          <w:iCs w:val="false"/>
          <w:sz w:val="24"/>
          <w:szCs w:val="24"/>
        </w:rPr>
        <w:t xml:space="preserve"> в виде текстовых правил, однако их соблюдение носит рекомендательный характер. Автоматической проверки формата при добавлении события не предусмотрено: разработчик может отправить событие с произвольным именем, которое немедленно попадёт в аналитический поток.</w:t>
      </w:r>
    </w:p>
    <w:p>
      <w:pPr>
        <w:spacing w:line="360" w:lineRule="auto" w:before="0" w:after="0"/>
      </w:pPr>
      <w:r>
        <w:t xml:space="preserve"/>
      </w:r>
    </w:p>
    <w:p>
      <w:pPr>
        <w:spacing w:line="360" w:lineRule="auto" w:before="360" w:after="180"/>
        <w:ind w:firstLine="0"/>
        <w:jc w:val="center"/>
      </w:pPr>
      <w:r>
        <w:rPr>
          <w:rFonts w:ascii="Times New Roman" w:cs="Times New Roman" w:eastAsia="Times New Roman" w:hAnsi="Times New Roman"/>
          <w:b/>
          <w:bCs/>
          <w:sz w:val="24"/>
          <w:szCs w:val="24"/>
        </w:rPr>
        <w:t xml:space="preserve">1.2.5 Сравнительный анализ</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На основании проведённого анализа можно сформулировать следующие выводы о соответствии существующих инструментов задаче автоматического выявления дублей и проверки стандартов именования в аналитических таксономиях.</w:t>
      </w:r>
    </w:p>
    <w:p>
      <w:pPr>
        <w:spacing w:line="360" w:lineRule="auto"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c>
          <w:tcPr>
            <w:tcW w:type="dxa" w:w="22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Критерий</w:t>
            </w:r>
          </w:p>
        </w:tc>
        <w:tc>
          <w:tcPr>
            <w:tcW w:type="dxa" w:w="17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Ataccama ONE</w:t>
            </w:r>
          </w:p>
        </w:tc>
        <w:tc>
          <w:tcPr>
            <w:tcW w:type="dxa" w:w="17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Informatica IDMC</w:t>
            </w:r>
          </w:p>
        </w:tc>
        <w:tc>
          <w:tcPr>
            <w:tcW w:type="dxa" w:w="1700"/>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IBM QualityStage</w:t>
            </w:r>
          </w:p>
        </w:tc>
        <w:tc>
          <w:tcPr>
            <w:tcW w:type="dxa" w:w="1726"/>
            <w:tcBorders>
              <w:top w:val="single" w:color="000000" w:sz="4"/>
              <w:left w:val="single" w:color="000000" w:sz="4"/>
              <w:bottom w:val="single" w:color="000000" w:sz="4"/>
              <w:right w:val="single" w:color="000000" w:sz="4"/>
            </w:tcBorders>
            <w:shd w:fill="D9E1F2"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Amplitude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Семантическая дедупликация</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Частично (Active Learning)</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Да (BERT-эмбеддинги)</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 (статистика весов)</w:t>
            </w:r>
          </w:p>
        </w:tc>
        <w:tc>
          <w:tcPr>
            <w:tcW w:type="dxa" w:w="172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Детекция опечаток</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Да (fuzzy, n-граммы)</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Да</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Да (SSA-NAME3)</w:t>
            </w:r>
          </w:p>
        </w:tc>
        <w:tc>
          <w:tcPr>
            <w:tcW w:type="dxa" w:w="17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Ограниченно</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Проверка нейминга</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c>
          <w:tcPr>
            <w:tcW w:type="dxa" w:w="172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Рекомендательно</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Работа с короткими строками</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Ограниченно</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Ограниченно</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Слабо</w:t>
            </w:r>
          </w:p>
        </w:tc>
        <w:tc>
          <w:tcPr>
            <w:tcW w:type="dxa" w:w="17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Да</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Интеграция с аналитикой</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c>
          <w:tcPr>
            <w:tcW w:type="dxa" w:w="172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Да</w:t>
            </w:r>
          </w:p>
        </w:tc>
      </w:tr>
      <w:tr>
        <w:tc>
          <w:tcPr>
            <w:tcW w:type="dxa" w:w="22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Сложность настройки</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Высокая</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Очень высокая</w:t>
            </w:r>
          </w:p>
        </w:tc>
        <w:tc>
          <w:tcPr>
            <w:tcW w:type="dxa" w:w="1700"/>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Очень высокая</w:t>
            </w:r>
          </w:p>
        </w:tc>
        <w:tc>
          <w:tcPr>
            <w:tcW w:type="dxa" w:w="1726"/>
            <w:tcBorders>
              <w:top w:val="single" w:color="000000" w:sz="4"/>
              <w:left w:val="single" w:color="000000" w:sz="4"/>
              <w:bottom w:val="single" w:color="000000" w:sz="4"/>
              <w:right w:val="single" w:color="000000" w:sz="4"/>
            </w:tcBorders>
            <w:shd w:fill="F2F2F2"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Низкая</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Объяснимость решений</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Средняя</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Низкая</w:t>
            </w:r>
          </w:p>
        </w:tc>
        <w:tc>
          <w:tcPr>
            <w:tcW w:type="dxa" w:w="1700"/>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Высокая</w:t>
            </w:r>
          </w:p>
        </w:tc>
        <w:tc>
          <w:tcPr>
            <w:tcW w:type="dxa" w:w="1726"/>
            <w:tcBorders>
              <w:top w:val="single" w:color="000000" w:sz="4"/>
              <w:left w:val="single" w:color="000000" w:sz="4"/>
              <w:bottom w:val="single" w:color="000000" w:sz="4"/>
              <w:right w:val="single" w:color="000000" w:sz="4"/>
            </w:tcBorders>
            <w:shd w:fill="FFFFFF" w:val="clear"/>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Нет</w:t>
            </w:r>
          </w:p>
        </w:tc>
      </w:tr>
    </w:tbl>
    <w:p>
      <w:pPr>
        <w:spacing w:line="360" w:lineRule="auto" w:before="240" w:after="120"/>
        <w:ind w:firstLine="0"/>
        <w:jc w:val="center"/>
      </w:pPr>
      <w:r>
        <w:rPr>
          <w:rFonts w:ascii="Times New Roman" w:cs="Times New Roman" w:eastAsia="Times New Roman" w:hAnsi="Times New Roman"/>
          <w:sz w:val="24"/>
          <w:szCs w:val="24"/>
        </w:rPr>
        <w:t xml:space="preserve">Таблица 2. Сравнение существующих решений по ключевым критериям.</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MDM-платформы обладают развитыми алгоритмическими возможностями в части дедупликации, однако ориентированы на структурированные корпоративные данные и не адаптированы к специфике коротких строковых идентификаторов событий. Amplitude предоставляет наиболее подходящую предметную среду, но лишена семантических механизмов поиска дублей и автоматической валидации именования. Выявленный разрыв — отсутствие специализированного инструмента, объединяющего </w:t>
      </w:r>
      <w:r>
        <w:rPr>
          <w:rFonts w:ascii="Times New Roman" w:cs="Times New Roman" w:eastAsia="Times New Roman" w:hAnsi="Times New Roman"/>
          <w:b/>
          <w:bCs/>
          <w:i w:val="false"/>
          <w:iCs w:val="false"/>
          <w:sz w:val="24"/>
          <w:szCs w:val="24"/>
        </w:rPr>
        <w:t xml:space="preserve">семантическую дедупликацию и проверку стандартов именования</w:t>
      </w:r>
      <w:r>
        <w:rPr>
          <w:rFonts w:ascii="Times New Roman" w:cs="Times New Roman" w:eastAsia="Times New Roman" w:hAnsi="Times New Roman"/>
          <w:b w:val="false"/>
          <w:bCs w:val="false"/>
          <w:i w:val="false"/>
          <w:iCs w:val="false"/>
          <w:sz w:val="24"/>
          <w:szCs w:val="24"/>
        </w:rPr>
        <w:t xml:space="preserve"> применительно к аналитическим таксономиям, — определяет научную и практическую новизну настоящего исследования.</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Дополнительно следует отметить, что все рассмотренные платформы оперируют на уровне </w:t>
      </w:r>
      <w:r>
        <w:rPr>
          <w:rFonts w:ascii="Times New Roman" w:cs="Times New Roman" w:eastAsia="Times New Roman" w:hAnsi="Times New Roman"/>
          <w:b/>
          <w:bCs/>
          <w:i w:val="false"/>
          <w:iCs w:val="false"/>
          <w:sz w:val="24"/>
          <w:szCs w:val="24"/>
        </w:rPr>
        <w:t xml:space="preserve">реактивного</w:t>
      </w:r>
      <w:r>
        <w:rPr>
          <w:rFonts w:ascii="Times New Roman" w:cs="Times New Roman" w:eastAsia="Times New Roman" w:hAnsi="Times New Roman"/>
          <w:b w:val="false"/>
          <w:bCs w:val="false"/>
          <w:i w:val="false"/>
          <w:iCs w:val="false"/>
          <w:sz w:val="24"/>
          <w:szCs w:val="24"/>
        </w:rPr>
        <w:t xml:space="preserve"> контроля качества — обнаруживая проблемы в уже накопленных данных. Разрабатываемый инструмент ориентирован на </w:t>
      </w:r>
      <w:r>
        <w:rPr>
          <w:rFonts w:ascii="Times New Roman" w:cs="Times New Roman" w:eastAsia="Times New Roman" w:hAnsi="Times New Roman"/>
          <w:b/>
          <w:bCs/>
          <w:i w:val="false"/>
          <w:iCs w:val="false"/>
          <w:sz w:val="24"/>
          <w:szCs w:val="24"/>
        </w:rPr>
        <w:t xml:space="preserve">превентивную</w:t>
      </w:r>
      <w:r>
        <w:rPr>
          <w:rFonts w:ascii="Times New Roman" w:cs="Times New Roman" w:eastAsia="Times New Roman" w:hAnsi="Times New Roman"/>
          <w:b w:val="false"/>
          <w:bCs w:val="false"/>
          <w:i w:val="false"/>
          <w:iCs w:val="false"/>
          <w:sz w:val="24"/>
          <w:szCs w:val="24"/>
        </w:rPr>
        <w:t xml:space="preserve"> модель: выявление потенциальных дублей и нарушений нейминга в момент добавления нового события в таксономию, до его попадания в аналитический поток.</w:t>
      </w:r>
    </w:p>
    <w:p>
      <w:pPr>
        <w:spacing w:line="360" w:lineRule="auto" w:before="0" w:after="0"/>
      </w:pPr>
      <w:r>
        <w:t xml:space="preserve"/>
      </w:r>
    </w:p>
    <w:p>
      <w:pPr>
        <w:spacing w:line="360" w:lineRule="auto" w:before="480" w:after="240"/>
        <w:ind w:firstLine="0"/>
        <w:jc w:val="center"/>
      </w:pPr>
      <w:r>
        <w:rPr>
          <w:rFonts w:ascii="Times New Roman" w:cs="Times New Roman" w:eastAsia="Times New Roman" w:hAnsi="Times New Roman"/>
          <w:b/>
          <w:bCs/>
          <w:sz w:val="28"/>
          <w:szCs w:val="28"/>
        </w:rPr>
        <w:t xml:space="preserve">1.3 Постановка задачи</w:t>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На основании анализа существующих исследований и инструментов сформулируем задачу настоящей работы в формальных терминах. Входными данными являются таксономия аналитических событий T = {e₁, e₂, …, eₙ}, где каждое событие eᵢ задаётся своим идентификатором-строкой (например, button_click, purchase_completed), а также набор правил именования R = {r₁, r₂, …, rₘ}, описывающих допустимый формат идентификаторов.</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Задача декомпозируется на две подзадачи. Первая — детекция семантических дублей: для каждой пары (eᵢ, eⱼ) определить принадлежность к классу «дубликат» (описывают одно и то же событие) или «не дубликат». Вторая — валидация стандартов именования: для каждого события eᵢ определить соответствие каждому правилу rₖ из набора R.</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b w:val="false"/>
          <w:bCs w:val="false"/>
          <w:i w:val="false"/>
          <w:iCs w:val="false"/>
          <w:sz w:val="24"/>
          <w:szCs w:val="24"/>
        </w:rPr>
        <w:t xml:space="preserve">Для первой подзадачи рассматривается несколько архитектурных подходов: строковые baseline-методы (Levenshtein, TF-IDF), bi-encoder на основе SBERT, cross-encoder (DITTO-архитектура) и LLM zero-shot в качестве верхней оценки качества. Основной метрикой качества выбран </w:t>
      </w:r>
      <w:r>
        <w:rPr>
          <w:rFonts w:ascii="Times New Roman" w:cs="Times New Roman" w:eastAsia="Times New Roman" w:hAnsi="Times New Roman"/>
          <w:b/>
          <w:bCs/>
          <w:i w:val="false"/>
          <w:iCs w:val="false"/>
          <w:sz w:val="24"/>
          <w:szCs w:val="24"/>
        </w:rPr>
        <w:t xml:space="preserve">F1-score</w:t>
      </w:r>
      <w:r>
        <w:rPr>
          <w:rFonts w:ascii="Times New Roman" w:cs="Times New Roman" w:eastAsia="Times New Roman" w:hAnsi="Times New Roman"/>
          <w:b w:val="false"/>
          <w:bCs w:val="false"/>
          <w:i w:val="false"/>
          <w:iCs w:val="false"/>
          <w:sz w:val="24"/>
          <w:szCs w:val="24"/>
        </w:rPr>
        <w:t xml:space="preserve">, дополнительными — Precision, Recall и AUC-ROC. Для второй подзадачи применяются регулярные выражения и LLM-классификация нарушений; метрики — Accuracy per rule и Weighted F1.</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Отдельную задачу составляет формирование датасета. Поскольку публичных размеченных датасетов аналитических событий в открытом доступе не существует, предусматривается синтетическая генерация пар на основе реальной таксономии компании-партнёра и тщательно разработанных стратегий аугментации, обеспечивающих покрытие всех типов дублей: точных совпадений, опечаток, вариаций формата, синонимов и семантических дублей.</w:t>
      </w:r>
    </w:p>
    <w:p>
      <w:pPr>
        <w:spacing w:line="360" w:lineRule="auto" w:before="0" w:after="0"/>
      </w:pPr>
      <w:r>
        <w:t xml:space="preserve"/>
      </w:r>
    </w:p>
    <w:p>
      <w:pPr>
        <w:spacing w:line="360" w:lineRule="auto" w:before="0" w:after="0"/>
        <w:ind w:firstLine="709"/>
        <w:jc w:val="both"/>
      </w:pPr>
      <w:r>
        <w:rPr>
          <w:rFonts w:ascii="Times New Roman" w:cs="Times New Roman" w:eastAsia="Times New Roman" w:hAnsi="Times New Roman"/>
          <w:i w:val="false"/>
          <w:iCs w:val="false"/>
          <w:sz w:val="24"/>
          <w:szCs w:val="24"/>
        </w:rPr>
        <w:t xml:space="preserve">Таким образом, первая глава устанавливает теоретическую базу исследования, обозначает ключевые методологические ориентиры (SBERT, DITTO, двухэтапный bi-encoder + cross-encoder пайплайн) и формирует обоснование новизны разрабатываемого инструмента в сравнении с существующими решениями.</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360" w:lineRule="auto" w:before="0" w:after="0"/>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2026-03-22T08:34:37.007Z</dcterms:created>
  <dcterms:modified xsi:type="dcterms:W3CDTF">2026-03-22T08:34:37.008Z</dcterms:modified>
</cp:coreProperties>
</file>

<file path=docProps/custom.xml><?xml version="1.0" encoding="utf-8"?>
<Properties xmlns="http://schemas.openxmlformats.org/officeDocument/2006/custom-properties" xmlns:vt="http://schemas.openxmlformats.org/officeDocument/2006/docPropsVTypes"/>
</file>