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></Relationship>
  <Relationship Id="rId4" Type="http://schemas.openxmlformats.org/officeDocument/2006/relationships/extended-properties" Target="docProps/app.xml"></Relationship>
  <Relationship Id="rId1" Type="http://schemas.openxmlformats.org/officeDocument/2006/relationships/officeDocument" Target="word/document.xml"></Relationship>
  <Relationship Id="rId2" Type="http://schemas.openxmlformats.org/package/2006/relationships/metadata/thumbnail" Target="docProps/thumbnail.jpeg"></Relationship>
  <Relationship Id="rId5" Type="http://schemas.openxmlformats.org/officeDocument/2006/relationships/custom-properties" Target="docProps/custom.xml"></Relationship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eastAsia="思源黑体" w:ascii="Times New Roman" w:hAnsi="Times New Roman" w:cs="Times New Roman"/>
          <w:sz w:val="48"/>
          <w:szCs w:val="48"/>
          <w:b/>
          <w:bCs/>
        </w:rPr>
        <w:t>健身训练与饮食管理系统</w:t>
      </w:r>
    </w:p>
    <w:p>
      <w:pPr>
        <w:jc w:val="center"/>
      </w:pPr>
      <w:r>
        <w:rPr>
          <w:rFonts w:eastAsia="思源黑体" w:ascii="Times New Roman" w:hAnsi="Times New Roman" w:cs="Times New Roman"/>
          <w:sz w:val="30"/>
          <w:szCs w:val="30"/>
          <w:b/>
          <w:bCs/>
        </w:rPr>
        <w:t>第一阶段（W1–W2）需求与技术方案说明书</w:t>
      </w:r>
    </w:p>
    <w:p>
      <w:r>
        <w:rPr>
          <w:rFonts w:eastAsia="思源黑体" w:ascii="Times New Roman" w:hAnsi="Times New Roman" w:cs="Times New Roman"/>
          <w:sz w:val="20"/>
          <w:szCs w:val="20"/>
        </w:rPr>
        <w:t>课题名称：基于 SpringBoot+Vue 的健身训练与饮食管理移动应用设计与实现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700"/>
        <w:gridCol w:w="6326"/>
      </w:tblGrid>
      <w:tr>
        <w:tc>
          <w:tcPr>
            <w:tcW w:type="dxa" w:w="27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20"/>
                <w:szCs w:val="20"/>
              </w:rPr>
              <w:t>项目信息</w:t>
            </w:r>
          </w:p>
        </w:tc>
        <w:tc>
          <w:tcPr>
            <w:tcW w:type="dxa" w:w="63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20"/>
                <w:szCs w:val="20"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课程 / 组别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软件工程 ／ G13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小组成员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方文锦、陈智杰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文档版本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v1.0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版本日期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2026-10-11（对应里程碑 M1：需求与技术方案冻结）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阶段区间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第 1–2 周（2026-09-28 ～ 2026-10-11）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本阶段交付物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需求清单、原型草图、仓库与开发环境、建表 SQL、接口文档初稿、Spring Boot 工程骨架</w:t>
            </w:r>
          </w:p>
        </w:tc>
      </w:tr>
      <w:tr>
        <w:tc>
          <w:tcPr>
            <w:tcW w:type="dxa" w:w="2700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编制依据</w:t>
            </w:r>
          </w:p>
        </w:tc>
        <w:tc>
          <w:tcPr>
            <w:tcW w:type="dxa" w:w="6326"/>
          </w:tcPr>
          <w:p>
            <w:r>
              <w:rPr>
                <w:rFonts w:eastAsia="思源黑体" w:ascii="Times New Roman" w:hAnsi="Times New Roman" w:cs="Times New Roman"/>
                <w:sz w:val="20"/>
                <w:szCs w:val="20"/>
              </w:rPr>
              <w:t>《项目介绍（AI 与移动 App 修订版）》《项目开发计划书（12 周）》</w:t>
            </w:r>
          </w:p>
        </w:tc>
      </w:tr>
    </w:tbl>
    <w:p>
      <w:pPr>
        <w:pStyle w:val="Heading1"/>
      </w:pPr>
      <w:r>
        <w:rPr>
          <w:rFonts w:eastAsia="思源黑体" w:ascii="Times New Roman" w:hAnsi="Times New Roman" w:cs="Times New Roman"/>
        </w:rPr>
        <w:t>一、文档说明</w:t>
      </w:r>
    </w:p>
    <w:p>
      <w:r>
        <w:rPr>
          <w:rFonts w:eastAsia="思源黑体" w:ascii="Times New Roman" w:hAnsi="Times New Roman" w:cs="Times New Roman"/>
          <w:sz w:val="22"/>
          <w:szCs w:val="22"/>
        </w:rPr>
        <w:t>本文档为第一阶段（需求冻结与技术准备）的成果汇总，用于确认项目需求范围、页面原型、技术版本、数据库表结构与接口约定，作为 M1 里程碑的验收依据，也是第二阶段（数据层与后端核心）开发与测试的共同口径。</w:t>
      </w:r>
    </w:p>
    <w:p>
      <w:r>
        <w:rPr>
          <w:rFonts w:eastAsia="思源黑体" w:ascii="Times New Roman" w:hAnsi="Times New Roman" w:cs="Times New Roman"/>
          <w:sz w:val="22"/>
          <w:szCs w:val="22"/>
        </w:rPr>
        <w:t>文中功能均为拟实现内容，最终以开发与验收结果为准；如需求或技术方案发生变更，需更新本文档并同步修订里程碑日期与交付物清单。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2000"/>
        <w:gridCol w:w="5026"/>
        <w:gridCol w:w="2000"/>
      </w:tblGrid>
      <w:tr>
        <w:tc>
          <w:tcPr>
            <w:tcW w:type="dxa" w:w="20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章节</w:t>
            </w:r>
          </w:p>
        </w:tc>
        <w:tc>
          <w:tcPr>
            <w:tcW w:type="dxa" w:w="50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对应 W1/W2 任务</w:t>
            </w:r>
          </w:p>
        </w:tc>
        <w:tc>
          <w:tcPr>
            <w:tcW w:type="dxa" w:w="20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对应 M1 验收要点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三、需求清单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 需求评审与范围确认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需求范围确认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四、业务规则口径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 需求评审与范围确认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需求范围确认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五、技术版本锁定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 锁定 Spring Boot、Vue、MySQL、Ollama 等版本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技术版本锁定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六、原型草图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 原型草图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需求范围确认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七、数据库表结构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W2 数据库表结构设计与评审（含 ai_consent、ai_report）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表结构确认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八、接口约定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W2 接口文档初稿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接口清单确认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九、仓库与环境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W1 搭建代码仓库、分支规范与开发环境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技术版本锁定</w:t>
            </w:r>
          </w:p>
        </w:tc>
      </w:tr>
      <w:tr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十、M1 自查表</w:t>
            </w:r>
          </w:p>
        </w:tc>
        <w:tc>
          <w:tcPr>
            <w:tcW w:type="dxa" w:w="5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——</w:t>
            </w:r>
          </w:p>
        </w:tc>
        <w:tc>
          <w:tcPr>
            <w:tcW w:type="dxa" w:w="20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M1 全部要点核对</w:t>
            </w:r>
          </w:p>
        </w:tc>
      </w:tr>
    </w:tbl>
    <w:p>
      <w:pPr>
        <w:pStyle w:val="Heading1"/>
      </w:pPr>
      <w:r>
        <w:rPr>
          <w:rFonts w:eastAsia="思源黑体" w:ascii="Times New Roman" w:hAnsi="Times New Roman" w:cs="Times New Roman"/>
        </w:rPr>
        <w:t>二、项目目标与边界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2.1 项目目标</w:t>
      </w:r>
    </w:p>
    <w:p>
      <w:r>
        <w:rPr>
          <w:rFonts w:eastAsia="思源黑体" w:ascii="Times New Roman" w:hAnsi="Times New Roman" w:cs="Times New Roman"/>
          <w:sz w:val="22"/>
          <w:szCs w:val="22"/>
        </w:rPr>
        <w:t>支持用户完成“制定计划 — 记录执行 — 查看统计 — 分析情况 — 调整安排”的完整使用过程；保留账户管理、训练管理、饮食管理、身体数据、统计图表与基础数据维护等核心模块；新增一键导入已有记录的 AI 分析，以及 Android 手机 App 的安装与使用体验。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2.2 边界与排除项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600"/>
        <w:gridCol w:w="7426"/>
      </w:tblGrid>
      <w:tr>
        <w:tc>
          <w:tcPr>
            <w:tcW w:type="dxa" w:w="16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type="dxa" w:w="74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纳入范围</w:t>
            </w:r>
          </w:p>
        </w:tc>
        <w:tc>
          <w:tcPr>
            <w:tcW w:type="dxa" w:w="74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手机端 App（Android 安装包）＋ 后端服务 ＋ 数据库；训练计划/记录、饮食摄入、体重变化、统计图表、后台维护、授权后的一键 AI 分析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数据性质</w:t>
            </w:r>
          </w:p>
        </w:tc>
        <w:tc>
          <w:tcPr>
            <w:tcW w:type="dxa" w:w="74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食物营养数据采用标注来源的每 100g 数据，计算结果属于估算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定位</w:t>
            </w:r>
          </w:p>
        </w:tc>
        <w:tc>
          <w:tcPr>
            <w:tcW w:type="dxa" w:w="74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仅提供一般性健身与饮食参考，不作疾病诊断或治疗建议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明确排除</w:t>
            </w:r>
          </w:p>
        </w:tc>
        <w:tc>
          <w:tcPr>
            <w:tcW w:type="dxa" w:w="74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首版不纳入食物图片识别、穿戴设备接入、社交社区、动处方式推荐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平台边界</w:t>
            </w:r>
          </w:p>
        </w:tc>
        <w:tc>
          <w:tcPr>
            <w:tcW w:type="dxa" w:w="74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移动端先交付 Android 安装包；iOS 适配作为条件允许时的后续扩展，不计入本次 12 周强制交付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三、需求清单</w:t>
      </w:r>
    </w:p>
    <w:p>
      <w:r>
        <w:rPr>
          <w:rFonts w:eastAsia="思源黑体" w:ascii="Times New Roman" w:hAnsi="Times New Roman" w:cs="Times New Roman"/>
          <w:sz w:val="20"/>
          <w:szCs w:val="20"/>
        </w:rPr>
        <w:t>优先级采用 MoSCoW 标记：M=必须实现（本期交付硬要求），S=应当实现（不影响主流程可后置），C=条件允许时实现。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3.1 功能需求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1080"/>
        <w:gridCol w:w="1300"/>
        <w:gridCol w:w="3300"/>
        <w:gridCol w:w="1900"/>
        <w:gridCol w:w="686"/>
      </w:tblGrid>
      <w:tr>
        <w:tc>
          <w:tcPr>
            <w:tcW w:type="dxa" w:w="76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编号</w:t>
            </w:r>
          </w:p>
        </w:tc>
        <w:tc>
          <w:tcPr>
            <w:tcW w:type="dxa" w:w="108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模块</w:t>
            </w:r>
          </w:p>
        </w:tc>
        <w:tc>
          <w:tcPr>
            <w:tcW w:type="dxa" w:w="1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需求点</w:t>
            </w:r>
          </w:p>
        </w:tc>
        <w:tc>
          <w:tcPr>
            <w:tcW w:type="dxa" w:w="3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说明</w:t>
            </w:r>
          </w:p>
        </w:tc>
        <w:tc>
          <w:tcPr>
            <w:tcW w:type="dxa" w:w="1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验收依据</w:t>
            </w:r>
          </w:p>
        </w:tc>
        <w:tc>
          <w:tcPr>
            <w:tcW w:type="dxa" w:w="68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优先级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FR-01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账户与目标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注册与登录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用户名＋密码注册登录，密码以散列值存储，登录失败统一提示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登录有效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FR-02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账户与目标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个人资料维护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维护昵称、性别、出生日期、身高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修改后重新查询一致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FR-03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账户与目标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每日目标设置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设置每日能量与蛋白质/碳水/脂肪目标，按生效日期保留历史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修改后重新查询一致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FR-04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账户与目标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鉴权与会话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登录后凭令牌访问接口，鉴权失效时引导重新登录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未登录无法访问私有接口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FR-05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创建训练计划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按日期创建计划，选择动作并填写目标组数、次数、重量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计划可创建、可查询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FR-06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计划编辑与取消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可修改与取消计划，已取消计划不计入完成率分母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修改计划不覆盖已有训练记录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FR-07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训练记录录入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记录每组重量与次数，允许与计划不同，支持临时训练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记录可保存、可回看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FR-08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完成打卡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计划可标记为完成，状态明确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完成与未完成状态明确，历史可查询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FR-09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历史查询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按日期区间查询计划与训练记录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历史可查询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FR-10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饮食管理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食物搜索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搜索公共食物库，支持个人自定义食物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可检索到目标食物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FR-11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饮食管理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按餐次录入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按早/午/晚/加餐录入食物与克重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记录可保存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FR-12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饮食管理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营养换算与快照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每 100g 营养值 × 克重 ÷ 100，保存录入时营养快照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汇总与换算结果一致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FR-13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饮食管理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记录维护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饮食记录可新增、修改、删除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新增、修改、删除后汇总同步更新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FR-14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身体数据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体重记录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按日期记录体重，同一天只保留一条记录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同日体重按统一规则更新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FR-15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身体数据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补录与修改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支持历史日期补录与修改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补录后统计同步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FR-16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统计分析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训练完成率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按区间内已完成计划数 ÷ 未取消计划总数计算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无计划时显示“暂无计划”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FR-17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统计分析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每日摄入汇总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汇总每日能量与三大营养素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与目标对比可查看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FR-18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统计分析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体重趋势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展示区间变化与七日平均，显示有效天数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缺失记录不冒充零值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FR-19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统计分析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时间范围切换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图表支持 7 天 / 30 天 / 自定义区间切换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可切换时间范围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FR-20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后台管理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动作库维护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维护动作名称、肌群、器械与启用状态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普通用户无法调用管理接口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FR-21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后台管理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食物库维护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维护每 100g 营养值、来源标注、生重/熟重/品牌规格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数据来源可追溯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FR-22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后台管理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账户状态管理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启用或停用账户，关键操作留痕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普通用户无法调用管理接口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FR-23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后台管理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管理接口鉴权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管理接口单独鉴权，与普通用户接口隔离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普通用户无法调用管理接口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FR-24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授权与撤回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首次进入确认使用范围，可随时撤回授权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授权可撤回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FR-25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一键生成分析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自动汇总本人已有数据，默认最近 30 天，可切换 7 天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不需重新填写已有数据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FR-26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历史报告查看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查看历史报告与生成时间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显示分析区间与生成时间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FR-27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报告删除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用户可删除本人报告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报告可删除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FR-28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数据不足与免责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资料不足时说明无法判断的项目，报告标注仅供参考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显示数据不足提示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FR-29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超时降级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模型不可用或超时时保留原始统计并提示稍后重试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不编造报告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FR-30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移动端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手机布局适配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适配手机屏幕与触控，以 375pt 为最小适配宽度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触控目标可用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FR-31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移动端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Android 封装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以 Capacitor 将 Vue 页面封装为 Android App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可生成安装包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FR-32</w:t>
            </w:r>
          </w:p>
        </w:tc>
        <w:tc>
          <w:tcPr>
            <w:tcW w:type="dxa" w:w="10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移动端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真机主流程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真机安装、登录，并完成记录、图表与分析流程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可安装和登录，主流程可完成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</w:tbl>
    <w:p>
      <w:pPr>
        <w:pStyle w:val="Heading2"/>
      </w:pPr>
      <w:r>
        <w:rPr>
          <w:rFonts w:eastAsia="思源黑体" w:ascii="Times New Roman" w:hAnsi="Times New Roman" w:cs="Times New Roman"/>
        </w:rPr>
        <w:t>3.2 非功能需求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900"/>
        <w:gridCol w:w="1300"/>
        <w:gridCol w:w="3480"/>
        <w:gridCol w:w="1900"/>
        <w:gridCol w:w="686"/>
      </w:tblGrid>
      <w:tr>
        <w:tc>
          <w:tcPr>
            <w:tcW w:type="dxa" w:w="76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编号</w:t>
            </w:r>
          </w:p>
        </w:tc>
        <w:tc>
          <w:tcPr>
            <w:tcW w:type="dxa" w:w="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类别</w:t>
            </w:r>
          </w:p>
        </w:tc>
        <w:tc>
          <w:tcPr>
            <w:tcW w:type="dxa" w:w="1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需求点</w:t>
            </w:r>
          </w:p>
        </w:tc>
        <w:tc>
          <w:tcPr>
            <w:tcW w:type="dxa" w:w="348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说明</w:t>
            </w:r>
          </w:p>
        </w:tc>
        <w:tc>
          <w:tcPr>
            <w:tcW w:type="dxa" w:w="1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验收依据</w:t>
            </w:r>
          </w:p>
        </w:tc>
        <w:tc>
          <w:tcPr>
            <w:tcW w:type="dxa" w:w="68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优先级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NFR-01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安全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传输与鉴权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接口走 HTTPS；登录鉴权与用户归属校验在后端完成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未授权请求被拒绝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NFR-02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安全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跨账号隔离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所有查询强制携带当前登录用户身份，私有记录按 user_id 归属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跨账号访问用例全部通过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NFR-03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隐私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最小必要字段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分析只发送所需字段，不传送姓名、手机号等身份信息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摘要字段白名单核对通过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NFR-04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隐私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模型权限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服务不拥有数据库直连权限，仅接收后端整理后的摘要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权限配置核对通过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NFR-05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可靠性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口径一致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先按确定规则计算统计值，再交模型解释；不一致不作为确定结论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数值核对用例通过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NFR-06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一致性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业务时区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按统一业务时区（Asia/Shanghai）归属每日记录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跨日边界记录归属正确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NFR-07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数据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事务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涉及多表写入时使用事务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异常写入不产生脏数据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NFR-08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性能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索引与查询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常用日期查询建立联合索引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关键查询走索引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NFR-09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性能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响应与超时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列表类接口响应控制在 1 秒内；AI 生成设置输入输出长度限制与超时降级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超时不阻塞主流程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NFR-10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合规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许可核对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使用 Qwen3-4B-Instruct-2507 前核对模型版本与 Apache-2.0 许可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模型卡与许可留档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NFR-11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协作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版本管理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代码托管 GitHub，按功能分支开发，合并前自测并经对方确认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提交与合并记录完整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</w:t>
            </w:r>
          </w:p>
        </w:tc>
      </w:tr>
      <w:tr>
        <w:tc>
          <w:tcPr>
            <w:tcW w:type="dxa" w:w="76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NFR-12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扩展</w:t>
            </w:r>
          </w:p>
        </w:tc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iOS 适配</w:t>
            </w:r>
          </w:p>
        </w:tc>
        <w:tc>
          <w:tcPr>
            <w:tcW w:type="dxa" w:w="348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具备 macOS 与 iOS 构建条件时再适配，不纳入本次交付</w:t>
            </w:r>
          </w:p>
        </w:tc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——</w:t>
            </w:r>
          </w:p>
        </w:tc>
        <w:tc>
          <w:tcPr>
            <w:tcW w:type="dxa" w:w="68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四、关键业务规则（开发与验收共同口径）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7126"/>
      </w:tblGrid>
      <w:tr>
        <w:tc>
          <w:tcPr>
            <w:tcW w:type="dxa" w:w="1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领域</w:t>
            </w:r>
          </w:p>
        </w:tc>
        <w:tc>
          <w:tcPr>
            <w:tcW w:type="dxa" w:w="71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规则要点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训练计划与记录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计划描述准备执行内容，记录保存实际完成情况；允许计划与实际组数不同，允许新增临时训练；完成率 = 区间内标记完成的计划数 ÷ 未取消的计划总数；无计划时显示“暂无计划”；修改计划不得覆盖已有训练记录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饮食换算与口径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单项摄入量 = 每 100g 营养值 × 实际克重 ÷ 100；能量用 kcal，蛋白质、碳水、脂肪用 g；先保留计算精度再按统一位数显示；食物区分生重、熟重与品牌规格；记录保存营养快照，避免食物库修改影响历史汇总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日期与体重统计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按统一业务时区归属每日记录；同一用户同一天只保留一条日体重记录；缺失记录显示为空不补零；七日平均采用区间内有效日记录计算并显示有效天数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AI 分析规则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默认取最近 30 天，可切换 7 天；训练计划数、完成数、实际训练次数、各日营养摄入与目标差异、体重记录与有效天数先按确定规则计算再交模型解释；缺失日期标注“未记录”；无计划时不计算完成率；模型数值与原始摘要核对不一致时不展示为确定结论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隐私与安全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只发送分析所需字段；登录鉴权与用户归属校验在后端完成；接口走 HTTPS；AI 服务不拥有数据库直连权限；报告可删除，授权可撤回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数据与事务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所有私有记录、授权及报告均按 user_id 归属；常用日期查询建立联合索引；涉及多表写入时使用事务</w:t>
            </w:r>
          </w:p>
        </w:tc>
      </w:tr>
    </w:tbl>
    <w:p>
      <w:pPr>
        <w:pStyle w:val="Heading1"/>
      </w:pPr>
      <w:r>
        <w:rPr>
          <w:rFonts w:eastAsia="思源黑体" w:ascii="Times New Roman" w:hAnsi="Times New Roman" w:cs="Times New Roman"/>
        </w:rPr>
        <w:t>五、技术选型与版本锁定</w:t>
      </w:r>
    </w:p>
    <w:p>
      <w:r>
        <w:rPr>
          <w:rFonts w:eastAsia="思源黑体" w:ascii="Times New Roman" w:hAnsi="Times New Roman" w:cs="Times New Roman"/>
          <w:sz w:val="20"/>
          <w:szCs w:val="20"/>
        </w:rPr>
        <w:t>下列版本为 W1 建项时锁定的拟选版本，实际安装结果需在 W1 末复核后回填；锁定后不再随意升级，确需升级须双方确认并同步更新文档。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300"/>
        <w:gridCol w:w="2100"/>
        <w:gridCol w:w="2400"/>
        <w:gridCol w:w="2300"/>
        <w:gridCol w:w="926"/>
      </w:tblGrid>
      <w:tr>
        <w:tc>
          <w:tcPr>
            <w:tcW w:type="dxa" w:w="1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层次</w:t>
            </w:r>
          </w:p>
        </w:tc>
        <w:tc>
          <w:tcPr>
            <w:tcW w:type="dxa" w:w="21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技术</w:t>
            </w:r>
          </w:p>
        </w:tc>
        <w:tc>
          <w:tcPr>
            <w:tcW w:type="dxa" w:w="24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拟锁定版本</w:t>
            </w:r>
          </w:p>
        </w:tc>
        <w:tc>
          <w:tcPr>
            <w:tcW w:type="dxa" w:w="2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用途</w:t>
            </w:r>
          </w:p>
        </w:tc>
        <w:tc>
          <w:tcPr>
            <w:tcW w:type="dxa" w:w="9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负责人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运行环境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JDK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Java 21 LTS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后端运行与构建基线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运行环境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Node.js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Node 20 LTS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前端构建与依赖管理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业务层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Spring Boot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3.3.x（锁定小版本）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接口、鉴权、校验与业务计算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业务层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Spring Security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随 Spring Boot 3.3.x 依赖版本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登录鉴权与接口访问控制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持久层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Spring Data JPA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随 Spring Boot 3.3.x 依赖版本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数据映射、事务与查询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持久层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MySQL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8.4.x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业务数据存储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表现层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Vue 3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3.5.x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手机端页面与路由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表现层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Vue Router / Axios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随 Vue 3 生态锁定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路由与 HTTPS 接口调用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图表层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Apache ECharts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5.5.x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摄入、训练与体重趋势图表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服务层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Ollama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0.x 稳定版（按 W1 末实际版本回填）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服务端本地模型运行与 Chat API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 服务层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Qwen3-4B-Instruct-2507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模型版本随模型卡核对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生成基于事实摘要的文字分析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移动端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Capacitor CLI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7.x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Android 工程封装与打包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移动端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Android SDK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API 34（编译目标，按真机环境确认）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打包、安装与真机调试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协作与构建</w:t>
            </w:r>
          </w:p>
        </w:tc>
        <w:tc>
          <w:tcPr>
            <w:tcW w:type="dxa" w:w="2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Git / GitHub / Maven / Vite</w:t>
            </w:r>
          </w:p>
        </w:tc>
        <w:tc>
          <w:tcPr>
            <w:tcW w:type="dxa" w:w="24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稳定版</w:t>
            </w:r>
          </w:p>
        </w:tc>
        <w:tc>
          <w:tcPr>
            <w:tcW w:type="dxa" w:w="23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版本管理、依赖管理与构建</w:t>
            </w:r>
          </w:p>
        </w:tc>
        <w:tc>
          <w:tcPr>
            <w:tcW w:type="dxa" w:w="9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方文锦、陈智杰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六、原型草图</w:t>
      </w:r>
    </w:p>
    <w:p>
      <w:r>
        <w:rPr>
          <w:rFonts w:eastAsia="思源黑体" w:ascii="Times New Roman" w:hAnsi="Times New Roman" w:cs="Times New Roman"/>
          <w:sz w:val="22"/>
          <w:szCs w:val="22"/>
        </w:rPr>
        <w:t>本阶段产出手机端线框原型一份（文件名：prototype.html），覆盖登录、首页概览、训练计划、训练记录、饮食录入、体重记录、统计分析、AI 分析与报告、我的/目标设置、后台管理共 11 个页面。原型仅用于对齐页面结构、元素与关键口径，不作为视觉设计稿。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600"/>
        <w:gridCol w:w="4026"/>
        <w:gridCol w:w="3400"/>
      </w:tblGrid>
      <w:tr>
        <w:tc>
          <w:tcPr>
            <w:tcW w:type="dxa" w:w="16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页面</w:t>
            </w:r>
          </w:p>
        </w:tc>
        <w:tc>
          <w:tcPr>
            <w:tcW w:type="dxa" w:w="40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主要元素</w:t>
            </w:r>
          </w:p>
        </w:tc>
        <w:tc>
          <w:tcPr>
            <w:tcW w:type="dxa" w:w="34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关键口径提示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P01 登录/注册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用户名、密码、登录、注册入口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登录失败统一提示，不泄露账号是否存在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P02 首页·今日概览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日期切换、今日摄入/目标/完成数、训练与饮食清单、体重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未记录的餐次与体重显示“未记录”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P03 训练计划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日期切换、计划卡片、动作与组次、编辑/打卡/取消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无计划时显示“暂无计划”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P04 训练记录录入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关联计划（可选/临时训练）、时间、逐组重量与次数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实际组数可与计划不同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P05 饮食录入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餐次切换、食物搜索、每 100g 营养值、克重、换算结果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记录保存营养快照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P06 体重记录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趋势图、日期、体重输入、历史列表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同日保存即更新，不留重复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P07 统计分析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范围切换、完成率环图、每日摄入柱图、体重折线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缺失日留空，不显示为 0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P08 AI 健身分析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授权开关、区间切换（30/7 天）、一键分析、历史报告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无需重复输入已有数据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P09 AI 报告详情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概况、训练执行、营养摄入、体重趋势、调整建议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标注区间、有效天数、生成时间与免责声明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P10 我的/目标设置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个人资料、每日目标与生效日期历史、隐私与授权、退出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目标按生效日期保留历史</w:t>
            </w:r>
          </w:p>
        </w:tc>
      </w:tr>
      <w:tr>
        <w:tc>
          <w:tcPr>
            <w:tcW w:type="dxa" w:w="16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P11 后台管理</w:t>
            </w:r>
          </w:p>
        </w:tc>
        <w:tc>
          <w:tcPr>
            <w:tcW w:type="dxa" w:w="40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动作库、食物库、账户状态维护入口</w:t>
            </w:r>
          </w:p>
        </w:tc>
        <w:tc>
          <w:tcPr>
            <w:tcW w:type="dxa" w:w="34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管理接口独立鉴权</w:t>
            </w:r>
          </w:p>
        </w:tc>
      </w:tr>
    </w:tbl>
    <w:p>
      <w:r>
        <w:rPr>
          <w:rFonts w:eastAsia="思源黑体" w:ascii="Times New Roman" w:hAnsi="Times New Roman" w:cs="Times New Roman"/>
          <w:sz w:val="20"/>
          <w:szCs w:val="20"/>
        </w:rPr>
        <w:t>统一基准宽度 375pt（最小适配宽度），触控目标不小于 44pt；底部标签栏 5 项：首页 / 训练 / 饮食 / 统计 / 我的。</w:t>
      </w:r>
    </w:p>
    <w:p>
      <w:r>
        <w:rPr>
          <w:rFonts w:eastAsia="思源黑体" w:ascii="Times New Roman" w:hAnsi="Times New Roman" w:cs="Times New Roman"/>
          <w:sz w:val="20"/>
          <w:szCs w:val="20"/>
        </w:rPr>
        <w:t>待第二阶段确认项：图表配色与交互细节、食物搜索联想规则、后台管理是否跟随手机端。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七、数据库表结构</w:t>
      </w:r>
    </w:p>
    <w:p>
      <w:r>
        <w:rPr>
          <w:rFonts w:eastAsia="思源黑体" w:ascii="Times New Roman" w:hAnsi="Times New Roman" w:cs="Times New Roman"/>
          <w:sz w:val="22"/>
          <w:szCs w:val="22"/>
        </w:rPr>
        <w:t>建表脚本见同目录 schema.sql（MySQL 8.4，utf8mb4）。所有私有记录、授权及报告均按 user_id 归属，常用日期查询建立联合索引，涉及多表写入时使用事务。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500"/>
        <w:gridCol w:w="3100"/>
        <w:gridCol w:w="3000"/>
        <w:gridCol w:w="1426"/>
      </w:tblGrid>
      <w:tr>
        <w:tc>
          <w:tcPr>
            <w:tcW w:type="dxa" w:w="15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数据表</w:t>
            </w:r>
          </w:p>
        </w:tc>
        <w:tc>
          <w:tcPr>
            <w:tcW w:type="dxa" w:w="31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关键字段</w:t>
            </w:r>
          </w:p>
        </w:tc>
        <w:tc>
          <w:tcPr>
            <w:tcW w:type="dxa" w:w="30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关系与用途</w:t>
            </w:r>
          </w:p>
        </w:tc>
        <w:tc>
          <w:tcPr>
            <w:tcW w:type="dxa" w:w="14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约束/索引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user_account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id、username、password_hash、role、height_cm、status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关联个人记录与目标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username 唯一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daily_goal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user_id、effective_date、kcal、protein_g、carb_g、fat_g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按生效日期保留目标历史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effective_date) 唯一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exercise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id、name、muscle_group、equipment、is_public、status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动作库，被计划与训练组引用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名称索引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food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id、name、brand、每 100g 四项营养值、state、source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食物库，区分生重/熟重/品牌规格并标注来源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名称索引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training_plan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id、user_id、planned_date、title、status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一个计划包含多个计划动作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planned_date) 联合索引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plan_item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plan_id、exercise_id、target_sets、target_reps、target_weight_kg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关联动作库与计划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(plan_id) 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workout_log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id、user_id、plan_id（可空）、performed_at、log_date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计划可选，支持临时训练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log_date) 联合索引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workout_set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log_id、exercise_id、set_no、weight_kg、reps、completed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一条训练记录包含多个组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(log_id) 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diet_record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user_id、record_date、meal、food_id、grams、营养快照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关联 food，保存录入时营养值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record_date) 联合索引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body_record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user_id、record_date、weight_kg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用户与日期联合唯一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record_date) 唯一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ai_consent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user_id、scope、granted_at、revoked_at、status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记录 AI 分析的授权与撤回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status) 索引</w:t>
            </w:r>
          </w:p>
        </w:tc>
      </w:tr>
      <w:tr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ai_report</w:t>
            </w:r>
          </w:p>
        </w:tc>
        <w:tc>
          <w:tcPr>
            <w:tcW w:type="dxa" w:w="31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user_id、period_start、period_end、summary_json、content、model_version、created_at</w:t>
            </w:r>
          </w:p>
        </w:tc>
        <w:tc>
          <w:tcPr>
            <w:tcW w:type="dxa" w:w="30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保存输入摘要、分析文本与模型版本，支持追溯或删除</w:t>
            </w:r>
          </w:p>
        </w:tc>
        <w:tc>
          <w:tcPr>
            <w:tcW w:type="dxa" w:w="14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(user_id, created_at) 索引</w:t>
            </w:r>
          </w:p>
        </w:tc>
      </w:tr>
    </w:tbl>
    <w:p>
      <w:r>
        <w:rPr>
          <w:rFonts w:eastAsia="思源黑体" w:ascii="Times New Roman" w:hAnsi="Times New Roman" w:cs="Times New Roman"/>
          <w:sz w:val="20"/>
          <w:szCs w:val="20"/>
        </w:rPr>
        <w:t>说明：AI 服务仅接收后端筛选出的必要摘要，不拥有数据库直连权限；summary_json 保留原始统计值，用于与模型输出数值核对。</w:t>
      </w:r>
    </w:p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八、接口约定（初稿）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8.1 约定</w:t>
      </w:r>
    </w:p>
    <w:p>
      <w:r>
        <w:rPr>
          <w:rFonts w:eastAsia="思源黑体" w:ascii="Times New Roman" w:hAnsi="Times New Roman" w:cs="Times New Roman"/>
          <w:sz w:val="22"/>
          <w:szCs w:val="22"/>
        </w:rPr>
        <w:t>接口前缀 /api，数据格式 JSON，字符编码 UTF-8，必须走 HTTPS；除登录与注册外，所有接口需在请求头携带令牌，后端统一校验登录身份与数据归属。</w:t>
      </w:r>
    </w:p>
    <w:p>
      <w:r>
        <w:rPr>
          <w:rFonts w:eastAsia="思源黑体" w:ascii="Times New Roman" w:hAnsi="Times New Roman" w:cs="Times New Roman"/>
          <w:sz w:val="20"/>
          <w:szCs w:val="20"/>
        </w:rPr>
        <w:t>统一返回结构：{ code, message, data, timestamp, traceId }。业务成功 code=0；参数或校验失败 code=4xx 段；未登录或越权 code=401/403；服务异常 code=500 段。分页统一使用 page、size、total 字段。</w:t>
      </w:r>
    </w:p>
    <w:p>
      <w:pPr>
        <w:pStyle w:val="Heading2"/>
      </w:pPr>
      <w:r>
        <w:rPr>
          <w:rFonts w:eastAsia="思源黑体" w:ascii="Times New Roman" w:hAnsi="Times New Roman" w:cs="Times New Roman"/>
        </w:rPr>
        <w:t>8.2 接口清单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700"/>
        <w:gridCol w:w="800"/>
        <w:gridCol w:w="3500"/>
        <w:gridCol w:w="3126"/>
        <w:gridCol w:w="900"/>
      </w:tblGrid>
      <w:tr>
        <w:tc>
          <w:tcPr>
            <w:tcW w:type="dxa" w:w="7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编号</w:t>
            </w:r>
          </w:p>
        </w:tc>
        <w:tc>
          <w:tcPr>
            <w:tcW w:type="dxa" w:w="8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方法</w:t>
            </w:r>
          </w:p>
        </w:tc>
        <w:tc>
          <w:tcPr>
            <w:tcW w:type="dxa" w:w="35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路径</w:t>
            </w:r>
          </w:p>
        </w:tc>
        <w:tc>
          <w:tcPr>
            <w:tcW w:type="dxa" w:w="31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说明</w:t>
            </w:r>
          </w:p>
        </w:tc>
        <w:tc>
          <w:tcPr>
            <w:tcW w:type="dxa" w:w="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6"/>
                <w:szCs w:val="16"/>
              </w:rPr>
              <w:t>鉴权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/api/auth/register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注册账号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否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/api/auth/login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登录并获取令牌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否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A-03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/api/user/profile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查询个人资料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A-04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PUT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/api/user/profile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修改个人资料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A-05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/api/goal/current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查询当前生效目标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A-06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/api/goal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新增/更新某生效日期目标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A-07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/api/goal/history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查询目标历史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/api/plans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创建训练计划（含计划动作）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/api/plans?from&amp;to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按区间查询计划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T-03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/api/plans/{id}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查询计划详情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T-04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PUT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/api/plans/{id}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修改计划（不覆盖已有记录）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T-05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/api/plans/{id}/complete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计划完成打卡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T-06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/api/plans/{id}/cancel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取消计划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T-07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/api/workout-logs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新增训练记录（含组明细，计划可选）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T-08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/api/workout-logs?from&amp;to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按区间查询训练记录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/api/foods/search?keyword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搜索食物（公共＋个人）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/api/diet-records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新增饮食记录（服务端换算并保存快照）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D-03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PUT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/api/diet-records/{id}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修改饮食记录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D-04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DELETE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/api/diet-records/{id}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删除饮食记录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D-05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/api/diet-records?date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查询某日饮食与汇总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B-01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/api/body-records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记录或更新当日体重（同日唯一）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B-02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/api/body-records?from&amp;to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查询体重区间与趋势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/api/stats/training-completion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训练完成率（含计划数、完成数、临时训练数）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/api/stats/nutrition/daily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每日摄入汇总与目标差异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S-03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/api/stats/body-weight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体重趋势与七日平均（含有效天数）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/api/admin/exercises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维护动作库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管理员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/api/admin/foods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维护公共食物库（每 100g 与来源）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管理员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M-03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PUT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/api/admin/accounts/{id}/status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启用或停用账户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管理员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AI-01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/api/ai/consent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确认授权 AI 分析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AI-02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/api/ai/consent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查询授权状态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AI-03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DELETE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/api/ai/consent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撤回授权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AI-04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POST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/api/ai/reports/generate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一键生成分析（默认 30 天，可传 7 天）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AI-05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/api/ai/reports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查询历史报告列表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AI-06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GET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/api/ai/reports/{id}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查看报告详情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  <w:tr>
        <w:tc>
          <w:tcPr>
            <w:tcW w:type="dxa" w:w="7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AI-07</w:t>
            </w:r>
          </w:p>
        </w:tc>
        <w:tc>
          <w:tcPr>
            <w:tcW w:type="dxa" w:w="8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DELETE</w:t>
            </w:r>
          </w:p>
        </w:tc>
        <w:tc>
          <w:tcPr>
            <w:tcW w:type="dxa" w:w="35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/api/ai/reports/{id}</w:t>
            </w:r>
          </w:p>
        </w:tc>
        <w:tc>
          <w:tcPr>
            <w:tcW w:type="dxa" w:w="3126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删除报告</w:t>
            </w:r>
          </w:p>
        </w:tc>
        <w:tc>
          <w:tcPr>
            <w:tcW w:type="dxa" w:w="900"/>
          </w:tcPr>
          <w:p>
            <w:r>
              <w:rPr>
                <w:rFonts w:eastAsia="思源黑体" w:ascii="Times New Roman" w:hAnsi="Times New Roman" w:cs="Times New Roman"/>
                <w:sz w:val="16"/>
                <w:szCs w:val="16"/>
              </w:rPr>
              <w:t>是</w:t>
            </w:r>
          </w:p>
        </w:tc>
      </w:tr>
    </w:tbl>
    <w:p>
      <w:r>
        <w:rPr>
          <w:rFonts w:eastAsia="思源黑体" w:ascii="Times New Roman" w:hAnsi="Times New Roman" w:cs="Times New Roman"/>
          <w:sz w:val="20"/>
          <w:szCs w:val="20"/>
        </w:rPr>
        <w:t>说明：生成分析时后端按当前登录用户身份读取数据并计算统计值，再组织 JSON 摘要调用模型；报告落库时同时保存 summary_json、content 与 model_version，便于追溯与数值核对。</w:t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九、仓库、环境与协作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7126"/>
      </w:tblGrid>
      <w:tr>
        <w:tc>
          <w:tcPr>
            <w:tcW w:type="dxa" w:w="1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事项</w:t>
            </w:r>
          </w:p>
        </w:tc>
        <w:tc>
          <w:tcPr>
            <w:tcW w:type="dxa" w:w="71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约定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代码托管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GitHub 私有仓库，按功能分支开发；main 为可运行主分支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分支命名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feature/模块-功能、fix/缺陷简述、docs/文档类变更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合并要求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合并前本地自测通过并经对方确认；接口变更同步更新接口文档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提交信息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简要说明变更内容与影响范围，关联需求编号（如 FR-12）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开发环境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 JDK 21 + Maven + MySQL 8.4；前端 Node 20 + Vite；AI 侧 Ollama 与模型本地部署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进度对齐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每周一次，核对当周交付物、阻塞项与下周任务，形成简短记录</w:t>
            </w:r>
          </w:p>
        </w:tc>
      </w:tr>
      <w:tr>
        <w:tc>
          <w:tcPr>
            <w:tcW w:type="dxa" w:w="1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缺陷管理</w:t>
            </w:r>
          </w:p>
        </w:tc>
        <w:tc>
          <w:tcPr>
            <w:tcW w:type="dxa" w:w="7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缺陷统一登记并跟踪至复测通过，验收前清空阻塞级与严重级缺陷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eastAsia="思源黑体" w:ascii="Times New Roman" w:hAnsi="Times New Roman" w:cs="Times New Roman"/>
        </w:rPr>
        <w:t>十、M1 验收自查表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3300"/>
        <w:gridCol w:w="2900"/>
        <w:gridCol w:w="1126"/>
      </w:tblGrid>
      <w:tr>
        <w:tc>
          <w:tcPr>
            <w:tcW w:type="dxa" w:w="17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核对项</w:t>
            </w:r>
          </w:p>
        </w:tc>
        <w:tc>
          <w:tcPr>
            <w:tcW w:type="dxa" w:w="3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验收要点</w:t>
            </w:r>
          </w:p>
        </w:tc>
        <w:tc>
          <w:tcPr>
            <w:tcW w:type="dxa" w:w="29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本阶段成果</w:t>
            </w:r>
          </w:p>
        </w:tc>
        <w:tc>
          <w:tcPr>
            <w:tcW w:type="dxa" w:w="11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结论</w:t>
            </w:r>
          </w:p>
        </w:tc>
      </w:tr>
      <w:tr>
        <w:tc>
          <w:tcPr>
            <w:tcW w:type="dxa" w:w="17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需求范围确认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需求清单覆盖全部模块，边界与排除项明确，双方确认</w:t>
            </w:r>
          </w:p>
        </w:tc>
        <w:tc>
          <w:tcPr>
            <w:tcW w:type="dxa" w:w="2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三、需求清单（32 项功能需求＋12 项非功能需求）</w:t>
            </w:r>
          </w:p>
        </w:tc>
        <w:tc>
          <w:tcPr>
            <w:tcW w:type="dxa" w:w="1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已确认</w:t>
            </w:r>
          </w:p>
        </w:tc>
      </w:tr>
      <w:tr>
        <w:tc>
          <w:tcPr>
            <w:tcW w:type="dxa" w:w="17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表结构确认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核心表与字段齐备，含 ai_consent、ai_report；索引与唯一约束明确</w:t>
            </w:r>
          </w:p>
        </w:tc>
        <w:tc>
          <w:tcPr>
            <w:tcW w:type="dxa" w:w="2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schema.sql + 七、数据库表结构</w:t>
            </w:r>
          </w:p>
        </w:tc>
        <w:tc>
          <w:tcPr>
            <w:tcW w:type="dxa" w:w="1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已评审</w:t>
            </w:r>
          </w:p>
        </w:tc>
      </w:tr>
      <w:tr>
        <w:tc>
          <w:tcPr>
            <w:tcW w:type="dxa" w:w="17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接口清单确认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接口覆盖账户、训练、饮食、体重、统计、后台与 AI 分析</w:t>
            </w:r>
          </w:p>
        </w:tc>
        <w:tc>
          <w:tcPr>
            <w:tcW w:type="dxa" w:w="2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八、接口约定（35 个接口）</w:t>
            </w:r>
          </w:p>
        </w:tc>
        <w:tc>
          <w:tcPr>
            <w:tcW w:type="dxa" w:w="1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初稿待联调细化</w:t>
            </w:r>
          </w:p>
        </w:tc>
      </w:tr>
      <w:tr>
        <w:tc>
          <w:tcPr>
            <w:tcW w:type="dxa" w:w="17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技术版本锁定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Boot、Vue、MySQL、Ollama 等版本锁定，环境可复现</w:t>
            </w:r>
          </w:p>
        </w:tc>
        <w:tc>
          <w:tcPr>
            <w:tcW w:type="dxa" w:w="2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五、技术选型与版本锁定</w:t>
            </w:r>
          </w:p>
        </w:tc>
        <w:tc>
          <w:tcPr>
            <w:tcW w:type="dxa" w:w="1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已锁定（版本待回填复核）</w:t>
            </w:r>
          </w:p>
        </w:tc>
      </w:tr>
      <w:tr>
        <w:tc>
          <w:tcPr>
            <w:tcW w:type="dxa" w:w="17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原型确认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手机端页面与关键口径对齐</w:t>
            </w:r>
          </w:p>
        </w:tc>
        <w:tc>
          <w:tcPr>
            <w:tcW w:type="dxa" w:w="2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prototype.html + 六、原型草图</w:t>
            </w:r>
          </w:p>
        </w:tc>
        <w:tc>
          <w:tcPr>
            <w:tcW w:type="dxa" w:w="1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已确认</w:t>
            </w:r>
          </w:p>
        </w:tc>
      </w:tr>
      <w:tr>
        <w:tc>
          <w:tcPr>
            <w:tcW w:type="dxa" w:w="17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工程骨架</w:t>
            </w:r>
          </w:p>
        </w:tc>
        <w:tc>
          <w:tcPr>
            <w:tcW w:type="dxa" w:w="3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Spring Boot 工程可启动，统一返回与异常处理就位</w:t>
            </w:r>
          </w:p>
        </w:tc>
        <w:tc>
          <w:tcPr>
            <w:tcW w:type="dxa" w:w="29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后端骨架（第二阶段继续完善）</w:t>
            </w:r>
          </w:p>
        </w:tc>
        <w:tc>
          <w:tcPr>
            <w:tcW w:type="dxa" w:w="11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进行中</w:t>
            </w:r>
          </w:p>
        </w:tc>
      </w:tr>
    </w:tbl>
    <w:p>
      <w:pPr>
        <w:pStyle w:val="Heading1"/>
      </w:pPr>
      <w:r>
        <w:rPr>
          <w:rFonts w:eastAsia="思源黑体" w:ascii="Times New Roman" w:hAnsi="Times New Roman" w:cs="Times New Roman"/>
        </w:rPr>
        <w:t>十一、遗留问题与下一阶段安排</w:t>
      </w:r>
    </w:p>
    <w:tbl>
      <w:tblPr>
        <w:tblW w:type="dxa" w:w="9026"/>
        <w:jc w:val="lef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ayout w:type="fixed"/>
        <w:tblLook w:firstColumn="1" w:firstRow="1" w:lastColumn="0" w:lastRow="0" w:noHBand="0" w:noVBand="1" w:val="04A0"/>
      </w:tblPr>
      <w:tblGrid>
        <w:gridCol w:w="1300"/>
        <w:gridCol w:w="6226"/>
        <w:gridCol w:w="1500"/>
      </w:tblGrid>
      <w:tr>
        <w:tc>
          <w:tcPr>
            <w:tcW w:type="dxa" w:w="13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type="dxa" w:w="6226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内容</w:t>
            </w:r>
          </w:p>
        </w:tc>
        <w:tc>
          <w:tcPr>
            <w:tcW w:type="dxa" w:w="1500"/>
            <w:shd w:val="clear" w:color="auto" w:fill="D5E8F0"/>
          </w:tcPr>
          <w:p>
            <w:r>
              <w:rPr>
                <w:rFonts w:eastAsia="思源黑体" w:ascii="Times New Roman" w:hAnsi="Times New Roman" w:cs="Times New Roman"/>
                <w:b/>
                <w:bCs/>
                <w:sz w:val="18"/>
                <w:szCs w:val="18"/>
              </w:rPr>
              <w:t>责任人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待确认</w:t>
            </w:r>
          </w:p>
        </w:tc>
        <w:tc>
          <w:tcPr>
            <w:tcW w:type="dxa" w:w="62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各技术组件实际版本号在 W1 末按安装结果回填并留档</w:t>
            </w:r>
          </w:p>
        </w:tc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待确认</w:t>
            </w:r>
          </w:p>
        </w:tc>
        <w:tc>
          <w:tcPr>
            <w:tcW w:type="dxa" w:w="62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图表配色与交互细节、食物搜索联想规则、后台管理是否跟随手机端</w:t>
            </w:r>
          </w:p>
        </w:tc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风险</w:t>
            </w:r>
          </w:p>
        </w:tc>
        <w:tc>
          <w:tcPr>
            <w:tcW w:type="dxa" w:w="62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本地模型部署或推理耗时超预期：第 7 周先做模型接入验证，设置长度限制与超时降级</w:t>
            </w:r>
          </w:p>
        </w:tc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风险</w:t>
            </w:r>
          </w:p>
        </w:tc>
        <w:tc>
          <w:tcPr>
            <w:tcW w:type="dxa" w:w="62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营养数据与食物库录入工作量偏大：优先录入常用食物，用营养快照隔离后续修改</w:t>
            </w:r>
          </w:p>
        </w:tc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W3 计划</w:t>
            </w:r>
          </w:p>
        </w:tc>
        <w:tc>
          <w:tcPr>
            <w:tcW w:type="dxa" w:w="62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注册登录与鉴权；个人资料与每日能量营养目标；动作库、食物库基础数据维护接口</w:t>
            </w:r>
          </w:p>
        </w:tc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方文锦</w:t>
            </w:r>
          </w:p>
        </w:tc>
      </w:tr>
      <w:tr>
        <w:tc>
          <w:tcPr>
            <w:tcW w:type="dxa" w:w="13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W3 计划</w:t>
            </w:r>
          </w:p>
        </w:tc>
        <w:tc>
          <w:tcPr>
            <w:tcW w:type="dxa" w:w="6226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同步准备前端页面骨架与接口联调环境</w:t>
            </w:r>
          </w:p>
        </w:tc>
        <w:tc>
          <w:tcPr>
            <w:tcW w:type="dxa" w:w="1500"/>
          </w:tcPr>
          <w:p>
            <w:r>
              <w:rPr>
                <w:rFonts w:eastAsia="思源黑体" w:ascii="Times New Roman" w:hAnsi="Times New Roman" w:cs="Times New Roman"/>
                <w:sz w:val="18"/>
                <w:szCs w:val="18"/>
              </w:rPr>
              <w:t>陈智杰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eastAsia="思源黑体" w:ascii="Times New Roman" w:hAnsi="Times New Roman" w:cs="Times New Roman"/>
      </w:rPr>
      <w:t xml:space="preserve">第 </w:t>
    </w:r>
    <w:fldSimple w:instr="PAGE"/>
    <w:r>
      <w:rPr>
        <w:rFonts w:eastAsia="思源黑体" w:ascii="Times New Roman" w:hAnsi="Times New Roman" w:cs="Times New Roman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eastAsia="思源黑体" w:ascii="Times New Roman" w:hAnsi="Times New Roman" w:cs="Times New Roman"/>
        <w:sz w:val="18"/>
        <w:szCs w:val="18"/>
      </w:rPr>
      <w:t>健身训练与饮食管理系统 · 第一阶段需求与技术方案说明书（G13）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思源黑体"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思源黑体" w:ascii="Times New Roman" w:hAnsi="Times New Roman" w:cs="Times New Roman"/>
      <w:b/>
      <w:bCs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思源黑体" w:ascii="Times New Roman" w:hAnsi="Times New Roman" w:cs="Times New Roman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思源黑体" w:ascii="Times New Roman" w:hAnsi="Times New Roman" w:cs="Times New Roman"/>
      <w:b/>
      <w:bCs/>
      <w:color w:val="4F81BD" w:themeColor="accent1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{"Label":"1","ContentProducer":"001191440300708461136T1WFUO","ProduceID":"4b14bf2e430463629f2ead4be047db1c-D1gc","ReservedCode1":"{\"Type\":\" TC260PG\",\"Version\":1,\"Bindings\":[{\"Type\":\"soft\",\"AlgID\":\"sm3\",\"Value\":\"7bbdecf303843373bb30fe71b6a20f8e5ae166979a6450c6b58763284f073e1e\"},{\"Type\":\"hash\",\"AlgID\":\"sm3\",\"Value\":\"ab2aca8da635cbb8dad85691afc204690bb3fc42f8b2012f37e852f5c287a312\"}],\"PubSD\":[{\"Type\":\"DS\",\"AlgID\":\"sm2\",\"TBSData\":{\"Type\":\"Binding\",\"BType\":\"hash\"},\"Signature\":\"304402205103a118b9932354f997c28368fa3b5a95c9ddf58c245bffd4691803d3b0ac8f02201473b6e67354d5f08f6cfaf40feffd819e7c97cf35afb029ce14dba3a4f6b4bd\"},{\"Type\":\"PubKey\",\"AlgID\":\"sm2\",\"KeyValue\":\"0407f79b28a17a752b3aae4305c98b48978213832729a2571850b1310b2bc9fe8fee039ccf25ebfeac27502414d9fcef792d777183c98893d226171c2f7a3289a2\"}],\"Extension\":{\"Timestamp\":1791958071,\"KeyVersion\":\"v1-TxLeOmf7bqU223\"}}","ContentPropagator":"001191440300708461136T1WFUO","PropagateID":"4b14bf2e430463629f2ead4be047db1c-D1gc","ReservedCode2":"{\"Type\":\" TC260PG\",\"Version\":1,\"Bindings\":[{\"Type\":\"soft\",\"AlgID\":\"sm3\",\"Value\":\"7bbdecf303843373bb30fe71b6a20f8e5ae166979a6450c6b58763284f073e1e\"},{\"Type\":\"hash\",\"AlgID\":\"sm3\",\"Value\":\"ab2aca8da635cbb8dad85691afc204690bb3fc42f8b2012f37e852f5c287a312\"}],\"PubSD\":[{\"Type\":\"DS\",\"AlgID\":\"sm2\",\"TBSData\":{\"Type\":\"Binding\",\"BType\":\"hash\"},\"Signature\":\"304402201bcd5f1fc98c87fb8dd5bed60e4bad7fbf2fc8cf989f68c60f7358166342b99002200427af56b1d8b505963b02d2bbd1977fcb17baa10290222b7f5a52527b65317d\"},{\"Type\":\"PubKey\",\"AlgID\":\"sm2\",\"KeyValue\":\"0407f79b28a17a752b3aae4305c98b48978213832729a2571850b1310b2bc9fe8fee039ccf25ebfeac27502414d9fcef792d777183c98893d226171c2f7a3289a2\"}],\"Extension\":{\"Timestamp\":1791958071,\"KeyVersion\":\"v1-TxLeOmf7bqU223\"}}"}</vt:lpwstr>
  </property>
</Properties>
</file>