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C4856">
      <w:pPr>
        <w:spacing w:after="0"/>
      </w:pPr>
    </w:p>
    <w:p w14:paraId="3C1D16F1">
      <w:pPr>
        <w:spacing w:after="0"/>
        <w:jc w:val="center"/>
      </w:pPr>
      <w:r>
        <w:rPr>
          <w:rFonts w:ascii="Times New Roman" w:hAnsi="Times New Roman" w:eastAsia="思源黑体" w:cs="Times New Roman"/>
          <w:b/>
          <w:bCs/>
          <w:sz w:val="52"/>
          <w:szCs w:val="52"/>
        </w:rPr>
        <w:t>可行性分析报告</w:t>
      </w:r>
    </w:p>
    <w:p w14:paraId="0E3C39F4">
      <w:pPr>
        <w:spacing w:after="0"/>
        <w:jc w:val="center"/>
      </w:pPr>
      <w:r>
        <w:rPr>
          <w:rFonts w:ascii="Times New Roman" w:hAnsi="Times New Roman" w:eastAsia="思源黑体" w:cs="Times New Roman"/>
          <w:b/>
          <w:bCs/>
          <w:sz w:val="34"/>
          <w:szCs w:val="34"/>
        </w:rPr>
        <w:t>健身训练与饮食管理系统</w:t>
      </w:r>
    </w:p>
    <w:p w14:paraId="77864E75">
      <w:pPr>
        <w:spacing w:after="0"/>
        <w:jc w:val="center"/>
      </w:pPr>
      <w:r>
        <w:rPr>
          <w:rFonts w:ascii="Times New Roman" w:hAnsi="Times New Roman" w:eastAsia="思源黑体" w:cs="Times New Roman"/>
          <w:sz w:val="22"/>
          <w:szCs w:val="22"/>
        </w:rPr>
        <w:t>基于 SpringBoot + Vue 的健身训练与饮食管理移动应用设计与实现</w:t>
      </w:r>
    </w:p>
    <w:p w14:paraId="0AE17717">
      <w:pPr>
        <w:spacing w:after="0"/>
        <w:jc w:val="center"/>
      </w:pPr>
      <w:r>
        <w:rPr>
          <w:rFonts w:ascii="Times New Roman" w:hAnsi="Times New Roman" w:eastAsia="思源黑体" w:cs="Times New Roman"/>
          <w:sz w:val="22"/>
          <w:szCs w:val="22"/>
        </w:rPr>
        <w:t>课程：软件工程    组别：G13</w:t>
      </w:r>
    </w:p>
    <w:p w14:paraId="06724250">
      <w:pPr>
        <w:spacing w:after="0"/>
        <w:jc w:val="center"/>
      </w:pPr>
      <w:r>
        <w:rPr>
          <w:rFonts w:ascii="Times New Roman" w:hAnsi="Times New Roman" w:eastAsia="思源黑体" w:cs="Times New Roman"/>
          <w:sz w:val="22"/>
          <w:szCs w:val="22"/>
        </w:rPr>
        <w:t>小组成员：方文锦、陈智杰</w:t>
      </w:r>
    </w:p>
    <w:p w14:paraId="499B4DFD">
      <w:pPr>
        <w:spacing w:after="0"/>
        <w:jc w:val="center"/>
      </w:pPr>
      <w:r>
        <w:rPr>
          <w:rFonts w:ascii="Times New Roman" w:hAnsi="Times New Roman" w:eastAsia="思源黑体" w:cs="Times New Roman"/>
          <w:sz w:val="22"/>
          <w:szCs w:val="22"/>
        </w:rPr>
        <w:t>分析周期：2026 年 9 月 28 日 — 2026 年 12 月 20 日（共 12 周）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 w14:paraId="1B6D364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19238C48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项 目</w:t>
            </w:r>
          </w:p>
        </w:tc>
        <w:tc>
          <w:tcPr>
            <w:tcW w:w="7226" w:type="dxa"/>
            <w:shd w:val="clear" w:color="auto" w:fill="D5E8F0"/>
          </w:tcPr>
          <w:p w14:paraId="7AA8ABF7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内 容</w:t>
            </w:r>
          </w:p>
        </w:tc>
      </w:tr>
      <w:tr w14:paraId="63EFCAF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BF04C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分析对象</w:t>
            </w:r>
          </w:p>
        </w:tc>
        <w:tc>
          <w:tcPr>
            <w:tcW w:w="7226" w:type="dxa"/>
          </w:tcPr>
          <w:p w14:paraId="073CC2B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健身训练与饮食管理系统（含 AI 健身分析与 Android 移动端交付）</w:t>
            </w:r>
          </w:p>
        </w:tc>
      </w:tr>
      <w:tr w14:paraId="6D1A1F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78BF4A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分析依据</w:t>
            </w:r>
          </w:p>
        </w:tc>
        <w:tc>
          <w:tcPr>
            <w:tcW w:w="7226" w:type="dxa"/>
          </w:tcPr>
          <w:p w14:paraId="61E5522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《项目介绍（AI 与移动 App 修订版）》《项目开发计划书（12 周）》</w:t>
            </w:r>
          </w:p>
        </w:tc>
      </w:tr>
      <w:tr w14:paraId="440EC80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9F796C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分析维度</w:t>
            </w:r>
          </w:p>
        </w:tc>
        <w:tc>
          <w:tcPr>
            <w:tcW w:w="7226" w:type="dxa"/>
          </w:tcPr>
          <w:p w14:paraId="0CA901D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需求、技术、经济与资源、操作与使用、进度、法律与伦理、风险</w:t>
            </w:r>
          </w:p>
        </w:tc>
      </w:tr>
      <w:tr w14:paraId="32558C9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FEC9BA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综合结论</w:t>
            </w:r>
          </w:p>
        </w:tc>
        <w:tc>
          <w:tcPr>
            <w:tcW w:w="7226" w:type="dxa"/>
          </w:tcPr>
          <w:p w14:paraId="07B7216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总体可行，须按第 9 章附加条件执行</w:t>
            </w:r>
          </w:p>
        </w:tc>
      </w:tr>
      <w:tr w14:paraId="7FBA89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2156E9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文档性质</w:t>
            </w:r>
          </w:p>
        </w:tc>
        <w:tc>
          <w:tcPr>
            <w:tcW w:w="7226" w:type="dxa"/>
          </w:tcPr>
          <w:p w14:paraId="586C0D4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课程设计内部论证与自查依据，文中数据为估算值，以开发与验收结果为准</w:t>
            </w:r>
          </w:p>
        </w:tc>
      </w:tr>
    </w:tbl>
    <w:p w14:paraId="49690261">
      <w:pPr>
        <w:spacing w:after="0"/>
      </w:pPr>
    </w:p>
    <w:p w14:paraId="33330E7F">
      <w:r>
        <w:br w:type="page"/>
      </w:r>
    </w:p>
    <w:p w14:paraId="475DE551">
      <w:pPr>
        <w:pStyle w:val="3"/>
      </w:pPr>
      <w:bookmarkStart w:id="0" w:name="_Toc10028"/>
      <w:r>
        <w:rPr>
          <w:rFonts w:ascii="Times New Roman" w:hAnsi="Times New Roman" w:eastAsia="思源黑体" w:cs="Times New Roman"/>
        </w:rPr>
        <w:t>目 录</w:t>
      </w:r>
      <w:bookmarkEnd w:id="0"/>
    </w:p>
    <w:p w14:paraId="15964492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_Toc10028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目 录</w:t>
      </w:r>
      <w:r>
        <w:tab/>
      </w:r>
      <w:r>
        <w:fldChar w:fldCharType="begin"/>
      </w:r>
      <w:r>
        <w:instrText xml:space="preserve"> PAGEREF _Toc10028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F90F5AB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_Toc27155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  总论</w:t>
      </w:r>
      <w:r>
        <w:tab/>
      </w:r>
      <w:r>
        <w:fldChar w:fldCharType="begin"/>
      </w:r>
      <w:r>
        <w:instrText xml:space="preserve"> PAGEREF _Toc27155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9662765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_Toc20606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1.1  项目概况</w:t>
      </w:r>
      <w:r>
        <w:tab/>
      </w:r>
      <w:r>
        <w:fldChar w:fldCharType="begin"/>
      </w:r>
      <w:r>
        <w:instrText xml:space="preserve"> PAGEREF _Toc20606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E10208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_Toc72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1.2  分析依据与分析范围</w:t>
      </w:r>
      <w:r>
        <w:tab/>
      </w:r>
      <w:r>
        <w:fldChar w:fldCharType="begin"/>
      </w:r>
      <w:r>
        <w:instrText xml:space="preserve"> PAGEREF _Toc72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303B1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_Toc13944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1.3  主要结论（摘要）</w:t>
      </w:r>
      <w:r>
        <w:tab/>
      </w:r>
      <w:r>
        <w:fldChar w:fldCharType="begin"/>
      </w:r>
      <w:r>
        <w:instrText xml:space="preserve"> PAGEREF _Toc13944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DD338E7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_Toc14129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  需求分析与项目必要性</w:t>
      </w:r>
      <w:r>
        <w:tab/>
      </w:r>
      <w:r>
        <w:fldChar w:fldCharType="begin"/>
      </w:r>
      <w:r>
        <w:instrText xml:space="preserve"> PAGEREF _Toc14129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8987E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_Toc12117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2.1  需求来源与痛点</w:t>
      </w:r>
      <w:r>
        <w:tab/>
      </w:r>
      <w:r>
        <w:fldChar w:fldCharType="begin"/>
      </w:r>
      <w:r>
        <w:instrText xml:space="preserve"> PAGEREF _Toc12117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9C45B7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_Toc27502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2.2  功能范围与规模</w:t>
      </w:r>
      <w:r>
        <w:tab/>
      </w:r>
      <w:r>
        <w:fldChar w:fldCharType="begin"/>
      </w:r>
      <w:r>
        <w:instrText xml:space="preserve"> PAGEREF _Toc27502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25DF63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_Toc20290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2.3  项目必要性</w:t>
      </w:r>
      <w:r>
        <w:tab/>
      </w:r>
      <w:r>
        <w:fldChar w:fldCharType="begin"/>
      </w:r>
      <w:r>
        <w:instrText xml:space="preserve"> PAGEREF _Toc20290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F87AC5B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_Toc2650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  技术可行性分析</w:t>
      </w:r>
      <w:r>
        <w:tab/>
      </w:r>
      <w:r>
        <w:fldChar w:fldCharType="begin"/>
      </w:r>
      <w:r>
        <w:instrText xml:space="preserve"> PAGEREF _Toc2650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BAF59A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_Toc22664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3.1  技术选型成熟度评估</w:t>
      </w:r>
      <w:r>
        <w:tab/>
      </w:r>
      <w:r>
        <w:fldChar w:fldCharType="begin"/>
      </w:r>
      <w:r>
        <w:instrText xml:space="preserve"> PAGEREF _Toc22664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9316D80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_Toc5642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3.2  关键技术难点与验证路径</w:t>
      </w:r>
      <w:r>
        <w:tab/>
      </w:r>
      <w:r>
        <w:fldChar w:fldCharType="begin"/>
      </w:r>
      <w:r>
        <w:instrText xml:space="preserve"> PAGEREF _Toc5642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73E596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_Toc12818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3.3  备选方案比较</w:t>
      </w:r>
      <w:r>
        <w:tab/>
      </w:r>
      <w:r>
        <w:fldChar w:fldCharType="begin"/>
      </w:r>
      <w:r>
        <w:instrText xml:space="preserve"> PAGEREF _Toc12818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896DC76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_Toc14913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3.4  技术可行性结论</w:t>
      </w:r>
      <w:r>
        <w:tab/>
      </w:r>
      <w:r>
        <w:fldChar w:fldCharType="begin"/>
      </w:r>
      <w:r>
        <w:instrText xml:space="preserve"> PAGEREF _Toc14913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85DFEA5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_Toc16143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  经济与资源可行性分析</w:t>
      </w:r>
      <w:r>
        <w:tab/>
      </w:r>
      <w:r>
        <w:fldChar w:fldCharType="begin"/>
      </w:r>
      <w:r>
        <w:instrText xml:space="preserve"> PAGEREF _Toc16143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C00AD5B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_Toc513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4.1  成本估算</w:t>
      </w:r>
      <w:r>
        <w:tab/>
      </w:r>
      <w:r>
        <w:fldChar w:fldCharType="begin"/>
      </w:r>
      <w:r>
        <w:instrText xml:space="preserve"> PAGEREF _Toc513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E3A894D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_Toc2245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4.2  资源可得性</w:t>
      </w:r>
      <w:r>
        <w:tab/>
      </w:r>
      <w:r>
        <w:fldChar w:fldCharType="begin"/>
      </w:r>
      <w:r>
        <w:instrText xml:space="preserve"> PAGEREF _Toc2245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CFD34D0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_Toc31393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4.3  效益分析</w:t>
      </w:r>
      <w:r>
        <w:tab/>
      </w:r>
      <w:r>
        <w:fldChar w:fldCharType="begin"/>
      </w:r>
      <w:r>
        <w:instrText xml:space="preserve"> PAGEREF _Toc31393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7111CDD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_Toc29640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  操作与使用可行性分析</w:t>
      </w:r>
      <w:r>
        <w:tab/>
      </w:r>
      <w:r>
        <w:fldChar w:fldCharType="begin"/>
      </w:r>
      <w:r>
        <w:instrText xml:space="preserve"> PAGEREF _Toc29640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5F21FC5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_Toc14478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5.1  用户侧</w:t>
      </w:r>
      <w:r>
        <w:tab/>
      </w:r>
      <w:r>
        <w:fldChar w:fldCharType="begin"/>
      </w:r>
      <w:r>
        <w:instrText xml:space="preserve"> PAGEREF _Toc14478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59BBFA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_Toc17468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5.2  管理侧</w:t>
      </w:r>
      <w:r>
        <w:tab/>
      </w:r>
      <w:r>
        <w:fldChar w:fldCharType="begin"/>
      </w:r>
      <w:r>
        <w:instrText xml:space="preserve"> PAGEREF _Toc17468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B49B97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_Toc4899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5.3  运维与部署</w:t>
      </w:r>
      <w:r>
        <w:tab/>
      </w:r>
      <w:r>
        <w:fldChar w:fldCharType="begin"/>
      </w:r>
      <w:r>
        <w:instrText xml:space="preserve"> PAGEREF _Toc4899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AD4247E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_Toc4295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  进度可行性分析</w:t>
      </w:r>
      <w:r>
        <w:tab/>
      </w:r>
      <w:r>
        <w:fldChar w:fldCharType="begin"/>
      </w:r>
      <w:r>
        <w:instrText xml:space="preserve"> PAGEREF _Toc4295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E8CCC39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_Toc22593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6.1  计划与人力匹配度</w:t>
      </w:r>
      <w:r>
        <w:tab/>
      </w:r>
      <w:r>
        <w:fldChar w:fldCharType="begin"/>
      </w:r>
      <w:r>
        <w:instrText xml:space="preserve"> PAGEREF _Toc22593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74263D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_Toc597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6.2  关键路径与瓶颈</w:t>
      </w:r>
      <w:r>
        <w:tab/>
      </w:r>
      <w:r>
        <w:fldChar w:fldCharType="begin"/>
      </w:r>
      <w:r>
        <w:instrText xml:space="preserve"> PAGEREF _Toc597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D76D32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_Toc32130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6.3  进度风险与缓冲</w:t>
      </w:r>
      <w:r>
        <w:tab/>
      </w:r>
      <w:r>
        <w:fldChar w:fldCharType="begin"/>
      </w:r>
      <w:r>
        <w:instrText xml:space="preserve"> PAGEREF _Toc32130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1C8732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_Toc28397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6.4  进度可行性结论</w:t>
      </w:r>
      <w:r>
        <w:tab/>
      </w:r>
      <w:r>
        <w:fldChar w:fldCharType="begin"/>
      </w:r>
      <w:r>
        <w:instrText xml:space="preserve"> PAGEREF _Toc28397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3CD5941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_Toc17479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7  法律、伦理与社会可行性分析</w:t>
      </w:r>
      <w:r>
        <w:tab/>
      </w:r>
      <w:r>
        <w:fldChar w:fldCharType="begin"/>
      </w:r>
      <w:r>
        <w:instrText xml:space="preserve"> PAGEREF _Toc17479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89B26BC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_Toc4122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8  风险分析与应对</w:t>
      </w:r>
      <w:r>
        <w:tab/>
      </w:r>
      <w:r>
        <w:fldChar w:fldCharType="begin"/>
      </w:r>
      <w:r>
        <w:instrText xml:space="preserve"> PAGEREF _Toc4122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FC55E3D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_Toc12013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9  结论与建议</w:t>
      </w:r>
      <w:r>
        <w:tab/>
      </w:r>
      <w:r>
        <w:fldChar w:fldCharType="begin"/>
      </w:r>
      <w:r>
        <w:instrText xml:space="preserve"> PAGEREF _Toc12013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838EA28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_Toc22972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9.1  可行性判定汇总</w:t>
      </w:r>
      <w:r>
        <w:tab/>
      </w:r>
      <w:r>
        <w:fldChar w:fldCharType="begin"/>
      </w:r>
      <w:r>
        <w:instrText xml:space="preserve"> PAGEREF _Toc22972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B07D4D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_Toc22763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9.2  综合结论</w:t>
      </w:r>
      <w:r>
        <w:tab/>
      </w:r>
      <w:r>
        <w:fldChar w:fldCharType="begin"/>
      </w:r>
      <w:r>
        <w:instrText xml:space="preserve"> PAGEREF _Toc22763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BCA9AA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_Toc23609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9.3  附加条件与建议</w:t>
      </w:r>
      <w:r>
        <w:tab/>
      </w:r>
      <w:r>
        <w:fldChar w:fldCharType="begin"/>
      </w:r>
      <w:r>
        <w:instrText xml:space="preserve"> PAGEREF _Toc23609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A6577C1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_Toc4269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编制说明</w:t>
      </w:r>
      <w:r>
        <w:tab/>
      </w:r>
      <w:r>
        <w:fldChar w:fldCharType="begin"/>
      </w:r>
      <w:r>
        <w:instrText xml:space="preserve"> PAGEREF _Toc4269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E279975">
      <w:r>
        <w:fldChar w:fldCharType="end"/>
      </w:r>
    </w:p>
    <w:p w14:paraId="659AB803">
      <w:r>
        <w:br w:type="page"/>
      </w:r>
      <w:bookmarkStart w:id="34" w:name="_GoBack"/>
      <w:bookmarkEnd w:id="34"/>
    </w:p>
    <w:p w14:paraId="56D733A8">
      <w:pPr>
        <w:pStyle w:val="3"/>
      </w:pPr>
      <w:bookmarkStart w:id="1" w:name="_Toc27155"/>
      <w:r>
        <w:rPr>
          <w:rFonts w:ascii="Times New Roman" w:hAnsi="Times New Roman" w:eastAsia="思源黑体" w:cs="Times New Roman"/>
        </w:rPr>
        <w:t>1  总论</w:t>
      </w:r>
      <w:bookmarkEnd w:id="1"/>
    </w:p>
    <w:p w14:paraId="59ADDCEA">
      <w:pPr>
        <w:pStyle w:val="4"/>
      </w:pPr>
      <w:bookmarkStart w:id="2" w:name="_Toc20606"/>
      <w:r>
        <w:rPr>
          <w:rFonts w:ascii="Times New Roman" w:hAnsi="Times New Roman" w:eastAsia="思源黑体" w:cs="Times New Roman"/>
        </w:rPr>
        <w:t>1.1  项目概况</w:t>
      </w:r>
      <w:bookmarkEnd w:id="2"/>
    </w:p>
    <w:p w14:paraId="37CEDB76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本项目面向具有日常健身与饮食记录需求的用户，交付一款运行在手机上的健身训练与饮食管理 App。系统沿用 SpringBoot 与 Vue 前后端分离架构，保留训练计划、训练记录、饮食摄入、体重变化与统计功能，并新增经用户授权的一键 AI 健身分析：由服务端模型基于已有的身体数据、营养摄入与计划执行记录生成阶段性总结与建议，用户无需重复手动输入。</w:t>
      </w:r>
    </w:p>
    <w:p w14:paraId="20808F2E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项目的核心目标，是支持用户完成“制定计划 — 记录执行 — 查看统计 — 分析情况 — 调整安排”的完整使用过程；交付边界为：个人记录与管理工具，食物营养数据采用标注来源的每 100g 数据、结果属于估算，AI 分析仅提供一般性健身与饮食参考、不作疾病诊断或治疗建议，移动端先交付 Android 安装包，iOS 适配作为条件允许时的后续扩展。</w:t>
      </w:r>
    </w:p>
    <w:p w14:paraId="58ADDA53">
      <w:pPr>
        <w:pStyle w:val="4"/>
      </w:pPr>
      <w:bookmarkStart w:id="3" w:name="_Toc72"/>
      <w:r>
        <w:rPr>
          <w:rFonts w:ascii="Times New Roman" w:hAnsi="Times New Roman" w:eastAsia="思源黑体" w:cs="Times New Roman"/>
        </w:rPr>
        <w:t>1.2  分析依据与分析范围</w:t>
      </w:r>
      <w:bookmarkEnd w:id="3"/>
    </w:p>
    <w:p w14:paraId="26225577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本报告以《项目介绍（AI 与移动 App 修订版）》所确定的需求、功能范围、技术与数据设计、AI 分析流程与移动端实施方案，以及《项目开发计划书（12 周）》所确定的阶段划分、任务分解、人员分工、里程碑、质量验收与风险应对为分析依据，从需求、技术、经济与资源、操作与使用、进度、法律与伦理六个维度论证项目在 12 周内、由 2 名成员交付的可行性，并在此基础上识别风险、提出附加条件与建议。</w:t>
      </w:r>
    </w:p>
    <w:p w14:paraId="44345F1D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本报告不涉及投资收益测算（项目为课程设计，无经营性收入，效益以教学与能力产出为主），不对食物营养数据本身的准确性作实质性核验，该部分以录入时的来源登记为准。</w:t>
      </w:r>
    </w:p>
    <w:p w14:paraId="5267B863">
      <w:pPr>
        <w:pStyle w:val="4"/>
      </w:pPr>
      <w:bookmarkStart w:id="4" w:name="_Toc13944"/>
      <w:r>
        <w:rPr>
          <w:rFonts w:ascii="Times New Roman" w:hAnsi="Times New Roman" w:eastAsia="思源黑体" w:cs="Times New Roman"/>
        </w:rPr>
        <w:t>1.3  主要结论（摘要）</w:t>
      </w:r>
      <w:bookmarkEnd w:id="4"/>
    </w:p>
    <w:p w14:paraId="1572384A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综合六个维度的分析，本项目技术方案成熟、需求范围清晰、资源与成本可控、进度安排基本匹配，主要风险可识别并已有对应措施，综合判定为“总体可行，须按附加条件执行”。关键结论如下：</w:t>
      </w:r>
    </w:p>
    <w:p w14:paraId="43AE190A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需求维度：可行。拟实现的 8 个功能模块均有明确验收依据，功能边界（不纳入图片识别、穿戴设备、社交社区、处方式推荐）已书面界定，可有效抑制需求蔓延。</w:t>
      </w:r>
    </w:p>
    <w:p w14:paraId="5BC1D18C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技术维度：基本可行。SpringBoot / Vue 3 / MySQL / ECharts / Capacitor 均为成熟主流技术；唯一不确定性集中在本地开源模型的推理耗时与输出一致性，需以“先算后解释 + 超时降级”兜底。</w:t>
      </w:r>
    </w:p>
    <w:p w14:paraId="2D9218D2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经济与资源维度：可行。全部技术栈为开源或免费工具，模型服务端本地部署，除可选的域名与证书外无必须支出，主要投入为小组成员时间。</w:t>
      </w:r>
    </w:p>
    <w:p w14:paraId="348B118E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操作与使用维度：可行。一键分析不要求重复输入已有数据，管理员维护动作库与公共食物库的路径明确。</w:t>
      </w:r>
    </w:p>
    <w:p w14:paraId="6A1484D4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进度维度：有条件可行。2 人 × 12 周的理论工时上限为 24 人周，扣除课程占用后实际可用工时存在缺口，属于“紧平衡”，须以范围冻结、并行排布与缓冲周保障。</w:t>
      </w:r>
    </w:p>
    <w:p w14:paraId="7210D5BD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法律与伦理维度：可行（须落实措施）。个人信息最小化、授权可撤回、报告可删除、HTTPS 传输、模型许可核对、非医疗建议声明等要求在两份文档中已明确，关键在于实现与验收环节逐项落实。</w:t>
      </w:r>
    </w:p>
    <w:p w14:paraId="5EA75A35">
      <w:pPr>
        <w:pStyle w:val="3"/>
      </w:pPr>
      <w:bookmarkStart w:id="5" w:name="_Toc14129"/>
      <w:r>
        <w:rPr>
          <w:rFonts w:ascii="Times New Roman" w:hAnsi="Times New Roman" w:eastAsia="思源黑体" w:cs="Times New Roman"/>
        </w:rPr>
        <w:t>2  需求分析与项目必要性</w:t>
      </w:r>
      <w:bookmarkEnd w:id="5"/>
    </w:p>
    <w:p w14:paraId="577F21C9">
      <w:pPr>
        <w:pStyle w:val="4"/>
      </w:pPr>
      <w:bookmarkStart w:id="6" w:name="_Toc12117"/>
      <w:r>
        <w:rPr>
          <w:rFonts w:ascii="Times New Roman" w:hAnsi="Times New Roman" w:eastAsia="思源黑体" w:cs="Times New Roman"/>
        </w:rPr>
        <w:t>2.1  需求来源与痛点</w:t>
      </w:r>
      <w:bookmarkEnd w:id="6"/>
    </w:p>
    <w:p w14:paraId="6E0EEEE4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在日常健身场景中，训练动作、组数、饮食重量与体重往往分散记录在不同位置，用户难以快速回答“本周完成了多少次训练”“当天摄入了多少能量”“近期体重如何变化”，也难以结合这些信息判断计划执行情况。本项目以统一日期和用户身份关联各类记录，在手机上提供随时记录、回顾与授权后自动分析的完整流程，对应的是明确且高频的个人数据管理需求。</w:t>
      </w:r>
    </w:p>
    <w:p w14:paraId="02808F7B">
      <w:pPr>
        <w:pStyle w:val="4"/>
      </w:pPr>
      <w:bookmarkStart w:id="7" w:name="_Toc27502"/>
      <w:r>
        <w:rPr>
          <w:rFonts w:ascii="Times New Roman" w:hAnsi="Times New Roman" w:eastAsia="思源黑体" w:cs="Times New Roman"/>
        </w:rPr>
        <w:t>2.2  功能范围与规模</w:t>
      </w:r>
      <w:bookmarkEnd w:id="7"/>
    </w:p>
    <w:p w14:paraId="66868A96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项目拟实现账户与目标、训练管理、饮食管理、身体数据、统计分析、后台管理、AI 健身分析、移动端 App 共 8 个模块，涉及约 11 张核心数据表（含 ai_consent、ai_report）与动作库、食物库两张基础表。下表按模块给出初判。</w:t>
      </w:r>
    </w:p>
    <w:p w14:paraId="43786C88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2-1  功能模块与可行性初判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700"/>
        <w:gridCol w:w="2100"/>
        <w:gridCol w:w="1926"/>
      </w:tblGrid>
      <w:tr w14:paraId="258634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shd w:val="clear" w:color="auto" w:fill="D5E8F0"/>
          </w:tcPr>
          <w:p w14:paraId="1423F108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模块</w:t>
            </w:r>
          </w:p>
        </w:tc>
        <w:tc>
          <w:tcPr>
            <w:tcW w:w="3700" w:type="dxa"/>
            <w:shd w:val="clear" w:color="auto" w:fill="D5E8F0"/>
          </w:tcPr>
          <w:p w14:paraId="5E4388A3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拟实现功能</w:t>
            </w:r>
          </w:p>
        </w:tc>
        <w:tc>
          <w:tcPr>
            <w:tcW w:w="2100" w:type="dxa"/>
            <w:shd w:val="clear" w:color="auto" w:fill="D5E8F0"/>
          </w:tcPr>
          <w:p w14:paraId="1625D57C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技术依赖</w:t>
            </w:r>
          </w:p>
        </w:tc>
        <w:tc>
          <w:tcPr>
            <w:tcW w:w="1926" w:type="dxa"/>
            <w:shd w:val="clear" w:color="auto" w:fill="D5E8F0"/>
          </w:tcPr>
          <w:p w14:paraId="61CA3FA5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初判</w:t>
            </w:r>
          </w:p>
        </w:tc>
      </w:tr>
      <w:tr w14:paraId="0E1406C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394F9E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账户与目标</w:t>
            </w:r>
          </w:p>
        </w:tc>
        <w:tc>
          <w:tcPr>
            <w:tcW w:w="3700" w:type="dxa"/>
          </w:tcPr>
          <w:p w14:paraId="4DBA79F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注册登录、个人资料、每日能量及营养目标设置</w:t>
            </w:r>
          </w:p>
        </w:tc>
        <w:tc>
          <w:tcPr>
            <w:tcW w:w="2100" w:type="dxa"/>
          </w:tcPr>
          <w:p w14:paraId="19819D9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Spring Security、JPA</w:t>
            </w:r>
          </w:p>
        </w:tc>
        <w:tc>
          <w:tcPr>
            <w:tcW w:w="1926" w:type="dxa"/>
          </w:tcPr>
          <w:p w14:paraId="50E2F26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61FFFD3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61DA3D7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训练管理</w:t>
            </w:r>
          </w:p>
        </w:tc>
        <w:tc>
          <w:tcPr>
            <w:tcW w:w="3700" w:type="dxa"/>
          </w:tcPr>
          <w:p w14:paraId="4845791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创建日期计划、选择动作、记录每组重量与次数、完成打卡</w:t>
            </w:r>
          </w:p>
        </w:tc>
        <w:tc>
          <w:tcPr>
            <w:tcW w:w="2100" w:type="dxa"/>
          </w:tcPr>
          <w:p w14:paraId="21DB936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多表事务写入</w:t>
            </w:r>
          </w:p>
        </w:tc>
        <w:tc>
          <w:tcPr>
            <w:tcW w:w="1926" w:type="dxa"/>
          </w:tcPr>
          <w:p w14:paraId="67CD646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2699C91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25B2BF8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饮食管理</w:t>
            </w:r>
          </w:p>
        </w:tc>
        <w:tc>
          <w:tcPr>
            <w:tcW w:w="3700" w:type="dxa"/>
          </w:tcPr>
          <w:p w14:paraId="0D76547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搜索食物、按餐次录入克重、汇总能量及三大营养素</w:t>
            </w:r>
          </w:p>
        </w:tc>
        <w:tc>
          <w:tcPr>
            <w:tcW w:w="2100" w:type="dxa"/>
          </w:tcPr>
          <w:p w14:paraId="71D1E10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营养快照与换算口径</w:t>
            </w:r>
          </w:p>
        </w:tc>
        <w:tc>
          <w:tcPr>
            <w:tcW w:w="1926" w:type="dxa"/>
          </w:tcPr>
          <w:p w14:paraId="220CFD5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0E1A04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572E660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身体数据</w:t>
            </w:r>
          </w:p>
        </w:tc>
        <w:tc>
          <w:tcPr>
            <w:tcW w:w="3700" w:type="dxa"/>
          </w:tcPr>
          <w:p w14:paraId="0152AAE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按日期记录体重、展示区间变化</w:t>
            </w:r>
          </w:p>
        </w:tc>
        <w:tc>
          <w:tcPr>
            <w:tcW w:w="2100" w:type="dxa"/>
          </w:tcPr>
          <w:p w14:paraId="63BDF48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用户+日期联合唯一</w:t>
            </w:r>
          </w:p>
        </w:tc>
        <w:tc>
          <w:tcPr>
            <w:tcW w:w="1926" w:type="dxa"/>
          </w:tcPr>
          <w:p w14:paraId="7BB5748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17DA52C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4448A2A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统计分析</w:t>
            </w:r>
          </w:p>
        </w:tc>
        <w:tc>
          <w:tcPr>
            <w:tcW w:w="3700" w:type="dxa"/>
          </w:tcPr>
          <w:p w14:paraId="3230D2D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训练完成率、每日摄入、体重趋势，可切换时间范围</w:t>
            </w:r>
          </w:p>
        </w:tc>
        <w:tc>
          <w:tcPr>
            <w:tcW w:w="2100" w:type="dxa"/>
          </w:tcPr>
          <w:p w14:paraId="4FCB4D1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ECharts、聚合查询</w:t>
            </w:r>
          </w:p>
        </w:tc>
        <w:tc>
          <w:tcPr>
            <w:tcW w:w="1926" w:type="dxa"/>
          </w:tcPr>
          <w:p w14:paraId="2E29EFC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61118E8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7D0669F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后台管理</w:t>
            </w:r>
          </w:p>
        </w:tc>
        <w:tc>
          <w:tcPr>
            <w:tcW w:w="3700" w:type="dxa"/>
          </w:tcPr>
          <w:p w14:paraId="17BFFCD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动作与公共食物维护、来源标注、账户状态管理</w:t>
            </w:r>
          </w:p>
        </w:tc>
        <w:tc>
          <w:tcPr>
            <w:tcW w:w="2100" w:type="dxa"/>
          </w:tcPr>
          <w:p w14:paraId="1662AA9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管理接口单独鉴权</w:t>
            </w:r>
          </w:p>
        </w:tc>
        <w:tc>
          <w:tcPr>
            <w:tcW w:w="1926" w:type="dxa"/>
          </w:tcPr>
          <w:p w14:paraId="0A36797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01D8DF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619BF54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AI 健身分析</w:t>
            </w:r>
          </w:p>
        </w:tc>
        <w:tc>
          <w:tcPr>
            <w:tcW w:w="3700" w:type="dxa"/>
          </w:tcPr>
          <w:p w14:paraId="6681659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授权后自动读取本人数据并一键生成分析报告</w:t>
            </w:r>
          </w:p>
        </w:tc>
        <w:tc>
          <w:tcPr>
            <w:tcW w:w="2100" w:type="dxa"/>
          </w:tcPr>
          <w:p w14:paraId="46E2122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Ollama + Qwen3-4B</w:t>
            </w:r>
          </w:p>
        </w:tc>
        <w:tc>
          <w:tcPr>
            <w:tcW w:w="1926" w:type="dxa"/>
          </w:tcPr>
          <w:p w14:paraId="69729C9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基本可行（需降级方案）</w:t>
            </w:r>
          </w:p>
        </w:tc>
      </w:tr>
      <w:tr w14:paraId="3273AD8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21C02AF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移动端 App</w:t>
            </w:r>
          </w:p>
        </w:tc>
        <w:tc>
          <w:tcPr>
            <w:tcW w:w="3700" w:type="dxa"/>
          </w:tcPr>
          <w:p w14:paraId="2ED9CB7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手机屏幕、触控与网络状态适配，Capacitor 封装 Android App</w:t>
            </w:r>
          </w:p>
        </w:tc>
        <w:tc>
          <w:tcPr>
            <w:tcW w:w="2100" w:type="dxa"/>
          </w:tcPr>
          <w:p w14:paraId="1A2EA67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Android SDK、Capacitor CLI</w:t>
            </w:r>
          </w:p>
        </w:tc>
        <w:tc>
          <w:tcPr>
            <w:tcW w:w="1926" w:type="dxa"/>
          </w:tcPr>
          <w:p w14:paraId="47AC15B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可行（环境依赖高）</w:t>
            </w:r>
          </w:p>
        </w:tc>
      </w:tr>
    </w:tbl>
    <w:p w14:paraId="3DFDC796">
      <w:pPr>
        <w:spacing w:after="0"/>
      </w:pPr>
    </w:p>
    <w:p w14:paraId="6557AFFE">
      <w:pPr>
        <w:pStyle w:val="4"/>
      </w:pPr>
      <w:bookmarkStart w:id="8" w:name="_Toc20290"/>
      <w:r>
        <w:rPr>
          <w:rFonts w:ascii="Times New Roman" w:hAnsi="Times New Roman" w:eastAsia="思源黑体" w:cs="Times New Roman"/>
        </w:rPr>
        <w:t>2.3  项目必要性</w:t>
      </w:r>
      <w:bookmarkEnd w:id="8"/>
    </w:p>
    <w:p w14:paraId="34198315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教学必要性：项目覆盖需求、设计、实现、测试、部署与答辩的完整软件工程过程，且同时涉及前后端分离、移动端封装与本地大模型集成三类工程实践，训练价值完整。</w:t>
      </w:r>
    </w:p>
    <w:p w14:paraId="4006EA20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应用必要性：以统一身份与日期关联训练、饮食、体重三类数据，解决记录分散、难以回看与难以判断执行情况的实际问题。</w:t>
      </w:r>
    </w:p>
    <w:p w14:paraId="07F81988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范围必要性：将 iOS 适配、食物图片识别、穿戴设备接入、社交社区与处方式推荐明确排除在首版之外，使 12 周、2 人的资源能够集中于核心闭环。</w:t>
      </w:r>
    </w:p>
    <w:p w14:paraId="7A3327C0">
      <w:pPr>
        <w:pStyle w:val="3"/>
      </w:pPr>
      <w:bookmarkStart w:id="9" w:name="_Toc2650"/>
      <w:r>
        <w:rPr>
          <w:rFonts w:ascii="Times New Roman" w:hAnsi="Times New Roman" w:eastAsia="思源黑体" w:cs="Times New Roman"/>
        </w:rPr>
        <w:t>3  技术可行性分析</w:t>
      </w:r>
      <w:bookmarkEnd w:id="9"/>
    </w:p>
    <w:p w14:paraId="665BED5D">
      <w:pPr>
        <w:pStyle w:val="4"/>
      </w:pPr>
      <w:bookmarkStart w:id="10" w:name="_Toc22664"/>
      <w:r>
        <w:rPr>
          <w:rFonts w:ascii="Times New Roman" w:hAnsi="Times New Roman" w:eastAsia="思源黑体" w:cs="Times New Roman"/>
        </w:rPr>
        <w:t>3.1  技术选型成熟度评估</w:t>
      </w:r>
      <w:bookmarkEnd w:id="10"/>
    </w:p>
    <w:p w14:paraId="42930079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3-1  拟选技术成熟度与风险评估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400"/>
        <w:gridCol w:w="2600"/>
        <w:gridCol w:w="1700"/>
        <w:gridCol w:w="1226"/>
      </w:tblGrid>
      <w:tr w14:paraId="3D43913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D5E8F0"/>
          </w:tcPr>
          <w:p w14:paraId="225C4FE7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2400" w:type="dxa"/>
            <w:shd w:val="clear" w:color="auto" w:fill="D5E8F0"/>
          </w:tcPr>
          <w:p w14:paraId="7B351842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拟选技术</w:t>
            </w:r>
          </w:p>
        </w:tc>
        <w:tc>
          <w:tcPr>
            <w:tcW w:w="2600" w:type="dxa"/>
            <w:shd w:val="clear" w:color="auto" w:fill="D5E8F0"/>
          </w:tcPr>
          <w:p w14:paraId="39526F58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成熟度与可获得性</w:t>
            </w:r>
          </w:p>
        </w:tc>
        <w:tc>
          <w:tcPr>
            <w:tcW w:w="1700" w:type="dxa"/>
            <w:shd w:val="clear" w:color="auto" w:fill="D5E8F0"/>
          </w:tcPr>
          <w:p w14:paraId="58664CAF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主要风险</w:t>
            </w:r>
          </w:p>
        </w:tc>
        <w:tc>
          <w:tcPr>
            <w:tcW w:w="1226" w:type="dxa"/>
            <w:shd w:val="clear" w:color="auto" w:fill="D5E8F0"/>
          </w:tcPr>
          <w:p w14:paraId="4C989030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结论</w:t>
            </w:r>
          </w:p>
        </w:tc>
      </w:tr>
      <w:tr w14:paraId="0CAA47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536E981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表现层</w:t>
            </w:r>
          </w:p>
        </w:tc>
        <w:tc>
          <w:tcPr>
            <w:tcW w:w="2400" w:type="dxa"/>
          </w:tcPr>
          <w:p w14:paraId="5A017F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Vue 3、Vue Router、Axios、Capacitor</w:t>
            </w:r>
          </w:p>
        </w:tc>
        <w:tc>
          <w:tcPr>
            <w:tcW w:w="2600" w:type="dxa"/>
          </w:tcPr>
          <w:p w14:paraId="5E78C30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主流稳定，官方文档与社区资料完备</w:t>
            </w:r>
          </w:p>
        </w:tc>
        <w:tc>
          <w:tcPr>
            <w:tcW w:w="1700" w:type="dxa"/>
          </w:tcPr>
          <w:p w14:paraId="748A507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手机端布局与触控适配工作量</w:t>
            </w:r>
          </w:p>
        </w:tc>
        <w:tc>
          <w:tcPr>
            <w:tcW w:w="1226" w:type="dxa"/>
          </w:tcPr>
          <w:p w14:paraId="2D4F00F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4A1D68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0A94D80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图表层</w:t>
            </w:r>
          </w:p>
        </w:tc>
        <w:tc>
          <w:tcPr>
            <w:tcW w:w="2400" w:type="dxa"/>
          </w:tcPr>
          <w:p w14:paraId="31909AE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Apache ECharts</w:t>
            </w:r>
          </w:p>
        </w:tc>
        <w:tc>
          <w:tcPr>
            <w:tcW w:w="2600" w:type="dxa"/>
          </w:tcPr>
          <w:p w14:paraId="7F57B7E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成熟，支持移动端触控与自适应</w:t>
            </w:r>
          </w:p>
        </w:tc>
        <w:tc>
          <w:tcPr>
            <w:tcW w:w="1700" w:type="dxa"/>
          </w:tcPr>
          <w:p w14:paraId="149B7FE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小屏图表可读性需调优</w:t>
            </w:r>
          </w:p>
        </w:tc>
        <w:tc>
          <w:tcPr>
            <w:tcW w:w="1226" w:type="dxa"/>
          </w:tcPr>
          <w:p w14:paraId="6196D50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1ABF03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04EA61B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业务层</w:t>
            </w:r>
          </w:p>
        </w:tc>
        <w:tc>
          <w:tcPr>
            <w:tcW w:w="2400" w:type="dxa"/>
          </w:tcPr>
          <w:p w14:paraId="63F5EA2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Spring Boot、Spring Security</w:t>
            </w:r>
          </w:p>
        </w:tc>
        <w:tc>
          <w:tcPr>
            <w:tcW w:w="2600" w:type="dxa"/>
          </w:tcPr>
          <w:p w14:paraId="0811700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主线技术，生态成熟</w:t>
            </w:r>
          </w:p>
        </w:tc>
        <w:tc>
          <w:tcPr>
            <w:tcW w:w="1700" w:type="dxa"/>
          </w:tcPr>
          <w:p w14:paraId="1C3195A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鉴权与用户归属校验配置复杂度</w:t>
            </w:r>
          </w:p>
        </w:tc>
        <w:tc>
          <w:tcPr>
            <w:tcW w:w="1226" w:type="dxa"/>
          </w:tcPr>
          <w:p w14:paraId="0217E25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46A39F2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4FAB67C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持久层</w:t>
            </w:r>
          </w:p>
        </w:tc>
        <w:tc>
          <w:tcPr>
            <w:tcW w:w="2400" w:type="dxa"/>
          </w:tcPr>
          <w:p w14:paraId="5FCCDB4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Spring Data JPA、MySQL 8.4</w:t>
            </w:r>
          </w:p>
        </w:tc>
        <w:tc>
          <w:tcPr>
            <w:tcW w:w="2600" w:type="dxa"/>
          </w:tcPr>
          <w:p w14:paraId="63F9834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成熟稳定，官方文档齐备</w:t>
            </w:r>
          </w:p>
        </w:tc>
        <w:tc>
          <w:tcPr>
            <w:tcW w:w="1700" w:type="dxa"/>
          </w:tcPr>
          <w:p w14:paraId="7A4FE2B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联合索引与事务边界需设计</w:t>
            </w:r>
          </w:p>
        </w:tc>
        <w:tc>
          <w:tcPr>
            <w:tcW w:w="1226" w:type="dxa"/>
          </w:tcPr>
          <w:p w14:paraId="1EFC6DD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6C29E26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15E3515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AI 服务层</w:t>
            </w:r>
          </w:p>
        </w:tc>
        <w:tc>
          <w:tcPr>
            <w:tcW w:w="2400" w:type="dxa"/>
          </w:tcPr>
          <w:p w14:paraId="7CFDF50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Ollama、Qwen3-4B-Instruct-2507</w:t>
            </w:r>
          </w:p>
        </w:tc>
        <w:tc>
          <w:tcPr>
            <w:tcW w:w="2600" w:type="dxa"/>
          </w:tcPr>
          <w:p w14:paraId="36DB55F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开源可本地部署，许可为 Apache-2.0（部署前须核对版本与许可）</w:t>
            </w:r>
          </w:p>
        </w:tc>
        <w:tc>
          <w:tcPr>
            <w:tcW w:w="1700" w:type="dxa"/>
          </w:tcPr>
          <w:p w14:paraId="6F254B4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推理耗时、输出与原始摘要不一致</w:t>
            </w:r>
          </w:p>
        </w:tc>
        <w:tc>
          <w:tcPr>
            <w:tcW w:w="1226" w:type="dxa"/>
          </w:tcPr>
          <w:p w14:paraId="242E309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基本可行</w:t>
            </w:r>
          </w:p>
        </w:tc>
      </w:tr>
      <w:tr w14:paraId="465EBA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3FAF79F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移动端构建</w:t>
            </w:r>
          </w:p>
        </w:tc>
        <w:tc>
          <w:tcPr>
            <w:tcW w:w="2400" w:type="dxa"/>
          </w:tcPr>
          <w:p w14:paraId="5B89AAA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Android SDK、Capacitor CLI</w:t>
            </w:r>
          </w:p>
        </w:tc>
        <w:tc>
          <w:tcPr>
            <w:tcW w:w="2600" w:type="dxa"/>
          </w:tcPr>
          <w:p w14:paraId="22E05F5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成熟，工具链公开可得</w:t>
            </w:r>
          </w:p>
        </w:tc>
        <w:tc>
          <w:tcPr>
            <w:tcW w:w="1700" w:type="dxa"/>
          </w:tcPr>
          <w:p w14:paraId="6493FFF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打包环境与真机兼容性</w:t>
            </w:r>
          </w:p>
        </w:tc>
        <w:tc>
          <w:tcPr>
            <w:tcW w:w="1226" w:type="dxa"/>
          </w:tcPr>
          <w:p w14:paraId="757AEB7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  <w:tr w14:paraId="536C21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</w:tcPr>
          <w:p w14:paraId="02813EC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协作与构建</w:t>
            </w:r>
          </w:p>
        </w:tc>
        <w:tc>
          <w:tcPr>
            <w:tcW w:w="2400" w:type="dxa"/>
          </w:tcPr>
          <w:p w14:paraId="208C8E3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Git、GitHub、Maven、Vite</w:t>
            </w:r>
          </w:p>
        </w:tc>
        <w:tc>
          <w:tcPr>
            <w:tcW w:w="2600" w:type="dxa"/>
          </w:tcPr>
          <w:p w14:paraId="3CA59E8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成熟，小组已采用</w:t>
            </w:r>
          </w:p>
        </w:tc>
        <w:tc>
          <w:tcPr>
            <w:tcW w:w="1700" w:type="dxa"/>
          </w:tcPr>
          <w:p w14:paraId="17F7643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分支与合并规范执行</w:t>
            </w:r>
          </w:p>
        </w:tc>
        <w:tc>
          <w:tcPr>
            <w:tcW w:w="1226" w:type="dxa"/>
          </w:tcPr>
          <w:p w14:paraId="6449273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</w:tr>
    </w:tbl>
    <w:p w14:paraId="5CD7936B">
      <w:pPr>
        <w:spacing w:after="0"/>
      </w:pPr>
    </w:p>
    <w:p w14:paraId="1E1E89C6">
      <w:pPr>
        <w:pStyle w:val="4"/>
      </w:pPr>
      <w:bookmarkStart w:id="11" w:name="_Toc5642"/>
      <w:r>
        <w:rPr>
          <w:rFonts w:ascii="Times New Roman" w:hAnsi="Times New Roman" w:eastAsia="思源黑体" w:cs="Times New Roman"/>
        </w:rPr>
        <w:t>3.2  关键技术难点与验证路径</w:t>
      </w:r>
      <w:bookmarkEnd w:id="11"/>
    </w:p>
    <w:p w14:paraId="19589442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3-2  关键技术难点与验证路径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226"/>
      </w:tblGrid>
      <w:tr w14:paraId="0CB5E66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D5E8F0"/>
          </w:tcPr>
          <w:p w14:paraId="680FFCE2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难点</w:t>
            </w:r>
          </w:p>
        </w:tc>
        <w:tc>
          <w:tcPr>
            <w:tcW w:w="3300" w:type="dxa"/>
            <w:shd w:val="clear" w:color="auto" w:fill="D5E8F0"/>
          </w:tcPr>
          <w:p w14:paraId="6B135F56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具体表现</w:t>
            </w:r>
          </w:p>
        </w:tc>
        <w:tc>
          <w:tcPr>
            <w:tcW w:w="4226" w:type="dxa"/>
            <w:shd w:val="clear" w:color="auto" w:fill="D5E8F0"/>
          </w:tcPr>
          <w:p w14:paraId="478BA660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验证路径与判据</w:t>
            </w:r>
          </w:p>
        </w:tc>
      </w:tr>
      <w:tr w14:paraId="3AAE10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38EE58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本地模型推理耗时</w:t>
            </w:r>
          </w:p>
        </w:tc>
        <w:tc>
          <w:tcPr>
            <w:tcW w:w="3300" w:type="dxa"/>
          </w:tcPr>
          <w:p w14:paraId="56D899F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4B 级模型在无 GPU 环境下单次生成可能达到数十秒量级（以部署实测为准）</w:t>
            </w:r>
          </w:p>
        </w:tc>
        <w:tc>
          <w:tcPr>
            <w:tcW w:w="4226" w:type="dxa"/>
          </w:tcPr>
          <w:p w14:paraId="02AF6BD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7 周先做模型接入验证；对输入与输出长度设限；设超时降级，不可用时保留原始统计并提示稍后重试</w:t>
            </w:r>
          </w:p>
        </w:tc>
      </w:tr>
      <w:tr w14:paraId="472E559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B8626A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模型输出与事实不一致</w:t>
            </w:r>
          </w:p>
        </w:tc>
        <w:tc>
          <w:tcPr>
            <w:tcW w:w="3300" w:type="dxa"/>
          </w:tcPr>
          <w:p w14:paraId="6AD9925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模型改写或推算统计数值导致报告失真</w:t>
            </w:r>
          </w:p>
        </w:tc>
        <w:tc>
          <w:tcPr>
            <w:tcW w:w="4226" w:type="dxa"/>
          </w:tcPr>
          <w:p w14:paraId="17F0AFD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先按确定规则计算统计结果再交模型解释；生成后与原始摘要核对，不一致时不展示为确定结论</w:t>
            </w:r>
          </w:p>
        </w:tc>
      </w:tr>
      <w:tr w14:paraId="58C93A2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1F8ABEF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Capacitor 打包与真机</w:t>
            </w:r>
          </w:p>
        </w:tc>
        <w:tc>
          <w:tcPr>
            <w:tcW w:w="3300" w:type="dxa"/>
          </w:tcPr>
          <w:p w14:paraId="0282F3E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开发环境、SDK 版本与真机兼容性问题导致安装包交付延迟</w:t>
            </w:r>
          </w:p>
        </w:tc>
        <w:tc>
          <w:tcPr>
            <w:tcW w:w="4226" w:type="dxa"/>
          </w:tcPr>
          <w:p w14:paraId="3C52B5A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8 周提前搭建打包环境并出空壳包验证；预留第 10 周缓冲；iOS 不纳入本次交付</w:t>
            </w:r>
          </w:p>
        </w:tc>
      </w:tr>
      <w:tr w14:paraId="0FA0B2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FD5423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营养换算口径</w:t>
            </w:r>
          </w:p>
        </w:tc>
        <w:tc>
          <w:tcPr>
            <w:tcW w:w="3300" w:type="dxa"/>
          </w:tcPr>
          <w:p w14:paraId="094BD03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生重/熟重/品牌规格混用导致汇总偏差</w:t>
            </w:r>
          </w:p>
        </w:tc>
        <w:tc>
          <w:tcPr>
            <w:tcW w:w="4226" w:type="dxa"/>
          </w:tcPr>
          <w:p w14:paraId="4051A39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统一按每 100g 营养值 × 克重 ÷ 100 计算，先保留精度再统一显示位数；记录保存营养快照</w:t>
            </w:r>
          </w:p>
        </w:tc>
      </w:tr>
      <w:tr w14:paraId="63154F8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061FF9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跨账号数据隔离</w:t>
            </w:r>
          </w:p>
        </w:tc>
        <w:tc>
          <w:tcPr>
            <w:tcW w:w="3300" w:type="dxa"/>
          </w:tcPr>
          <w:p w14:paraId="0B5E9E0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越权查询导致隐私验收不通过</w:t>
            </w:r>
          </w:p>
        </w:tc>
        <w:tc>
          <w:tcPr>
            <w:tcW w:w="4226" w:type="dxa"/>
          </w:tcPr>
          <w:p w14:paraId="779970D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所有查询强制携带当前登录用户身份，后端完成归属校验；测试阶段专门设计跨账号访问用例</w:t>
            </w:r>
          </w:p>
        </w:tc>
      </w:tr>
    </w:tbl>
    <w:p w14:paraId="5B1AA450">
      <w:pPr>
        <w:spacing w:after="0"/>
      </w:pPr>
    </w:p>
    <w:p w14:paraId="0D75D2B5">
      <w:pPr>
        <w:pStyle w:val="4"/>
      </w:pPr>
      <w:bookmarkStart w:id="12" w:name="_Toc12818"/>
      <w:r>
        <w:rPr>
          <w:rFonts w:ascii="Times New Roman" w:hAnsi="Times New Roman" w:eastAsia="思源黑体" w:cs="Times New Roman"/>
        </w:rPr>
        <w:t>3.3  备选方案比较</w:t>
      </w:r>
      <w:bookmarkEnd w:id="12"/>
    </w:p>
    <w:p w14:paraId="30F01276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（1）AI 服务部署方案</w:t>
      </w:r>
    </w:p>
    <w:p w14:paraId="56848083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3-3  AI 服务方案比较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2900"/>
        <w:gridCol w:w="2400"/>
        <w:gridCol w:w="2326"/>
      </w:tblGrid>
      <w:tr w14:paraId="30A1AAC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D5E8F0"/>
          </w:tcPr>
          <w:p w14:paraId="67F8DE23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比较维度</w:t>
            </w:r>
          </w:p>
        </w:tc>
        <w:tc>
          <w:tcPr>
            <w:tcW w:w="2900" w:type="dxa"/>
            <w:shd w:val="clear" w:color="auto" w:fill="D5E8F0"/>
          </w:tcPr>
          <w:p w14:paraId="3AA1CE92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方案 A：本地 Ollama 部署开源模型（选定）</w:t>
            </w:r>
          </w:p>
        </w:tc>
        <w:tc>
          <w:tcPr>
            <w:tcW w:w="2400" w:type="dxa"/>
            <w:shd w:val="clear" w:color="auto" w:fill="D5E8F0"/>
          </w:tcPr>
          <w:p w14:paraId="6656F314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方案 B：调用云端大模型 API</w:t>
            </w:r>
          </w:p>
        </w:tc>
        <w:tc>
          <w:tcPr>
            <w:tcW w:w="2326" w:type="dxa"/>
            <w:shd w:val="clear" w:color="auto" w:fill="D5E8F0"/>
          </w:tcPr>
          <w:p w14:paraId="0970AC97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方案 C：规则模板生成，不接入模型</w:t>
            </w:r>
          </w:p>
        </w:tc>
      </w:tr>
      <w:tr w14:paraId="3C87782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A23F45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数据隐私</w:t>
            </w:r>
          </w:p>
        </w:tc>
        <w:tc>
          <w:tcPr>
            <w:tcW w:w="2900" w:type="dxa"/>
          </w:tcPr>
          <w:p w14:paraId="19094F3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数据不出服务端，仅传整理后的摘要</w:t>
            </w:r>
          </w:p>
        </w:tc>
        <w:tc>
          <w:tcPr>
            <w:tcW w:w="2400" w:type="dxa"/>
          </w:tcPr>
          <w:p w14:paraId="272B080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需向第三方传输用户数据</w:t>
            </w:r>
          </w:p>
        </w:tc>
        <w:tc>
          <w:tcPr>
            <w:tcW w:w="2326" w:type="dxa"/>
          </w:tcPr>
          <w:p w14:paraId="0F53431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不涉及</w:t>
            </w:r>
          </w:p>
        </w:tc>
      </w:tr>
      <w:tr w14:paraId="5D174BC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40B364E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成本</w:t>
            </w:r>
          </w:p>
        </w:tc>
        <w:tc>
          <w:tcPr>
            <w:tcW w:w="2900" w:type="dxa"/>
          </w:tcPr>
          <w:p w14:paraId="7C2AC8E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无调用费用，占用本地算力</w:t>
            </w:r>
          </w:p>
        </w:tc>
        <w:tc>
          <w:tcPr>
            <w:tcW w:w="2400" w:type="dxa"/>
          </w:tcPr>
          <w:p w14:paraId="0CFB2E3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按量计费，存在额度与密钥管理成本</w:t>
            </w:r>
          </w:p>
        </w:tc>
        <w:tc>
          <w:tcPr>
            <w:tcW w:w="2326" w:type="dxa"/>
          </w:tcPr>
          <w:p w14:paraId="51ECA66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无</w:t>
            </w:r>
          </w:p>
        </w:tc>
      </w:tr>
      <w:tr w14:paraId="57FC95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382045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可用性与离线</w:t>
            </w:r>
          </w:p>
        </w:tc>
        <w:tc>
          <w:tcPr>
            <w:tcW w:w="2900" w:type="dxa"/>
          </w:tcPr>
          <w:p w14:paraId="5615E85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不依赖外网，断网可用（本机服务正常时）</w:t>
            </w:r>
          </w:p>
        </w:tc>
        <w:tc>
          <w:tcPr>
            <w:tcW w:w="2400" w:type="dxa"/>
          </w:tcPr>
          <w:p w14:paraId="5912E7C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依赖网络与服务可用性</w:t>
            </w:r>
          </w:p>
        </w:tc>
        <w:tc>
          <w:tcPr>
            <w:tcW w:w="2326" w:type="dxa"/>
          </w:tcPr>
          <w:p w14:paraId="22DC69F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始终可用</w:t>
            </w:r>
          </w:p>
        </w:tc>
      </w:tr>
      <w:tr w14:paraId="051110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BDC895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输出灵活性</w:t>
            </w:r>
          </w:p>
        </w:tc>
        <w:tc>
          <w:tcPr>
            <w:tcW w:w="2900" w:type="dxa"/>
          </w:tcPr>
          <w:p w14:paraId="1EB7A09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可生成自然语言总结与建议</w:t>
            </w:r>
          </w:p>
        </w:tc>
        <w:tc>
          <w:tcPr>
            <w:tcW w:w="2400" w:type="dxa"/>
          </w:tcPr>
          <w:p w14:paraId="07A2F06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灵活性最高</w:t>
            </w:r>
          </w:p>
        </w:tc>
        <w:tc>
          <w:tcPr>
            <w:tcW w:w="2326" w:type="dxa"/>
          </w:tcPr>
          <w:p w14:paraId="78885A0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机械、解释力弱</w:t>
            </w:r>
          </w:p>
        </w:tc>
      </w:tr>
      <w:tr w14:paraId="2FED916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CE5DB4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实现难度与风险</w:t>
            </w:r>
          </w:p>
        </w:tc>
        <w:tc>
          <w:tcPr>
            <w:tcW w:w="2900" w:type="dxa"/>
          </w:tcPr>
          <w:p w14:paraId="59E4798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需自行部署、限流、超时降级</w:t>
            </w:r>
          </w:p>
        </w:tc>
        <w:tc>
          <w:tcPr>
            <w:tcW w:w="2400" w:type="dxa"/>
          </w:tcPr>
          <w:p w14:paraId="249C84B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接入简单</w:t>
            </w:r>
          </w:p>
        </w:tc>
        <w:tc>
          <w:tcPr>
            <w:tcW w:w="2326" w:type="dxa"/>
          </w:tcPr>
          <w:p w14:paraId="26CBC9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最低，但与“AI 分析”目标不符</w:t>
            </w:r>
          </w:p>
        </w:tc>
      </w:tr>
      <w:tr w14:paraId="00BACB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501E8BA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结论</w:t>
            </w:r>
          </w:p>
        </w:tc>
        <w:tc>
          <w:tcPr>
            <w:tcW w:w="2900" w:type="dxa"/>
          </w:tcPr>
          <w:p w14:paraId="53FCC01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推荐。与隐私设计、成本控制目标一致</w:t>
            </w:r>
          </w:p>
        </w:tc>
        <w:tc>
          <w:tcPr>
            <w:tcW w:w="2400" w:type="dxa"/>
          </w:tcPr>
          <w:p w14:paraId="672D6CE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备选。仅当本地部署不可行时考虑</w:t>
            </w:r>
          </w:p>
        </w:tc>
        <w:tc>
          <w:tcPr>
            <w:tcW w:w="2326" w:type="dxa"/>
          </w:tcPr>
          <w:p w14:paraId="013A73C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仅作为降级兜底形式之一</w:t>
            </w:r>
          </w:p>
        </w:tc>
      </w:tr>
    </w:tbl>
    <w:p w14:paraId="1291665E">
      <w:pPr>
        <w:spacing w:after="0"/>
      </w:pPr>
    </w:p>
    <w:p w14:paraId="6CF18067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（2）移动端封装方案</w:t>
      </w:r>
    </w:p>
    <w:p w14:paraId="59307D0F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3-4  移动端封装方案比较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100"/>
        <w:gridCol w:w="2200"/>
        <w:gridCol w:w="2226"/>
      </w:tblGrid>
      <w:tr w14:paraId="216F5BE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D5E8F0"/>
          </w:tcPr>
          <w:p w14:paraId="1BD99E67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比较维度</w:t>
            </w:r>
          </w:p>
        </w:tc>
        <w:tc>
          <w:tcPr>
            <w:tcW w:w="3100" w:type="dxa"/>
            <w:shd w:val="clear" w:color="auto" w:fill="D5E8F0"/>
          </w:tcPr>
          <w:p w14:paraId="69B16232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Capacitor 封装现有 Vue 页面（选定）</w:t>
            </w:r>
          </w:p>
        </w:tc>
        <w:tc>
          <w:tcPr>
            <w:tcW w:w="2200" w:type="dxa"/>
            <w:shd w:val="clear" w:color="auto" w:fill="D5E8F0"/>
          </w:tcPr>
          <w:p w14:paraId="78FAF545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原生 Android（Kotlin）开发</w:t>
            </w:r>
          </w:p>
        </w:tc>
        <w:tc>
          <w:tcPr>
            <w:tcW w:w="2226" w:type="dxa"/>
            <w:shd w:val="clear" w:color="auto" w:fill="D5E8F0"/>
          </w:tcPr>
          <w:p w14:paraId="13F7E6E4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跨端框架重写（uni-app / Flutter）</w:t>
            </w:r>
          </w:p>
        </w:tc>
      </w:tr>
      <w:tr w14:paraId="0364C57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6FA5622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复用现有资产</w:t>
            </w:r>
          </w:p>
        </w:tc>
        <w:tc>
          <w:tcPr>
            <w:tcW w:w="3100" w:type="dxa"/>
          </w:tcPr>
          <w:p w14:paraId="75BE7A3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完全复用已实现的 Vue 页面与接口调用</w:t>
            </w:r>
          </w:p>
        </w:tc>
        <w:tc>
          <w:tcPr>
            <w:tcW w:w="2200" w:type="dxa"/>
          </w:tcPr>
          <w:p w14:paraId="677111C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需重写全部页面</w:t>
            </w:r>
          </w:p>
        </w:tc>
        <w:tc>
          <w:tcPr>
            <w:tcW w:w="2226" w:type="dxa"/>
          </w:tcPr>
          <w:p w14:paraId="4491DE6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需重写大部分页面</w:t>
            </w:r>
          </w:p>
        </w:tc>
      </w:tr>
      <w:tr w14:paraId="2E97135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4E51BA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学习成本</w:t>
            </w:r>
          </w:p>
        </w:tc>
        <w:tc>
          <w:tcPr>
            <w:tcW w:w="3100" w:type="dxa"/>
          </w:tcPr>
          <w:p w14:paraId="1F854FD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低，主要为工程配置与插件使用</w:t>
            </w:r>
          </w:p>
        </w:tc>
        <w:tc>
          <w:tcPr>
            <w:tcW w:w="2200" w:type="dxa"/>
          </w:tcPr>
          <w:p w14:paraId="6306ABD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高，需掌握原生开发体系</w:t>
            </w:r>
          </w:p>
        </w:tc>
        <w:tc>
          <w:tcPr>
            <w:tcW w:w="2226" w:type="dxa"/>
          </w:tcPr>
          <w:p w14:paraId="5C88848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中高，需学习新框架</w:t>
            </w:r>
          </w:p>
        </w:tc>
      </w:tr>
      <w:tr w14:paraId="497444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29D5E2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打包环境依赖</w:t>
            </w:r>
          </w:p>
        </w:tc>
        <w:tc>
          <w:tcPr>
            <w:tcW w:w="3100" w:type="dxa"/>
          </w:tcPr>
          <w:p w14:paraId="3044228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 Android SDK 与 Capacitor CLI</w:t>
            </w:r>
          </w:p>
        </w:tc>
        <w:tc>
          <w:tcPr>
            <w:tcW w:w="2200" w:type="dxa"/>
          </w:tcPr>
          <w:p w14:paraId="003F4A0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 Android Studio 与 SDK</w:t>
            </w:r>
          </w:p>
        </w:tc>
        <w:tc>
          <w:tcPr>
            <w:tcW w:w="2226" w:type="dxa"/>
          </w:tcPr>
          <w:p w14:paraId="052B8E8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需对应工具链</w:t>
            </w:r>
          </w:p>
        </w:tc>
      </w:tr>
      <w:tr w14:paraId="633AA7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3AB5BF5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12 周可行性</w:t>
            </w:r>
          </w:p>
        </w:tc>
        <w:tc>
          <w:tcPr>
            <w:tcW w:w="3100" w:type="dxa"/>
          </w:tcPr>
          <w:p w14:paraId="5FCE3AE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高，与“先核心后封装”的实施顺序一致</w:t>
            </w:r>
          </w:p>
        </w:tc>
        <w:tc>
          <w:tcPr>
            <w:tcW w:w="2200" w:type="dxa"/>
          </w:tcPr>
          <w:p w14:paraId="7B50EB1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低，工作量超出小组容量</w:t>
            </w:r>
          </w:p>
        </w:tc>
        <w:tc>
          <w:tcPr>
            <w:tcW w:w="2226" w:type="dxa"/>
          </w:tcPr>
          <w:p w14:paraId="62CEE30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低到中，重复投入</w:t>
            </w:r>
          </w:p>
        </w:tc>
      </w:tr>
      <w:tr w14:paraId="4A1272C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56A560E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结论</w:t>
            </w:r>
          </w:p>
        </w:tc>
        <w:tc>
          <w:tcPr>
            <w:tcW w:w="3100" w:type="dxa"/>
          </w:tcPr>
          <w:p w14:paraId="349C793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推荐</w:t>
            </w:r>
          </w:p>
        </w:tc>
        <w:tc>
          <w:tcPr>
            <w:tcW w:w="2200" w:type="dxa"/>
          </w:tcPr>
          <w:p w14:paraId="4E82B79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不推荐</w:t>
            </w:r>
          </w:p>
        </w:tc>
        <w:tc>
          <w:tcPr>
            <w:tcW w:w="2226" w:type="dxa"/>
          </w:tcPr>
          <w:p w14:paraId="6421D2B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不推荐</w:t>
            </w:r>
          </w:p>
        </w:tc>
      </w:tr>
    </w:tbl>
    <w:p w14:paraId="3DB9C473">
      <w:pPr>
        <w:spacing w:after="0"/>
      </w:pPr>
    </w:p>
    <w:p w14:paraId="42AE54A6">
      <w:pPr>
        <w:pStyle w:val="4"/>
      </w:pPr>
      <w:bookmarkStart w:id="13" w:name="_Toc14913"/>
      <w:r>
        <w:rPr>
          <w:rFonts w:ascii="Times New Roman" w:hAnsi="Times New Roman" w:eastAsia="思源黑体" w:cs="Times New Roman"/>
        </w:rPr>
        <w:t>3.4  技术可行性结论</w:t>
      </w:r>
      <w:bookmarkEnd w:id="13"/>
    </w:p>
    <w:p w14:paraId="7DEB282C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除本地模型推理与输出一致性外，其余技术环节均为成熟方案，且项目已在计划书中为不确定性最高的两项（模型耗时、打包环境）安排了前置验证与缓冲周。因此技术维度判定为“基本可行”：在满足“第 7 周完成模型接入验证、第 8 周完成空壳包验证”两项前置条件后，即可转为“可行”。</w:t>
      </w:r>
    </w:p>
    <w:p w14:paraId="600F2992">
      <w:pPr>
        <w:pStyle w:val="3"/>
      </w:pPr>
      <w:bookmarkStart w:id="14" w:name="_Toc16143"/>
      <w:r>
        <w:rPr>
          <w:rFonts w:ascii="Times New Roman" w:hAnsi="Times New Roman" w:eastAsia="思源黑体" w:cs="Times New Roman"/>
        </w:rPr>
        <w:t>4  经济与资源可行性分析</w:t>
      </w:r>
      <w:bookmarkEnd w:id="14"/>
    </w:p>
    <w:p w14:paraId="10ECC98E">
      <w:pPr>
        <w:pStyle w:val="4"/>
      </w:pPr>
      <w:bookmarkStart w:id="15" w:name="_Toc513"/>
      <w:r>
        <w:rPr>
          <w:rFonts w:ascii="Times New Roman" w:hAnsi="Times New Roman" w:eastAsia="思源黑体" w:cs="Times New Roman"/>
        </w:rPr>
        <w:t>4.1  成本估算</w:t>
      </w:r>
      <w:bookmarkEnd w:id="15"/>
    </w:p>
    <w:p w14:paraId="2B30DA2B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项目为课程设计，小组成员人力投入不计入成本；以下按实际可能发生的支出估算。</w:t>
      </w:r>
    </w:p>
    <w:p w14:paraId="58832822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4-1  成本估算（课程设计口径）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5426"/>
      </w:tblGrid>
      <w:tr w14:paraId="459831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D5E8F0"/>
          </w:tcPr>
          <w:p w14:paraId="26284CC7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成本项</w:t>
            </w:r>
          </w:p>
        </w:tc>
        <w:tc>
          <w:tcPr>
            <w:tcW w:w="1800" w:type="dxa"/>
            <w:shd w:val="clear" w:color="auto" w:fill="D5E8F0"/>
          </w:tcPr>
          <w:p w14:paraId="6315512C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估算</w:t>
            </w:r>
          </w:p>
        </w:tc>
        <w:tc>
          <w:tcPr>
            <w:tcW w:w="5426" w:type="dxa"/>
            <w:shd w:val="clear" w:color="auto" w:fill="D5E8F0"/>
          </w:tcPr>
          <w:p w14:paraId="16C1E83C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说明</w:t>
            </w:r>
          </w:p>
        </w:tc>
      </w:tr>
      <w:tr w14:paraId="006378D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9194B8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开发人力</w:t>
            </w:r>
          </w:p>
        </w:tc>
        <w:tc>
          <w:tcPr>
            <w:tcW w:w="1800" w:type="dxa"/>
          </w:tcPr>
          <w:p w14:paraId="2610B84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不计</w:t>
            </w:r>
          </w:p>
        </w:tc>
        <w:tc>
          <w:tcPr>
            <w:tcW w:w="5426" w:type="dxa"/>
          </w:tcPr>
          <w:p w14:paraId="4643D39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课程设计，由小组成员投入</w:t>
            </w:r>
          </w:p>
        </w:tc>
      </w:tr>
      <w:tr w14:paraId="1064598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E2960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服务器与数据库</w:t>
            </w:r>
          </w:p>
        </w:tc>
        <w:tc>
          <w:tcPr>
            <w:tcW w:w="1800" w:type="dxa"/>
          </w:tcPr>
          <w:p w14:paraId="267A1DF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0 元</w:t>
            </w:r>
          </w:p>
        </w:tc>
        <w:tc>
          <w:tcPr>
            <w:tcW w:w="5426" w:type="dxa"/>
          </w:tcPr>
          <w:p w14:paraId="19E0E27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复用开发机或实验室既有主机；MySQL 为开源数据库</w:t>
            </w:r>
          </w:p>
        </w:tc>
      </w:tr>
      <w:tr w14:paraId="6D2D21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434835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AI 推理算力</w:t>
            </w:r>
          </w:p>
        </w:tc>
        <w:tc>
          <w:tcPr>
            <w:tcW w:w="1800" w:type="dxa"/>
          </w:tcPr>
          <w:p w14:paraId="5F6084C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0 元（复用现有硬件）</w:t>
            </w:r>
          </w:p>
        </w:tc>
        <w:tc>
          <w:tcPr>
            <w:tcW w:w="5426" w:type="dxa"/>
          </w:tcPr>
          <w:p w14:paraId="577AF03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4B 参数模型经量化后权重约为数 GB 量级，具体内存/显存占用以部署实测为准；无 GPU 时推理延迟上升，由超时降级兜底</w:t>
            </w:r>
          </w:p>
        </w:tc>
      </w:tr>
      <w:tr w14:paraId="2141F8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0294A9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软件与工具</w:t>
            </w:r>
          </w:p>
        </w:tc>
        <w:tc>
          <w:tcPr>
            <w:tcW w:w="1800" w:type="dxa"/>
          </w:tcPr>
          <w:p w14:paraId="180DB42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0 元</w:t>
            </w:r>
          </w:p>
        </w:tc>
        <w:tc>
          <w:tcPr>
            <w:tcW w:w="5426" w:type="dxa"/>
          </w:tcPr>
          <w:p w14:paraId="1705856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Spring Boot、Vue 3、ECharts、Ollama、Capacitor、Git 等均为开源或免费工具</w:t>
            </w:r>
          </w:p>
        </w:tc>
      </w:tr>
      <w:tr w14:paraId="4ABE9F8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2D8144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Android 真机</w:t>
            </w:r>
          </w:p>
        </w:tc>
        <w:tc>
          <w:tcPr>
            <w:tcW w:w="1800" w:type="dxa"/>
          </w:tcPr>
          <w:p w14:paraId="52AD40C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0 元</w:t>
            </w:r>
          </w:p>
        </w:tc>
        <w:tc>
          <w:tcPr>
            <w:tcW w:w="5426" w:type="dxa"/>
          </w:tcPr>
          <w:p w14:paraId="1525DBF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使用小组成员自有设备</w:t>
            </w:r>
          </w:p>
        </w:tc>
      </w:tr>
      <w:tr w14:paraId="7D05F57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926823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域名与 HTTPS 证书</w:t>
            </w:r>
          </w:p>
        </w:tc>
        <w:tc>
          <w:tcPr>
            <w:tcW w:w="1800" w:type="dxa"/>
          </w:tcPr>
          <w:p w14:paraId="0037A5A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可选支出</w:t>
            </w:r>
          </w:p>
        </w:tc>
        <w:tc>
          <w:tcPr>
            <w:tcW w:w="5426" w:type="dxa"/>
          </w:tcPr>
          <w:p w14:paraId="2D6D32A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校内或局域网演示可用内网方式；如需外网部署再评估域名与证书成本</w:t>
            </w:r>
          </w:p>
        </w:tc>
      </w:tr>
      <w:tr w14:paraId="22AB37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F22208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食物营养数据</w:t>
            </w:r>
          </w:p>
        </w:tc>
        <w:tc>
          <w:tcPr>
            <w:tcW w:w="1800" w:type="dxa"/>
          </w:tcPr>
          <w:p w14:paraId="789BC3A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0 元</w:t>
            </w:r>
          </w:p>
        </w:tc>
        <w:tc>
          <w:tcPr>
            <w:tcW w:w="5426" w:type="dxa"/>
          </w:tcPr>
          <w:p w14:paraId="34A9702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按包装标签与公开资料登记，须标注来源与生熟状态，不采用技术资料作为营养数据依据</w:t>
            </w:r>
          </w:p>
        </w:tc>
      </w:tr>
      <w:tr w14:paraId="7D27FD1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2E04037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合计</w:t>
            </w:r>
          </w:p>
        </w:tc>
        <w:tc>
          <w:tcPr>
            <w:tcW w:w="1800" w:type="dxa"/>
          </w:tcPr>
          <w:p w14:paraId="0A74438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基本为 0 元</w:t>
            </w:r>
          </w:p>
        </w:tc>
        <w:tc>
          <w:tcPr>
            <w:tcW w:w="5426" w:type="dxa"/>
          </w:tcPr>
          <w:p w14:paraId="4BB6EF7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主要投入是小组成员的时间成本</w:t>
            </w:r>
          </w:p>
        </w:tc>
      </w:tr>
    </w:tbl>
    <w:p w14:paraId="1A4F09B9">
      <w:pPr>
        <w:spacing w:after="0"/>
      </w:pPr>
    </w:p>
    <w:p w14:paraId="44C79714">
      <w:pPr>
        <w:pStyle w:val="4"/>
      </w:pPr>
      <w:bookmarkStart w:id="16" w:name="_Toc2245"/>
      <w:r>
        <w:rPr>
          <w:rFonts w:ascii="Times New Roman" w:hAnsi="Times New Roman" w:eastAsia="思源黑体" w:cs="Times New Roman"/>
        </w:rPr>
        <w:t>4.2  资源可得性</w:t>
      </w:r>
      <w:bookmarkEnd w:id="16"/>
    </w:p>
    <w:p w14:paraId="63DF0270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硬件：开发机、Android 真机、可运行服务端的主机均可由小组现有条件满足；若模型推理资源不足，可通过降低并发与限制生成长度缓解。</w:t>
      </w:r>
    </w:p>
    <w:p w14:paraId="54328C82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软件：全部依赖为开源或免费工具，版本在建项时统一锁定，可避免版本漂移带来的额外成本。</w:t>
      </w:r>
    </w:p>
    <w:p w14:paraId="654CCC9F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数据：食物营养数据可从包装标签与公开资料登记，按常用食物优先录入，工作量可控。</w:t>
      </w:r>
    </w:p>
    <w:p w14:paraId="1AF6814F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知识：所选技术均有官方文档与技术社区资料支撑，参考资料已在项目介绍中列明并注明访问日期。</w:t>
      </w:r>
    </w:p>
    <w:p w14:paraId="6D0745BB">
      <w:pPr>
        <w:pStyle w:val="4"/>
      </w:pPr>
      <w:bookmarkStart w:id="17" w:name="_Toc31393"/>
      <w:r>
        <w:rPr>
          <w:rFonts w:ascii="Times New Roman" w:hAnsi="Times New Roman" w:eastAsia="思源黑体" w:cs="Times New Roman"/>
        </w:rPr>
        <w:t>4.3  效益分析</w:t>
      </w:r>
      <w:bookmarkEnd w:id="17"/>
    </w:p>
    <w:p w14:paraId="202D43F8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本项目不产生直接经济收益，效益主要体现在教学与能力产出：一是形成覆盖需求分析、系统设计、编码实现、测试验收与部署演示的完整工程实践；二是沉淀前后端分离、移动端封装与本地大模型集成的可复用经验；三是产出一个可安装、可演示、可追溯的完整作品。从投入产出看，成本接近于零而能力产出明确，经济与资源维度可行。</w:t>
      </w:r>
    </w:p>
    <w:p w14:paraId="78728B58">
      <w:pPr>
        <w:pStyle w:val="3"/>
      </w:pPr>
      <w:bookmarkStart w:id="18" w:name="_Toc29640"/>
      <w:r>
        <w:rPr>
          <w:rFonts w:ascii="Times New Roman" w:hAnsi="Times New Roman" w:eastAsia="思源黑体" w:cs="Times New Roman"/>
        </w:rPr>
        <w:t>5  操作与使用可行性分析</w:t>
      </w:r>
      <w:bookmarkEnd w:id="18"/>
    </w:p>
    <w:p w14:paraId="5B5926A5">
      <w:pPr>
        <w:pStyle w:val="4"/>
      </w:pPr>
      <w:bookmarkStart w:id="19" w:name="_Toc14478"/>
      <w:r>
        <w:rPr>
          <w:rFonts w:ascii="Times New Roman" w:hAnsi="Times New Roman" w:eastAsia="思源黑体" w:cs="Times New Roman"/>
        </w:rPr>
        <w:t>5.1  用户侧</w:t>
      </w:r>
      <w:bookmarkEnd w:id="19"/>
    </w:p>
    <w:p w14:paraId="2845B986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录入路径短：训练、饮食、体重均支持按日期补录与修改，同一天体重只保留一条记录，避免用户自行去重。</w:t>
      </w:r>
    </w:p>
    <w:p w14:paraId="0E668A9B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一键分析不增加输入负担：用户在 AI 分析页首次确认使用范围后，后续点击即由后端自动汇总本人已有数据，无需重复填写。</w:t>
      </w:r>
    </w:p>
    <w:p w14:paraId="46EA96E6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结果可解释：报告标明分析区间、有效记录天数与生成时间，缺失日期标注“未记录”，避免因不完整数据产生误导。</w:t>
      </w:r>
    </w:p>
    <w:p w14:paraId="37BDF002">
      <w:pPr>
        <w:pStyle w:val="4"/>
      </w:pPr>
      <w:bookmarkStart w:id="20" w:name="_Toc17468"/>
      <w:r>
        <w:rPr>
          <w:rFonts w:ascii="Times New Roman" w:hAnsi="Times New Roman" w:eastAsia="思源黑体" w:cs="Times New Roman"/>
        </w:rPr>
        <w:t>5.2  管理侧</w:t>
      </w:r>
      <w:bookmarkEnd w:id="20"/>
    </w:p>
    <w:p w14:paraId="240310E1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管理员维护动作库、公共食物库与账户状态，管理接口单独鉴权并记录关键操作。</w:t>
      </w:r>
    </w:p>
    <w:p w14:paraId="0960B2F8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食物库按每 100g 营养值、来源与生熟状态登记，食物库修改不影响历史汇总（记录保存营养快照）。</w:t>
      </w:r>
    </w:p>
    <w:p w14:paraId="66A84774">
      <w:pPr>
        <w:pStyle w:val="4"/>
      </w:pPr>
      <w:bookmarkStart w:id="21" w:name="_Toc4899"/>
      <w:r>
        <w:rPr>
          <w:rFonts w:ascii="Times New Roman" w:hAnsi="Times New Roman" w:eastAsia="思源黑体" w:cs="Times New Roman"/>
        </w:rPr>
        <w:t>5.3  运维与部署</w:t>
      </w:r>
      <w:bookmarkEnd w:id="21"/>
    </w:p>
    <w:p w14:paraId="444B7C46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后端与数据库独立部署，AI 模型运行在服务端，手机端不直连数据库与模型服务，部署边界清晰。</w:t>
      </w:r>
    </w:p>
    <w:p w14:paraId="3FDB1DE4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接口走 HTTPS，登录鉴权与用户归属校验集中在后端，运维关注点集中在服务端。</w:t>
      </w:r>
    </w:p>
    <w:p w14:paraId="3F567BD8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授权可撤回、报告可删除，为用户侧的数据生命周期管理提供了可操作路径。</w:t>
      </w:r>
    </w:p>
    <w:p w14:paraId="7A04C451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综上，用户、管理员与运维三方的操作路径均明确且成本较低，操作与使用维度可行。</w:t>
      </w:r>
    </w:p>
    <w:p w14:paraId="31250E2C">
      <w:pPr>
        <w:pStyle w:val="3"/>
      </w:pPr>
      <w:bookmarkStart w:id="22" w:name="_Toc4295"/>
      <w:r>
        <w:rPr>
          <w:rFonts w:ascii="Times New Roman" w:hAnsi="Times New Roman" w:eastAsia="思源黑体" w:cs="Times New Roman"/>
        </w:rPr>
        <w:t>6  进度可行性分析</w:t>
      </w:r>
      <w:bookmarkEnd w:id="22"/>
    </w:p>
    <w:p w14:paraId="2EA4E5F9">
      <w:pPr>
        <w:pStyle w:val="4"/>
      </w:pPr>
      <w:bookmarkStart w:id="23" w:name="_Toc22593"/>
      <w:r>
        <w:rPr>
          <w:rFonts w:ascii="Times New Roman" w:hAnsi="Times New Roman" w:eastAsia="思源黑体" w:cs="Times New Roman"/>
        </w:rPr>
        <w:t>6.1  计划与人力匹配度</w:t>
      </w:r>
      <w:bookmarkEnd w:id="23"/>
    </w:p>
    <w:p w14:paraId="1B1741DF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项目周期为 12 周（2026-09-28 至 2026-12-20），划分为七个阶段、设置 M1—M7 共七个里程碑，成员 2 人，沿用需求与项目统筹、后端与数据库、前端与交互、测试与文档四个岗位安排。下表按阶段估算工作量（估算口径：以“1 人 1 周满负荷”为 1 人周，用于匹配度分析）。</w:t>
      </w:r>
    </w:p>
    <w:p w14:paraId="1916A0A4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6-1  阶段工作量估算与人力匹配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800"/>
        <w:gridCol w:w="2400"/>
        <w:gridCol w:w="2226"/>
      </w:tblGrid>
      <w:tr w14:paraId="61F907A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D5E8F0"/>
          </w:tcPr>
          <w:p w14:paraId="1BBED0C8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1800" w:type="dxa"/>
            <w:shd w:val="clear" w:color="auto" w:fill="D5E8F0"/>
          </w:tcPr>
          <w:p w14:paraId="1EE2BF54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时间区间</w:t>
            </w:r>
          </w:p>
        </w:tc>
        <w:tc>
          <w:tcPr>
            <w:tcW w:w="2400" w:type="dxa"/>
            <w:shd w:val="clear" w:color="auto" w:fill="D5E8F0"/>
          </w:tcPr>
          <w:p w14:paraId="6FA04782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主要承担</w:t>
            </w:r>
          </w:p>
        </w:tc>
        <w:tc>
          <w:tcPr>
            <w:tcW w:w="2226" w:type="dxa"/>
            <w:shd w:val="clear" w:color="auto" w:fill="D5E8F0"/>
          </w:tcPr>
          <w:p w14:paraId="1A195D55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估算工作量（人周）</w:t>
            </w:r>
          </w:p>
        </w:tc>
      </w:tr>
      <w:tr w14:paraId="0B141A0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D3B063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一、需求冻结与技术准备</w:t>
            </w:r>
          </w:p>
        </w:tc>
        <w:tc>
          <w:tcPr>
            <w:tcW w:w="1800" w:type="dxa"/>
          </w:tcPr>
          <w:p w14:paraId="0AD4A43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1—2 周</w:t>
            </w:r>
          </w:p>
        </w:tc>
        <w:tc>
          <w:tcPr>
            <w:tcW w:w="2400" w:type="dxa"/>
          </w:tcPr>
          <w:p w14:paraId="01A495E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方文锦、陈智杰</w:t>
            </w:r>
          </w:p>
        </w:tc>
        <w:tc>
          <w:tcPr>
            <w:tcW w:w="2226" w:type="dxa"/>
          </w:tcPr>
          <w:p w14:paraId="08E695C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3.0</w:t>
            </w:r>
          </w:p>
        </w:tc>
      </w:tr>
      <w:tr w14:paraId="63A3F2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40A05C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二、数据层与后端核心</w:t>
            </w:r>
          </w:p>
        </w:tc>
        <w:tc>
          <w:tcPr>
            <w:tcW w:w="1800" w:type="dxa"/>
          </w:tcPr>
          <w:p w14:paraId="4A6F576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2—4 周</w:t>
            </w:r>
          </w:p>
        </w:tc>
        <w:tc>
          <w:tcPr>
            <w:tcW w:w="2400" w:type="dxa"/>
          </w:tcPr>
          <w:p w14:paraId="4599FB3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方文锦</w:t>
            </w:r>
          </w:p>
        </w:tc>
        <w:tc>
          <w:tcPr>
            <w:tcW w:w="2226" w:type="dxa"/>
          </w:tcPr>
          <w:p w14:paraId="4627189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5.0</w:t>
            </w:r>
          </w:p>
        </w:tc>
      </w:tr>
      <w:tr w14:paraId="19AF29D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44F3BF7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三、前端页面与图表</w:t>
            </w:r>
          </w:p>
        </w:tc>
        <w:tc>
          <w:tcPr>
            <w:tcW w:w="1800" w:type="dxa"/>
          </w:tcPr>
          <w:p w14:paraId="6266E25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4—6 周</w:t>
            </w:r>
          </w:p>
        </w:tc>
        <w:tc>
          <w:tcPr>
            <w:tcW w:w="2400" w:type="dxa"/>
          </w:tcPr>
          <w:p w14:paraId="17998B5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陈智杰</w:t>
            </w:r>
          </w:p>
        </w:tc>
        <w:tc>
          <w:tcPr>
            <w:tcW w:w="2226" w:type="dxa"/>
          </w:tcPr>
          <w:p w14:paraId="3DD0A2B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3.5</w:t>
            </w:r>
          </w:p>
        </w:tc>
      </w:tr>
      <w:tr w14:paraId="35B4E5B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AB26FD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四、AI 分析模块</w:t>
            </w:r>
          </w:p>
        </w:tc>
        <w:tc>
          <w:tcPr>
            <w:tcW w:w="1800" w:type="dxa"/>
          </w:tcPr>
          <w:p w14:paraId="6896E97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7—9 周</w:t>
            </w:r>
          </w:p>
        </w:tc>
        <w:tc>
          <w:tcPr>
            <w:tcW w:w="2400" w:type="dxa"/>
          </w:tcPr>
          <w:p w14:paraId="4B2FF26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方文锦、陈智杰</w:t>
            </w:r>
          </w:p>
        </w:tc>
        <w:tc>
          <w:tcPr>
            <w:tcW w:w="2226" w:type="dxa"/>
          </w:tcPr>
          <w:p w14:paraId="753BC10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4.0</w:t>
            </w:r>
          </w:p>
        </w:tc>
      </w:tr>
      <w:tr w14:paraId="6CFBEDB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46866A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五、移动端 Android 封装</w:t>
            </w:r>
          </w:p>
        </w:tc>
        <w:tc>
          <w:tcPr>
            <w:tcW w:w="1800" w:type="dxa"/>
          </w:tcPr>
          <w:p w14:paraId="4612767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8—10 周</w:t>
            </w:r>
          </w:p>
        </w:tc>
        <w:tc>
          <w:tcPr>
            <w:tcW w:w="2400" w:type="dxa"/>
          </w:tcPr>
          <w:p w14:paraId="4B655C2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陈智杰</w:t>
            </w:r>
          </w:p>
        </w:tc>
        <w:tc>
          <w:tcPr>
            <w:tcW w:w="2226" w:type="dxa"/>
          </w:tcPr>
          <w:p w14:paraId="2BB62AB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3.0</w:t>
            </w:r>
          </w:p>
        </w:tc>
      </w:tr>
      <w:tr w14:paraId="3156CA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70211D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六、集成测试与验收</w:t>
            </w:r>
          </w:p>
        </w:tc>
        <w:tc>
          <w:tcPr>
            <w:tcW w:w="1800" w:type="dxa"/>
          </w:tcPr>
          <w:p w14:paraId="22912EB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10—11 周</w:t>
            </w:r>
          </w:p>
        </w:tc>
        <w:tc>
          <w:tcPr>
            <w:tcW w:w="2400" w:type="dxa"/>
          </w:tcPr>
          <w:p w14:paraId="414C2D7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陈智杰</w:t>
            </w:r>
          </w:p>
        </w:tc>
        <w:tc>
          <w:tcPr>
            <w:tcW w:w="2226" w:type="dxa"/>
          </w:tcPr>
          <w:p w14:paraId="497F40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2.5</w:t>
            </w:r>
          </w:p>
        </w:tc>
      </w:tr>
      <w:tr w14:paraId="33EA60D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EC445F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七、结项答辩</w:t>
            </w:r>
          </w:p>
        </w:tc>
        <w:tc>
          <w:tcPr>
            <w:tcW w:w="1800" w:type="dxa"/>
          </w:tcPr>
          <w:p w14:paraId="08A62B8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11—12 周</w:t>
            </w:r>
          </w:p>
        </w:tc>
        <w:tc>
          <w:tcPr>
            <w:tcW w:w="2400" w:type="dxa"/>
          </w:tcPr>
          <w:p w14:paraId="54236FC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方文锦、陈智杰</w:t>
            </w:r>
          </w:p>
        </w:tc>
        <w:tc>
          <w:tcPr>
            <w:tcW w:w="2226" w:type="dxa"/>
          </w:tcPr>
          <w:p w14:paraId="7CB29DC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3.0</w:t>
            </w:r>
          </w:p>
        </w:tc>
      </w:tr>
      <w:tr w14:paraId="3F64D02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360112D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合计</w:t>
            </w:r>
          </w:p>
        </w:tc>
        <w:tc>
          <w:tcPr>
            <w:tcW w:w="1800" w:type="dxa"/>
          </w:tcPr>
          <w:p w14:paraId="6623191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—</w:t>
            </w:r>
          </w:p>
        </w:tc>
        <w:tc>
          <w:tcPr>
            <w:tcW w:w="2400" w:type="dxa"/>
          </w:tcPr>
          <w:p w14:paraId="6169C51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—</w:t>
            </w:r>
          </w:p>
        </w:tc>
        <w:tc>
          <w:tcPr>
            <w:tcW w:w="2226" w:type="dxa"/>
          </w:tcPr>
          <w:p w14:paraId="69DD1B7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24.0</w:t>
            </w:r>
          </w:p>
        </w:tc>
      </w:tr>
    </w:tbl>
    <w:p w14:paraId="64EE0287">
      <w:pPr>
        <w:spacing w:after="0"/>
      </w:pPr>
    </w:p>
    <w:p w14:paraId="40415389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理论工时上限为 2 人 × 12 周 = 24 人周，与估算需求 24.0 人周持平，即计划中未预留冗余。考虑到小组成员同时有课程与其他安排，若按 60%—70% 的有效投入率估算，实际可用工时约为 14.4—16.8 人周，与估算需求之间存在约 7—10 人周的缺口（本段为估算，用于识别进度压力，不作为验收依据）。</w:t>
      </w:r>
    </w:p>
    <w:p w14:paraId="33AC57E1">
      <w:pPr>
        <w:pStyle w:val="4"/>
      </w:pPr>
      <w:bookmarkStart w:id="24" w:name="_Toc597"/>
      <w:r>
        <w:rPr>
          <w:rFonts w:ascii="Times New Roman" w:hAnsi="Times New Roman" w:eastAsia="思源黑体" w:cs="Times New Roman"/>
        </w:rPr>
        <w:t>6.2  关键路径与瓶颈</w:t>
      </w:r>
      <w:bookmarkEnd w:id="24"/>
    </w:p>
    <w:p w14:paraId="07C42D27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关键路径：后端核心接口（W2—W5）→ 前端联调（W6）→ AI 分析（W7—W9）与移动端封装（W8—W10）并行 → 集成测试（W10—W11）→ 结项答辩（W11—W12）。</w:t>
      </w:r>
    </w:p>
    <w:p w14:paraId="4D64A1CB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后端为全局前置：账户、目标、训练、饮食、体重接口是前端页面与 AI 汇总的共同依赖，任一接口延期会同时影响 M3 与 M4。</w:t>
      </w:r>
    </w:p>
    <w:p w14:paraId="692BD2F2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人力瓶颈：后端与统筹由同一成员承担，W2—W5 与 W7—W8 负荷集中；前端与测试由另一成员承担，W6 与 W9—W11 负荷集中，第 8—10 周两人并行任务重叠度最高。</w:t>
      </w:r>
    </w:p>
    <w:p w14:paraId="768953BD">
      <w:pPr>
        <w:pStyle w:val="16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里程碑密集度：M4（11-29）、M5（12-06）、M6（12-13）、M7（12-20）相邻且间隔均为一周，缺陷修复与回归的余量较小。</w:t>
      </w:r>
    </w:p>
    <w:p w14:paraId="7E38C7E2">
      <w:pPr>
        <w:pStyle w:val="4"/>
      </w:pPr>
      <w:bookmarkStart w:id="25" w:name="_Toc32130"/>
      <w:r>
        <w:rPr>
          <w:rFonts w:ascii="Times New Roman" w:hAnsi="Times New Roman" w:eastAsia="思源黑体" w:cs="Times New Roman"/>
        </w:rPr>
        <w:t>6.3  进度风险与缓冲</w:t>
      </w:r>
      <w:bookmarkEnd w:id="25"/>
    </w:p>
    <w:p w14:paraId="747B766E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6-2  进度风险与缓冲安排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400"/>
        <w:gridCol w:w="3626"/>
      </w:tblGrid>
      <w:tr w14:paraId="4CA920C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D5E8F0"/>
          </w:tcPr>
          <w:p w14:paraId="58AF550C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风险点</w:t>
            </w:r>
          </w:p>
        </w:tc>
        <w:tc>
          <w:tcPr>
            <w:tcW w:w="3400" w:type="dxa"/>
            <w:shd w:val="clear" w:color="auto" w:fill="D5E8F0"/>
          </w:tcPr>
          <w:p w14:paraId="0B2D8CC4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已有安排</w:t>
            </w:r>
          </w:p>
        </w:tc>
        <w:tc>
          <w:tcPr>
            <w:tcW w:w="3626" w:type="dxa"/>
            <w:shd w:val="clear" w:color="auto" w:fill="D5E8F0"/>
          </w:tcPr>
          <w:p w14:paraId="49E9719F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补充建议</w:t>
            </w:r>
          </w:p>
        </w:tc>
      </w:tr>
      <w:tr w14:paraId="015BF9A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C3E513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模型接入延期影响 M4</w:t>
            </w:r>
          </w:p>
        </w:tc>
        <w:tc>
          <w:tcPr>
            <w:tcW w:w="3400" w:type="dxa"/>
          </w:tcPr>
          <w:p w14:paraId="024965C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7 周先做接入验证，设置超时降级</w:t>
            </w:r>
          </w:p>
        </w:tc>
        <w:tc>
          <w:tcPr>
            <w:tcW w:w="3626" w:type="dxa"/>
          </w:tcPr>
          <w:p w14:paraId="0A58150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模型不可用时先交付统计摘要版报告，保证链路完整</w:t>
            </w:r>
          </w:p>
        </w:tc>
      </w:tr>
      <w:tr w14:paraId="076D99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385C74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打包环境阻塞 M5</w:t>
            </w:r>
          </w:p>
        </w:tc>
        <w:tc>
          <w:tcPr>
            <w:tcW w:w="3400" w:type="dxa"/>
          </w:tcPr>
          <w:p w14:paraId="235B8A9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8 周出空壳包验证，第 10 周为缓冲</w:t>
            </w:r>
          </w:p>
        </w:tc>
        <w:tc>
          <w:tcPr>
            <w:tcW w:w="3626" w:type="dxa"/>
          </w:tcPr>
          <w:p w14:paraId="336110C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空壳包验证须包含真机安装与登录两个动作</w:t>
            </w:r>
          </w:p>
        </w:tc>
      </w:tr>
      <w:tr w14:paraId="407339C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69BA89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测试与结项时间重叠</w:t>
            </w:r>
          </w:p>
        </w:tc>
        <w:tc>
          <w:tcPr>
            <w:tcW w:w="3400" w:type="dxa"/>
          </w:tcPr>
          <w:p w14:paraId="0FF9E8D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10—11 周测试、第 11—12 周结项</w:t>
            </w:r>
          </w:p>
        </w:tc>
        <w:tc>
          <w:tcPr>
            <w:tcW w:w="3626" w:type="dxa"/>
          </w:tcPr>
          <w:p w14:paraId="7685419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缺陷记录自第 3 周起随开发同步进行，阻塞级与严重级缺陷验收前清零</w:t>
            </w:r>
          </w:p>
        </w:tc>
      </w:tr>
      <w:tr w14:paraId="0918204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2BA652E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需求蔓延挤占工时</w:t>
            </w:r>
          </w:p>
        </w:tc>
        <w:tc>
          <w:tcPr>
            <w:tcW w:w="3400" w:type="dxa"/>
          </w:tcPr>
          <w:p w14:paraId="257AD00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边界已在项目介绍中书面界定</w:t>
            </w:r>
          </w:p>
        </w:tc>
        <w:tc>
          <w:tcPr>
            <w:tcW w:w="3626" w:type="dxa"/>
          </w:tcPr>
          <w:p w14:paraId="1113875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新增需求须评估顺延安排与责任人，不得直接插入当周任务</w:t>
            </w:r>
          </w:p>
        </w:tc>
      </w:tr>
    </w:tbl>
    <w:p w14:paraId="7C9C1224">
      <w:pPr>
        <w:spacing w:after="0"/>
      </w:pPr>
    </w:p>
    <w:p w14:paraId="68C391D3">
      <w:pPr>
        <w:pStyle w:val="4"/>
      </w:pPr>
      <w:bookmarkStart w:id="26" w:name="_Toc28397"/>
      <w:r>
        <w:rPr>
          <w:rFonts w:ascii="Times New Roman" w:hAnsi="Times New Roman" w:eastAsia="思源黑体" w:cs="Times New Roman"/>
        </w:rPr>
        <w:t>6.4  进度可行性结论</w:t>
      </w:r>
      <w:bookmarkEnd w:id="26"/>
    </w:p>
    <w:p w14:paraId="1D26AF86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进度维度判定为“有条件可行”：阶段划分、里程碑与交付物的对应关系完整，关键路径清晰，但计划工时无冗余、里程碑末段密集、两名成员负荷存在集中期。在冻结需求范围、保持第 8—10 周的并行清单与每周对齐机制、并用好第 10 周缓冲的前提下，12 周内完成核心交付是可实现的；若 AI 与移动端两项同时延期，则应优先保障 M1—M3 与 M6 的核心闭环，按计划书约定明确顺延安排。</w:t>
      </w:r>
    </w:p>
    <w:p w14:paraId="5859455E">
      <w:pPr>
        <w:pStyle w:val="3"/>
      </w:pPr>
      <w:bookmarkStart w:id="27" w:name="_Toc17479"/>
      <w:r>
        <w:rPr>
          <w:rFonts w:ascii="Times New Roman" w:hAnsi="Times New Roman" w:eastAsia="思源黑体" w:cs="Times New Roman"/>
        </w:rPr>
        <w:t>7  法律、伦理与社会可行性分析</w:t>
      </w:r>
      <w:bookmarkEnd w:id="27"/>
    </w:p>
    <w:p w14:paraId="3330BD1E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7-1  合规与伦理要点核对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000"/>
        <w:gridCol w:w="3426"/>
      </w:tblGrid>
      <w:tr w14:paraId="394A1EF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shd w:val="clear" w:color="auto" w:fill="D5E8F0"/>
          </w:tcPr>
          <w:p w14:paraId="54C5A625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要点</w:t>
            </w:r>
          </w:p>
        </w:tc>
        <w:tc>
          <w:tcPr>
            <w:tcW w:w="4000" w:type="dxa"/>
            <w:shd w:val="clear" w:color="auto" w:fill="D5E8F0"/>
          </w:tcPr>
          <w:p w14:paraId="78DA2F53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项目中的对应设计</w:t>
            </w:r>
          </w:p>
        </w:tc>
        <w:tc>
          <w:tcPr>
            <w:tcW w:w="3426" w:type="dxa"/>
            <w:shd w:val="clear" w:color="auto" w:fill="D5E8F0"/>
          </w:tcPr>
          <w:p w14:paraId="4C85AF51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落实要求</w:t>
            </w:r>
          </w:p>
        </w:tc>
      </w:tr>
      <w:tr w14:paraId="2BB891AB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29CFBE1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个人信息最小化</w:t>
            </w:r>
          </w:p>
        </w:tc>
        <w:tc>
          <w:tcPr>
            <w:tcW w:w="4000" w:type="dxa"/>
          </w:tcPr>
          <w:p w14:paraId="40ABC44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只发送分析所需字段，避免传送姓名、手机号等身份信息</w:t>
            </w:r>
          </w:p>
        </w:tc>
        <w:tc>
          <w:tcPr>
            <w:tcW w:w="3426" w:type="dxa"/>
          </w:tcPr>
          <w:p w14:paraId="0450A9D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在摘要组装环节设置字段白名单</w:t>
            </w:r>
          </w:p>
        </w:tc>
      </w:tr>
      <w:tr w14:paraId="6337C72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622AC09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授权与撤回</w:t>
            </w:r>
          </w:p>
        </w:tc>
        <w:tc>
          <w:tcPr>
            <w:tcW w:w="4000" w:type="dxa"/>
          </w:tcPr>
          <w:p w14:paraId="6C9D4E4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ai_consent 记录授权与撤回时间、范围；首次进入分析页确认使用范围</w:t>
            </w:r>
          </w:p>
        </w:tc>
        <w:tc>
          <w:tcPr>
            <w:tcW w:w="3426" w:type="dxa"/>
          </w:tcPr>
          <w:p w14:paraId="575A815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撤回后不再生成新报告，提示清晰</w:t>
            </w:r>
          </w:p>
        </w:tc>
      </w:tr>
      <w:tr w14:paraId="5ADC2C2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17B4527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删除权</w:t>
            </w:r>
          </w:p>
        </w:tc>
        <w:tc>
          <w:tcPr>
            <w:tcW w:w="4000" w:type="dxa"/>
          </w:tcPr>
          <w:p w14:paraId="1EB94E0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报告可删除，授权可撤回</w:t>
            </w:r>
          </w:p>
        </w:tc>
        <w:tc>
          <w:tcPr>
            <w:tcW w:w="3426" w:type="dxa"/>
          </w:tcPr>
          <w:p w14:paraId="4860ABF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删除操作须同步清理报告内容与输入摘要</w:t>
            </w:r>
          </w:p>
        </w:tc>
      </w:tr>
      <w:tr w14:paraId="50E956F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39E407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访问控制</w:t>
            </w:r>
          </w:p>
        </w:tc>
        <w:tc>
          <w:tcPr>
            <w:tcW w:w="4000" w:type="dxa"/>
          </w:tcPr>
          <w:p w14:paraId="7A0B7D0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登录鉴权与用户归属校验在后端完成，管理接口单独鉴权</w:t>
            </w:r>
          </w:p>
        </w:tc>
        <w:tc>
          <w:tcPr>
            <w:tcW w:w="3426" w:type="dxa"/>
          </w:tcPr>
          <w:p w14:paraId="5DDFABE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所有查询强制携带当前登录用户身份</w:t>
            </w:r>
          </w:p>
        </w:tc>
      </w:tr>
      <w:tr w14:paraId="4C01FA3E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86FD08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传输安全</w:t>
            </w:r>
          </w:p>
        </w:tc>
        <w:tc>
          <w:tcPr>
            <w:tcW w:w="4000" w:type="dxa"/>
          </w:tcPr>
          <w:p w14:paraId="1D0C698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接口走 HTTPS</w:t>
            </w:r>
          </w:p>
        </w:tc>
        <w:tc>
          <w:tcPr>
            <w:tcW w:w="3426" w:type="dxa"/>
          </w:tcPr>
          <w:p w14:paraId="40F50C4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演示与部署环境均不得使用明文传输</w:t>
            </w:r>
          </w:p>
        </w:tc>
      </w:tr>
      <w:tr w14:paraId="18A9A6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3C6F979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模型许可</w:t>
            </w:r>
          </w:p>
        </w:tc>
        <w:tc>
          <w:tcPr>
            <w:tcW w:w="4000" w:type="dxa"/>
          </w:tcPr>
          <w:p w14:paraId="0804626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Qwen3-4B-Instruct-2507，许可为 Apache-2.0</w:t>
            </w:r>
          </w:p>
        </w:tc>
        <w:tc>
          <w:tcPr>
            <w:tcW w:w="3426" w:type="dxa"/>
          </w:tcPr>
          <w:p w14:paraId="7BFE709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部署前核对模型版本与许可条款并留存记录</w:t>
            </w:r>
          </w:p>
        </w:tc>
      </w:tr>
      <w:tr w14:paraId="4F01EE9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4957DBA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健康建议边界</w:t>
            </w:r>
          </w:p>
        </w:tc>
        <w:tc>
          <w:tcPr>
            <w:tcW w:w="4000" w:type="dxa"/>
          </w:tcPr>
          <w:p w14:paraId="47041E0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AI 分析仅作一般性参考，不作疾病诊断或治疗建议</w:t>
            </w:r>
          </w:p>
        </w:tc>
        <w:tc>
          <w:tcPr>
            <w:tcW w:w="3426" w:type="dxa"/>
          </w:tcPr>
          <w:p w14:paraId="0EC2AD4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报告须展示免责声明，涉及伤病或特殊饮食需求提示咨询专业人士</w:t>
            </w:r>
          </w:p>
        </w:tc>
      </w:tr>
      <w:tr w14:paraId="5F9F205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</w:tcPr>
          <w:p w14:paraId="0EA3D07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数据来源标注</w:t>
            </w:r>
          </w:p>
        </w:tc>
        <w:tc>
          <w:tcPr>
            <w:tcW w:w="4000" w:type="dxa"/>
          </w:tcPr>
          <w:p w14:paraId="23B6F57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食物按每 100g 营养值标注来源与生熟状态</w:t>
            </w:r>
          </w:p>
        </w:tc>
        <w:tc>
          <w:tcPr>
            <w:tcW w:w="3426" w:type="dxa"/>
          </w:tcPr>
          <w:p w14:paraId="37F9C27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不得将软件技术资料作为营养数据依据</w:t>
            </w:r>
          </w:p>
        </w:tc>
      </w:tr>
    </w:tbl>
    <w:p w14:paraId="433EBC7B">
      <w:pPr>
        <w:spacing w:after="0"/>
      </w:pPr>
    </w:p>
    <w:p w14:paraId="4711AE30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上述要点在项目介绍与开发计划书中已有明确约定，属于“设计要求明确、实现与验收须逐项核对”的类型。在验收阶段设置跨账号隔离、授权撤回、删除报告三类专项用例后，法律与伦理维度的残余风险可控，判定为可行。</w:t>
      </w:r>
    </w:p>
    <w:p w14:paraId="3380E2F2">
      <w:pPr>
        <w:pStyle w:val="3"/>
      </w:pPr>
      <w:bookmarkStart w:id="28" w:name="_Toc4122"/>
      <w:r>
        <w:rPr>
          <w:rFonts w:ascii="Times New Roman" w:hAnsi="Times New Roman" w:eastAsia="思源黑体" w:cs="Times New Roman"/>
        </w:rPr>
        <w:t>8  风险分析与应对</w:t>
      </w:r>
      <w:bookmarkEnd w:id="28"/>
    </w:p>
    <w:p w14:paraId="47F187D0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8-1  风险矩阵（可能性 / 影响 / 等级）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00"/>
        <w:gridCol w:w="700"/>
        <w:gridCol w:w="700"/>
        <w:gridCol w:w="3200"/>
        <w:gridCol w:w="1526"/>
      </w:tblGrid>
      <w:tr w14:paraId="611CD66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D5E8F0"/>
          </w:tcPr>
          <w:p w14:paraId="1DEB89BC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风险</w:t>
            </w:r>
          </w:p>
        </w:tc>
        <w:tc>
          <w:tcPr>
            <w:tcW w:w="700" w:type="dxa"/>
            <w:shd w:val="clear" w:color="auto" w:fill="D5E8F0"/>
          </w:tcPr>
          <w:p w14:paraId="48EEEC41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可能性</w:t>
            </w:r>
          </w:p>
        </w:tc>
        <w:tc>
          <w:tcPr>
            <w:tcW w:w="700" w:type="dxa"/>
            <w:shd w:val="clear" w:color="auto" w:fill="D5E8F0"/>
          </w:tcPr>
          <w:p w14:paraId="181C9B2C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影响</w:t>
            </w:r>
          </w:p>
        </w:tc>
        <w:tc>
          <w:tcPr>
            <w:tcW w:w="700" w:type="dxa"/>
            <w:shd w:val="clear" w:color="auto" w:fill="D5E8F0"/>
          </w:tcPr>
          <w:p w14:paraId="5B48E378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等级</w:t>
            </w:r>
          </w:p>
        </w:tc>
        <w:tc>
          <w:tcPr>
            <w:tcW w:w="3200" w:type="dxa"/>
            <w:shd w:val="clear" w:color="auto" w:fill="D5E8F0"/>
          </w:tcPr>
          <w:p w14:paraId="699E780B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应对措施</w:t>
            </w:r>
          </w:p>
        </w:tc>
        <w:tc>
          <w:tcPr>
            <w:tcW w:w="1526" w:type="dxa"/>
            <w:shd w:val="clear" w:color="auto" w:fill="D5E8F0"/>
          </w:tcPr>
          <w:p w14:paraId="02D7BD66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残余风险</w:t>
            </w:r>
          </w:p>
        </w:tc>
      </w:tr>
      <w:tr w14:paraId="4FAE3DD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2701C51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本地模型部署或推理耗时超预期</w:t>
            </w:r>
          </w:p>
        </w:tc>
        <w:tc>
          <w:tcPr>
            <w:tcW w:w="700" w:type="dxa"/>
          </w:tcPr>
          <w:p w14:paraId="77BAAF8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3FC07C6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77278F9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3200" w:type="dxa"/>
          </w:tcPr>
          <w:p w14:paraId="791006F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7 周先做接入验证；限制输入输出长度；超时降级保留原始统计并提示稍后重试</w:t>
            </w:r>
          </w:p>
        </w:tc>
        <w:tc>
          <w:tcPr>
            <w:tcW w:w="1526" w:type="dxa"/>
          </w:tcPr>
          <w:p w14:paraId="2458831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中低</w:t>
            </w:r>
          </w:p>
        </w:tc>
      </w:tr>
      <w:tr w14:paraId="6718F25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0C1463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Capacitor 打包或真机环境问题</w:t>
            </w:r>
          </w:p>
        </w:tc>
        <w:tc>
          <w:tcPr>
            <w:tcW w:w="700" w:type="dxa"/>
          </w:tcPr>
          <w:p w14:paraId="714A231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4AFEF27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05B2667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3200" w:type="dxa"/>
          </w:tcPr>
          <w:p w14:paraId="0F466FC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第 8 周搭建环境并出空壳包；预留第 10 周缓冲；iOS 不纳入本次交付</w:t>
            </w:r>
          </w:p>
        </w:tc>
        <w:tc>
          <w:tcPr>
            <w:tcW w:w="1526" w:type="dxa"/>
          </w:tcPr>
          <w:p w14:paraId="35FC074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</w:tr>
      <w:tr w14:paraId="69E960A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D9AC38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两人四岗、并行任务导致人力冲突</w:t>
            </w:r>
          </w:p>
        </w:tc>
        <w:tc>
          <w:tcPr>
            <w:tcW w:w="700" w:type="dxa"/>
          </w:tcPr>
          <w:p w14:paraId="78825E4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中高</w:t>
            </w:r>
          </w:p>
        </w:tc>
        <w:tc>
          <w:tcPr>
            <w:tcW w:w="700" w:type="dxa"/>
          </w:tcPr>
          <w:p w14:paraId="3BD2828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中高</w:t>
            </w:r>
          </w:p>
        </w:tc>
        <w:tc>
          <w:tcPr>
            <w:tcW w:w="700" w:type="dxa"/>
          </w:tcPr>
          <w:p w14:paraId="71E697C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3200" w:type="dxa"/>
          </w:tcPr>
          <w:p w14:paraId="76DA05F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后端与前端错峰排布；第 8 周起明确并行清单；每周对齐阻塞项</w:t>
            </w:r>
          </w:p>
        </w:tc>
        <w:tc>
          <w:tcPr>
            <w:tcW w:w="1526" w:type="dxa"/>
          </w:tcPr>
          <w:p w14:paraId="3836A89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</w:tr>
      <w:tr w14:paraId="6565860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FF732D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统计口径与 AI 输出不一致</w:t>
            </w:r>
          </w:p>
        </w:tc>
        <w:tc>
          <w:tcPr>
            <w:tcW w:w="700" w:type="dxa"/>
          </w:tcPr>
          <w:p w14:paraId="724B83E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4D8F2A6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54698AF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3200" w:type="dxa"/>
          </w:tcPr>
          <w:p w14:paraId="61E74D1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先按确定规则计算再交模型解释；报告展示区间、有效天数与生成时间；不一致不作确定结论</w:t>
            </w:r>
          </w:p>
        </w:tc>
        <w:tc>
          <w:tcPr>
            <w:tcW w:w="1526" w:type="dxa"/>
          </w:tcPr>
          <w:p w14:paraId="0CF406B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中低</w:t>
            </w:r>
          </w:p>
        </w:tc>
      </w:tr>
      <w:tr w14:paraId="6F4E3F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91E566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跨账号数据隔离缺陷</w:t>
            </w:r>
          </w:p>
        </w:tc>
        <w:tc>
          <w:tcPr>
            <w:tcW w:w="700" w:type="dxa"/>
          </w:tcPr>
          <w:p w14:paraId="1B61D03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中低</w:t>
            </w:r>
          </w:p>
        </w:tc>
        <w:tc>
          <w:tcPr>
            <w:tcW w:w="700" w:type="dxa"/>
          </w:tcPr>
          <w:p w14:paraId="7E07EA4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700" w:type="dxa"/>
          </w:tcPr>
          <w:p w14:paraId="64E592E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高</w:t>
            </w:r>
          </w:p>
        </w:tc>
        <w:tc>
          <w:tcPr>
            <w:tcW w:w="3200" w:type="dxa"/>
          </w:tcPr>
          <w:p w14:paraId="5746D5D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查询强制携带用户身份；测试阶段设计跨账号访问用例</w:t>
            </w:r>
          </w:p>
        </w:tc>
        <w:tc>
          <w:tcPr>
            <w:tcW w:w="1526" w:type="dxa"/>
          </w:tcPr>
          <w:p w14:paraId="2C5FCCA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</w:tr>
      <w:tr w14:paraId="0E4458E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26159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后端为关键路径且负荷集中于一人</w:t>
            </w:r>
          </w:p>
        </w:tc>
        <w:tc>
          <w:tcPr>
            <w:tcW w:w="700" w:type="dxa"/>
          </w:tcPr>
          <w:p w14:paraId="7F6E38E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558688A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中高</w:t>
            </w:r>
          </w:p>
        </w:tc>
        <w:tc>
          <w:tcPr>
            <w:tcW w:w="700" w:type="dxa"/>
          </w:tcPr>
          <w:p w14:paraId="0FB1DC0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中高</w:t>
            </w:r>
          </w:p>
        </w:tc>
        <w:tc>
          <w:tcPr>
            <w:tcW w:w="3200" w:type="dxa"/>
          </w:tcPr>
          <w:p w14:paraId="6C564D1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接口文档先行，前端按文档并行开发；接口变更同步更新文档</w:t>
            </w:r>
          </w:p>
        </w:tc>
        <w:tc>
          <w:tcPr>
            <w:tcW w:w="1526" w:type="dxa"/>
          </w:tcPr>
          <w:p w14:paraId="0984786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</w:tr>
      <w:tr w14:paraId="62998D6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15453F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食物库录入工作量偏大</w:t>
            </w:r>
          </w:p>
        </w:tc>
        <w:tc>
          <w:tcPr>
            <w:tcW w:w="700" w:type="dxa"/>
          </w:tcPr>
          <w:p w14:paraId="5CA4EBF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4C3847E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0D1E2E3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3200" w:type="dxa"/>
          </w:tcPr>
          <w:p w14:paraId="0C501F7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优先录入常用食物；营养快照隔离后续修改</w:t>
            </w:r>
          </w:p>
        </w:tc>
        <w:tc>
          <w:tcPr>
            <w:tcW w:w="1526" w:type="dxa"/>
          </w:tcPr>
          <w:p w14:paraId="6CE32EE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中低</w:t>
            </w:r>
          </w:p>
        </w:tc>
      </w:tr>
      <w:tr w14:paraId="5776C01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6F8351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需求蔓延（iOS、图片识别等）</w:t>
            </w:r>
          </w:p>
        </w:tc>
        <w:tc>
          <w:tcPr>
            <w:tcW w:w="700" w:type="dxa"/>
          </w:tcPr>
          <w:p w14:paraId="06BA73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540DFE4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57153A5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3200" w:type="dxa"/>
          </w:tcPr>
          <w:p w14:paraId="1D56C3C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边界书面冻结；新增需求评估顺延与责任人</w:t>
            </w:r>
          </w:p>
        </w:tc>
        <w:tc>
          <w:tcPr>
            <w:tcW w:w="1526" w:type="dxa"/>
          </w:tcPr>
          <w:p w14:paraId="1B42500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</w:tr>
      <w:tr w14:paraId="0BBB58F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37041CFB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模型许可或版本核对遗漏</w:t>
            </w:r>
          </w:p>
        </w:tc>
        <w:tc>
          <w:tcPr>
            <w:tcW w:w="700" w:type="dxa"/>
          </w:tcPr>
          <w:p w14:paraId="6CD80B4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  <w:tc>
          <w:tcPr>
            <w:tcW w:w="700" w:type="dxa"/>
          </w:tcPr>
          <w:p w14:paraId="272FFD6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31BADB8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中低</w:t>
            </w:r>
          </w:p>
        </w:tc>
        <w:tc>
          <w:tcPr>
            <w:tcW w:w="3200" w:type="dxa"/>
          </w:tcPr>
          <w:p w14:paraId="08C3F7B7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部署前核对版本与许可条款并记录</w:t>
            </w:r>
          </w:p>
        </w:tc>
        <w:tc>
          <w:tcPr>
            <w:tcW w:w="1526" w:type="dxa"/>
          </w:tcPr>
          <w:p w14:paraId="3920CCD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</w:tr>
      <w:tr w14:paraId="5C6817F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573CD1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营养数据来源登记不实</w:t>
            </w:r>
          </w:p>
        </w:tc>
        <w:tc>
          <w:tcPr>
            <w:tcW w:w="700" w:type="dxa"/>
          </w:tcPr>
          <w:p w14:paraId="76AD934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中低</w:t>
            </w:r>
          </w:p>
        </w:tc>
        <w:tc>
          <w:tcPr>
            <w:tcW w:w="700" w:type="dxa"/>
          </w:tcPr>
          <w:p w14:paraId="57E84BE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  <w:tc>
          <w:tcPr>
            <w:tcW w:w="700" w:type="dxa"/>
          </w:tcPr>
          <w:p w14:paraId="64C2F38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中低</w:t>
            </w:r>
          </w:p>
        </w:tc>
        <w:tc>
          <w:tcPr>
            <w:tcW w:w="3200" w:type="dxa"/>
          </w:tcPr>
          <w:p w14:paraId="4C87206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每 100g 数据标注来源与生熟状态，登记与录入同步</w:t>
            </w:r>
          </w:p>
        </w:tc>
        <w:tc>
          <w:tcPr>
            <w:tcW w:w="1526" w:type="dxa"/>
          </w:tcPr>
          <w:p w14:paraId="39878EE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</w:tr>
    </w:tbl>
    <w:p w14:paraId="5C8B4F36">
      <w:pPr>
        <w:spacing w:after="0"/>
      </w:pPr>
    </w:p>
    <w:p w14:paraId="7CD108B3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综合判断：高风险项共 4 项，均已在开发计划书中配有对应措施，且措施覆盖了“前置验证 + 降级兜底 + 专项验收”三个层次，不构成对项目可行性的实质性障碍。</w:t>
      </w:r>
    </w:p>
    <w:p w14:paraId="4A2B0A47">
      <w:pPr>
        <w:pStyle w:val="3"/>
      </w:pPr>
      <w:bookmarkStart w:id="29" w:name="_Toc12013"/>
      <w:r>
        <w:rPr>
          <w:rFonts w:ascii="Times New Roman" w:hAnsi="Times New Roman" w:eastAsia="思源黑体" w:cs="Times New Roman"/>
        </w:rPr>
        <w:t>9  结论与建议</w:t>
      </w:r>
      <w:bookmarkEnd w:id="29"/>
    </w:p>
    <w:p w14:paraId="3E8A3A7A">
      <w:pPr>
        <w:pStyle w:val="4"/>
      </w:pPr>
      <w:bookmarkStart w:id="30" w:name="_Toc22972"/>
      <w:r>
        <w:rPr>
          <w:rFonts w:ascii="Times New Roman" w:hAnsi="Times New Roman" w:eastAsia="思源黑体" w:cs="Times New Roman"/>
        </w:rPr>
        <w:t>9.1  可行性判定汇总</w:t>
      </w:r>
      <w:bookmarkEnd w:id="30"/>
    </w:p>
    <w:p w14:paraId="5DD64AFF">
      <w:pPr>
        <w:spacing w:after="0"/>
        <w:jc w:val="left"/>
      </w:pPr>
      <w:r>
        <w:rPr>
          <w:rFonts w:ascii="Times New Roman" w:hAnsi="Times New Roman" w:eastAsia="思源黑体" w:cs="Times New Roman"/>
          <w:sz w:val="19"/>
          <w:szCs w:val="19"/>
        </w:rPr>
        <w:t>表 9-1  各维度可行性判定汇总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600"/>
        <w:gridCol w:w="4526"/>
        <w:gridCol w:w="1500"/>
      </w:tblGrid>
      <w:tr w14:paraId="647C195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  <w:shd w:val="clear" w:color="auto" w:fill="D5E8F0"/>
          </w:tcPr>
          <w:p w14:paraId="091115B7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维度</w:t>
            </w:r>
          </w:p>
        </w:tc>
        <w:tc>
          <w:tcPr>
            <w:tcW w:w="1600" w:type="dxa"/>
            <w:shd w:val="clear" w:color="auto" w:fill="D5E8F0"/>
          </w:tcPr>
          <w:p w14:paraId="200BB140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判定</w:t>
            </w:r>
          </w:p>
        </w:tc>
        <w:tc>
          <w:tcPr>
            <w:tcW w:w="4526" w:type="dxa"/>
            <w:shd w:val="clear" w:color="auto" w:fill="D5E8F0"/>
          </w:tcPr>
          <w:p w14:paraId="57CFE81F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主要依据</w:t>
            </w:r>
          </w:p>
        </w:tc>
        <w:tc>
          <w:tcPr>
            <w:tcW w:w="1500" w:type="dxa"/>
            <w:shd w:val="clear" w:color="auto" w:fill="D5E8F0"/>
          </w:tcPr>
          <w:p w14:paraId="1FA9EF34">
            <w:pPr>
              <w:spacing w:after="0"/>
            </w:pPr>
            <w:r>
              <w:rPr>
                <w:rFonts w:ascii="Times New Roman" w:hAnsi="Times New Roman" w:eastAsia="思源黑体" w:cs="Times New Roman"/>
                <w:b/>
                <w:bCs/>
                <w:sz w:val="19"/>
                <w:szCs w:val="19"/>
              </w:rPr>
              <w:t>风险等级</w:t>
            </w:r>
          </w:p>
        </w:tc>
      </w:tr>
      <w:tr w14:paraId="32FD944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0A810A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需求</w:t>
            </w:r>
          </w:p>
        </w:tc>
        <w:tc>
          <w:tcPr>
            <w:tcW w:w="1600" w:type="dxa"/>
          </w:tcPr>
          <w:p w14:paraId="54728509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  <w:tc>
          <w:tcPr>
            <w:tcW w:w="4526" w:type="dxa"/>
          </w:tcPr>
          <w:p w14:paraId="5AA6488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8 个模块均有验收依据，功能边界书面界定</w:t>
            </w:r>
          </w:p>
        </w:tc>
        <w:tc>
          <w:tcPr>
            <w:tcW w:w="1500" w:type="dxa"/>
          </w:tcPr>
          <w:p w14:paraId="1D839E0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</w:tr>
      <w:tr w14:paraId="64AAFDE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019F7DD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技术</w:t>
            </w:r>
          </w:p>
        </w:tc>
        <w:tc>
          <w:tcPr>
            <w:tcW w:w="1600" w:type="dxa"/>
          </w:tcPr>
          <w:p w14:paraId="0F69F74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基本可行</w:t>
            </w:r>
          </w:p>
        </w:tc>
        <w:tc>
          <w:tcPr>
            <w:tcW w:w="4526" w:type="dxa"/>
          </w:tcPr>
          <w:p w14:paraId="1647D251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成熟技术栈为主，本地模型推理与输出一致性待前置验证</w:t>
            </w:r>
          </w:p>
        </w:tc>
        <w:tc>
          <w:tcPr>
            <w:tcW w:w="1500" w:type="dxa"/>
          </w:tcPr>
          <w:p w14:paraId="347B893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</w:tr>
      <w:tr w14:paraId="3E54169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F85EE8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经济与资源</w:t>
            </w:r>
          </w:p>
        </w:tc>
        <w:tc>
          <w:tcPr>
            <w:tcW w:w="1600" w:type="dxa"/>
          </w:tcPr>
          <w:p w14:paraId="61314AC2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  <w:tc>
          <w:tcPr>
            <w:tcW w:w="4526" w:type="dxa"/>
          </w:tcPr>
          <w:p w14:paraId="7570D946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开源工具为主，除可选域名与证书外无必须支出</w:t>
            </w:r>
          </w:p>
        </w:tc>
        <w:tc>
          <w:tcPr>
            <w:tcW w:w="1500" w:type="dxa"/>
          </w:tcPr>
          <w:p w14:paraId="6680D76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</w:tr>
      <w:tr w14:paraId="4636FC8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75F578CC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操作与使用</w:t>
            </w:r>
          </w:p>
        </w:tc>
        <w:tc>
          <w:tcPr>
            <w:tcW w:w="1600" w:type="dxa"/>
          </w:tcPr>
          <w:p w14:paraId="1C44A03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</w:t>
            </w:r>
          </w:p>
        </w:tc>
        <w:tc>
          <w:tcPr>
            <w:tcW w:w="4526" w:type="dxa"/>
          </w:tcPr>
          <w:p w14:paraId="4579E42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一键分析不重复输入，管理与运维路径明确</w:t>
            </w:r>
          </w:p>
        </w:tc>
        <w:tc>
          <w:tcPr>
            <w:tcW w:w="1500" w:type="dxa"/>
          </w:tcPr>
          <w:p w14:paraId="07E70FE8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低</w:t>
            </w:r>
          </w:p>
        </w:tc>
      </w:tr>
      <w:tr w14:paraId="3CF81C5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3B0E364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进度</w:t>
            </w:r>
          </w:p>
        </w:tc>
        <w:tc>
          <w:tcPr>
            <w:tcW w:w="1600" w:type="dxa"/>
          </w:tcPr>
          <w:p w14:paraId="2A89162F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有条件可行</w:t>
            </w:r>
          </w:p>
        </w:tc>
        <w:tc>
          <w:tcPr>
            <w:tcW w:w="4526" w:type="dxa"/>
          </w:tcPr>
          <w:p w14:paraId="1A5B6C2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关键路径清晰但工时无冗余，末段里程碑密集</w:t>
            </w:r>
          </w:p>
        </w:tc>
        <w:tc>
          <w:tcPr>
            <w:tcW w:w="1500" w:type="dxa"/>
          </w:tcPr>
          <w:p w14:paraId="0C71218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中高</w:t>
            </w:r>
          </w:p>
        </w:tc>
      </w:tr>
      <w:tr w14:paraId="292FC92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238AAC1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法律与伦理</w:t>
            </w:r>
          </w:p>
        </w:tc>
        <w:tc>
          <w:tcPr>
            <w:tcW w:w="1600" w:type="dxa"/>
          </w:tcPr>
          <w:p w14:paraId="032D8E1A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可行（须落实）</w:t>
            </w:r>
          </w:p>
        </w:tc>
        <w:tc>
          <w:tcPr>
            <w:tcW w:w="4526" w:type="dxa"/>
          </w:tcPr>
          <w:p w14:paraId="48E49920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最小化收集、授权撤回、删除、HTTPS、许可核对、非医疗声明齐备</w:t>
            </w:r>
          </w:p>
        </w:tc>
        <w:tc>
          <w:tcPr>
            <w:tcW w:w="1500" w:type="dxa"/>
          </w:tcPr>
          <w:p w14:paraId="4841E84E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</w:tr>
      <w:tr w14:paraId="30C78463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0" w:type="dxa"/>
          </w:tcPr>
          <w:p w14:paraId="1A20C6CD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综合</w:t>
            </w:r>
          </w:p>
        </w:tc>
        <w:tc>
          <w:tcPr>
            <w:tcW w:w="1600" w:type="dxa"/>
          </w:tcPr>
          <w:p w14:paraId="4FE3C4C5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总体可行</w:t>
            </w:r>
          </w:p>
        </w:tc>
        <w:tc>
          <w:tcPr>
            <w:tcW w:w="4526" w:type="dxa"/>
          </w:tcPr>
          <w:p w14:paraId="5D0F25F3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六项维度均不构成实质性障碍，风险可识别可控制</w:t>
            </w:r>
          </w:p>
        </w:tc>
        <w:tc>
          <w:tcPr>
            <w:tcW w:w="1500" w:type="dxa"/>
          </w:tcPr>
          <w:p w14:paraId="492BD964">
            <w:pPr>
              <w:spacing w:after="0"/>
            </w:pPr>
            <w:r>
              <w:rPr>
                <w:rFonts w:ascii="Times New Roman" w:hAnsi="Times New Roman" w:eastAsia="思源黑体" w:cs="Times New Roman"/>
                <w:sz w:val="19"/>
                <w:szCs w:val="19"/>
              </w:rPr>
              <w:t>中</w:t>
            </w:r>
          </w:p>
        </w:tc>
      </w:tr>
    </w:tbl>
    <w:p w14:paraId="132907E7">
      <w:pPr>
        <w:spacing w:after="0"/>
      </w:pPr>
    </w:p>
    <w:p w14:paraId="1197044A">
      <w:pPr>
        <w:pStyle w:val="4"/>
      </w:pPr>
      <w:bookmarkStart w:id="31" w:name="_Toc22763"/>
      <w:r>
        <w:rPr>
          <w:rFonts w:ascii="Times New Roman" w:hAnsi="Times New Roman" w:eastAsia="思源黑体" w:cs="Times New Roman"/>
        </w:rPr>
        <w:t>9.2  综合结论</w:t>
      </w:r>
      <w:bookmarkEnd w:id="31"/>
    </w:p>
    <w:p w14:paraId="370AC0A2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本项目需求清晰、技术路线成熟、资源与成本可控、操作路径明确、进度安排基本匹配、合规要求有对应设计，主要风险可识别并已配备前置验证、降级兜底与专项验收三层措施。综合判定：项目可行，建议按《项目开发计划书》启动执行，并同时落实下列附加条件。</w:t>
      </w:r>
    </w:p>
    <w:p w14:paraId="3E6678E8">
      <w:pPr>
        <w:pStyle w:val="4"/>
      </w:pPr>
      <w:bookmarkStart w:id="32" w:name="_Toc23609"/>
      <w:r>
        <w:rPr>
          <w:rFonts w:ascii="Times New Roman" w:hAnsi="Times New Roman" w:eastAsia="思源黑体" w:cs="Times New Roman"/>
        </w:rPr>
        <w:t>9.3  附加条件与建议</w:t>
      </w:r>
      <w:bookmarkEnd w:id="32"/>
    </w:p>
    <w:p w14:paraId="050FE03F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冻结范围：W1—W2 完成需求与技术冻结（M1）后，iOS 适配、食物图片识别、穿戴设备接入、社交社区与处方式推荐一律不进入本次 12 周范围；任何新增需求须评估顺延安排与责任人。</w:t>
      </w:r>
    </w:p>
    <w:p w14:paraId="1E251234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两项前置验证必须按时完成：第 7 周完成模型接入验证并记录推理耗时，第 8 周完成 Android 空壳包验证（含真机安装与登录），未通过即启动降级或调整方案。</w:t>
      </w:r>
    </w:p>
    <w:p w14:paraId="70545273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AI 分析坚持“先算后解释”：统计结果一律由后端按确定规则计算，模型只负责解释；数值与原始摘要核对不一致时不得作为确定结论展示。</w:t>
      </w:r>
    </w:p>
    <w:p w14:paraId="1139C819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降级路径优先于功能完整：模型不可用或超时时保留原始统计并提示稍后重试，不编造报告；报告页必须显示分析区间、有效天数与生成时间。</w:t>
      </w:r>
    </w:p>
    <w:p w14:paraId="495AEE29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测试左移：缺陷自第 3 周起随开发同步登记，跨账号隔离、授权撤回、删除报告三类专项用例提前设计，验收前清空阻塞级与严重级缺陷。</w:t>
      </w:r>
    </w:p>
    <w:p w14:paraId="63D902AD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接口先行与并行：接口文档在 W2 定稿并随变更同步更新，前端按文档并行开发与联调，降低后端关键路径的单点压力。</w:t>
      </w:r>
    </w:p>
    <w:p w14:paraId="60570D66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数据口径留痕：食物按每 100g 标注来源与生熟状态，记录保存营养快照；模型版本与许可在部署前核对并留存记录。</w:t>
      </w:r>
    </w:p>
    <w:p w14:paraId="56709099">
      <w:pPr>
        <w:pStyle w:val="14"/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进度缓冲专款专用：第 10 周缓冲优先用于移动端打包与缺陷回归，不用于追加新功能；如 AI 与移动端同时延期，优先保障 M1—M3 的核心闭环与 M6 验收。</w:t>
      </w:r>
    </w:p>
    <w:p w14:paraId="1CE5149D">
      <w:r>
        <w:br w:type="page"/>
      </w:r>
    </w:p>
    <w:p w14:paraId="1F2392B3">
      <w:pPr>
        <w:pStyle w:val="3"/>
      </w:pPr>
      <w:bookmarkStart w:id="33" w:name="_Toc4269"/>
      <w:r>
        <w:rPr>
          <w:rFonts w:ascii="Times New Roman" w:hAnsi="Times New Roman" w:eastAsia="思源黑体" w:cs="Times New Roman"/>
        </w:rPr>
        <w:t>编制说明</w:t>
      </w:r>
      <w:bookmarkEnd w:id="33"/>
    </w:p>
    <w:p w14:paraId="1DECCFC7">
      <w:pPr>
        <w:spacing w:after="0"/>
      </w:pPr>
      <w:r>
        <w:rPr>
          <w:rFonts w:ascii="Times New Roman" w:hAnsi="Times New Roman" w:eastAsia="思源黑体" w:cs="Times New Roman"/>
          <w:sz w:val="21"/>
          <w:szCs w:val="21"/>
        </w:rPr>
        <w:t>本报告依据《健身训练与饮食管理系统_项目介绍_AI 与移动 App 修订版》与《健身训练与饮食管理系统_项目开发计划书（12 周）》编制，供小组内部论证与自查使用。文中功能均为拟实现内容，工作量与工时为估算值，风险等级为小组自评，最终以开发与验收结果为准。</w:t>
      </w: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CED0F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B70D4"/>
    <w:rsid w:val="52A54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30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7596</Words>
  <Characters>8442</Characters>
  <Lines>0</Lines>
  <Paragraphs>0</Paragraphs>
  <TotalTime>1</TotalTime>
  <ScaleCrop>false</ScaleCrop>
  <LinksUpToDate>false</LinksUpToDate>
  <CharactersWithSpaces>8894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方wj</cp:lastModifiedBy>
  <dcterms:modified xsi:type="dcterms:W3CDTF">2026-10-10T00:35:55Z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{"Label":"1","ContentProducer":"001191440300708461136T1WFUO","ProduceID":"ffaf69d5d887a6f94378f9554f7b7058-aDUu","ReservedCode1":"{\"Type\":\" TC260PG\",\"Version\":1,\"Bindings\":[{\"Type\":\"soft\",\"AlgID\":\"sm3\",\"Value\":\"65f5780959adad87231d1724a80a1a20ab8aa4f90f2c4c57b60b452ccf52c4a7\"},{\"Type\":\"hash\",\"AlgID\":\"sm3\",\"Value\":\"b5e569f4ef63918b26c5cba21d81c58904d838b72191bf712b48f64b455ab047\"}],\"PubSD\":[{\"Type\":\"DS\",\"AlgID\":\"sm2\",\"TBSData\":{\"Type\":\"Binding\",\"BType\":\"hash\"},\"Signature\":\"3045022063e948c554df11877ecf4066e9a36b5a7c3f99751e54ab0075b684b8bd5d97fb022100dd62659a7622e17c558fae9ebcc72acf14f008f31de0ad382628a30bc719f5f8\"},{\"Type\":\"PubKey\",\"AlgID\":\"sm2\",\"KeyValue\":\"0407f79b28a17a752b3aae4305c98b48978213832729a2571850b1310b2bc9fe8fee039ccf25ebfeac27502414d9fcef792d777183c98893d226171c2f7a3289a2\"}],\"Extension\":{\"Timestamp\":1791592196,\"KeyVersion\":\"v1-TxLeOmf7bqU223\"}}","ContentPropagator":"001191440300708461136T1WFUO","PropagateID":"ffaf69d5d887a6f94378f9554f7b7058-aDUu","ReservedCode2":"{\"Type\":\" TC260PG\",\"Version\":1,\"Bindings\":[{\"Type\":\"soft\",\"AlgID\":\"sm3\",\"Value\":\"65f5780959adad87231d1724a80a1a20ab8aa4f90f2c4c57b60b452ccf52c4a7\"},{\"Type\":\"hash\",\"AlgID\":\"sm3\",\"Value\":\"b5e569f4ef63918b26c5cba21d81c58904d838b72191bf712b48f64b455ab047\"}],\"PubSD\":[{\"Type\":\"DS\",\"AlgID\":\"sm2\",\"TBSData\":{\"Type\":\"Binding\",\"BType\":\"hash\"},\"Signature\":\"3046022100af827325ffd7c36a33ad7a4416edbea79f3e15c28a890a5a030be2f926a9b4f6022100caa00b9c3aefad7e786ea3bf9a3f0c3cf1bd2dd250dcfee01af4998bb6b53457\"},{\"Type\":\"PubKey\",\"AlgID\":\"sm2\",\"KeyValue\":\"0407f79b28a17a752b3aae4305c98b48978213832729a2571850b1310b2bc9fe8fee039ccf25ebfeac27502414d9fcef792d777183c98893d226171c2f7a3289a2\"}],\"Extension\":{\"Timestamp\":1791592196,\"KeyVersion\":\"v1-TxLeOmf7bqU223\"}}"}</vt:lpwstr>
  </property>
  <property fmtid="{D5CDD505-2E9C-101B-9397-08002B2CF9AE}" pid="3" name="KSOTemplateDocerSaveRecord">
    <vt:lpwstr>eyJoZGlkIjoiNmM1N2Q2MDc2OTljYTJiODE3ZTU3OGY0ZmYzMzRhYTUiLCJ1c2VySWQiOiIxMjY2MjcxNDEyIn0=</vt:lpwstr>
  </property>
  <property fmtid="{D5CDD505-2E9C-101B-9397-08002B2CF9AE}" pid="4" name="KSOProductBuildVer">
    <vt:lpwstr>2052-12.1.0.28505</vt:lpwstr>
  </property>
  <property fmtid="{D5CDD505-2E9C-101B-9397-08002B2CF9AE}" pid="5" name="ICV">
    <vt:lpwstr>BC8F8EA32EE643A3ABE8D21B875D73CE_12</vt:lpwstr>
  </property>
</Properties>
</file>