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E4375">
      <w:pPr>
        <w:jc w:val="center"/>
      </w:pPr>
      <w:r>
        <w:rPr>
          <w:rFonts w:ascii="Times New Roman" w:hAnsi="Times New Roman" w:eastAsia="思源黑体" w:cs="Times New Roman"/>
          <w:b/>
        </w:rPr>
        <w:t>健身训练与饮食管理系统</w:t>
      </w:r>
    </w:p>
    <w:p w14:paraId="25D8EC20">
      <w:pPr>
        <w:jc w:val="center"/>
      </w:pPr>
      <w:r>
        <w:rPr>
          <w:rFonts w:ascii="Times New Roman" w:hAnsi="Times New Roman" w:eastAsia="思源黑体" w:cs="Times New Roman"/>
        </w:rPr>
        <w:t>项目开发计划书（12周）</w:t>
      </w:r>
    </w:p>
    <w:p w14:paraId="5DEF85B0">
      <w:pPr>
        <w:jc w:val="center"/>
      </w:pPr>
      <w:r>
        <w:rPr>
          <w:rFonts w:ascii="Times New Roman" w:hAnsi="Times New Roman" w:eastAsia="思源黑体" w:cs="Times New Roman"/>
        </w:rPr>
        <w:t>课题名称：基于SpringBoot+Vue的健身训练与饮食管理移动应用设计与实现</w:t>
      </w:r>
    </w:p>
    <w:p w14:paraId="65D18774">
      <w:pPr>
        <w:jc w:val="center"/>
      </w:pPr>
      <w:r>
        <w:rPr>
          <w:rFonts w:ascii="Times New Roman" w:hAnsi="Times New Roman" w:eastAsia="思源黑体" w:cs="Times New Roman"/>
        </w:rPr>
        <w:t>课程：软件工程    组别：G13</w:t>
      </w:r>
    </w:p>
    <w:p w14:paraId="24F235D6">
      <w:pPr>
        <w:jc w:val="center"/>
      </w:pPr>
      <w:r>
        <w:rPr>
          <w:rFonts w:ascii="Times New Roman" w:hAnsi="Times New Roman" w:eastAsia="思源黑体" w:cs="Times New Roman"/>
        </w:rPr>
        <w:t>小组成员：方文锦、陈智杰</w:t>
      </w:r>
    </w:p>
    <w:p w14:paraId="14C81151">
      <w:pPr>
        <w:jc w:val="center"/>
      </w:pPr>
      <w:r>
        <w:rPr>
          <w:rFonts w:ascii="Times New Roman" w:hAnsi="Times New Roman" w:eastAsia="思源黑体" w:cs="Times New Roman"/>
        </w:rPr>
        <w:t>计划周期：2026年9月28日 — 2026年12月20日（共12周）</w:t>
      </w:r>
    </w:p>
    <w:p w14:paraId="7E5E7349">
      <w:pPr>
        <w:jc w:val="center"/>
      </w:pPr>
      <w:r>
        <w:rPr>
          <w:rFonts w:ascii="Times New Roman" w:hAnsi="Times New Roman" w:eastAsia="思源黑体" w:cs="Times New Roman"/>
        </w:rPr>
        <w:t>编制日期：2026年9月27日</w:t>
      </w:r>
    </w:p>
    <w:p w14:paraId="75C61E2C">
      <w:r>
        <w:br w:type="page"/>
      </w:r>
    </w:p>
    <w:p w14:paraId="26F4D591">
      <w:pPr>
        <w:pStyle w:val="3"/>
      </w:pPr>
      <w:r>
        <w:rPr>
          <w:rFonts w:ascii="Times New Roman" w:hAnsi="Times New Roman" w:eastAsia="思源黑体" w:cs="Times New Roman"/>
        </w:rPr>
        <w:t>一、项目概述</w:t>
      </w:r>
    </w:p>
    <w:p w14:paraId="425874F7">
      <w:r>
        <w:rPr>
          <w:rFonts w:ascii="Times New Roman" w:hAnsi="Times New Roman" w:eastAsia="思源黑体" w:cs="Times New Roman"/>
        </w:rPr>
        <w:t>本项目面向有日常健身与饮食记录需求的用户，交付一款运行在手机上的健身训练与饮食管理App。系统沿用SpringBoot与Vue前后端分离架构，保留训练计划、训练记录、饮食摄入、体重变化与统计功能，并新增经用户授权的一键AI健身分析：由服务端模型基于已有的身体数据、营养摄入与计划执行记录生成阶段性总结与建议，用户无需重复手动输入。</w:t>
      </w:r>
    </w:p>
    <w:p w14:paraId="0181E486">
      <w:r>
        <w:rPr>
          <w:rFonts w:ascii="Times New Roman" w:hAnsi="Times New Roman" w:eastAsia="思源黑体" w:cs="Times New Roman"/>
        </w:rPr>
        <w:t>本计划书依据项目介绍说明书编制，用于明确12周内的阶段划分、任务分解、人员分工、里程碑节点、质量验收与风险应对，作为小组开发与自查的依据。文中功能均为拟实现内容，最终以开发与验收结果为准。</w:t>
      </w:r>
    </w:p>
    <w:p w14:paraId="417AA9C8">
      <w:pPr>
        <w:pStyle w:val="4"/>
      </w:pPr>
      <w:r>
        <w:rPr>
          <w:rFonts w:ascii="Times New Roman" w:hAnsi="Times New Roman" w:eastAsia="思源黑体" w:cs="Times New Roman"/>
        </w:rPr>
        <w:t>1.1 项目目标</w:t>
      </w:r>
    </w:p>
    <w:p w14:paraId="10BE08E6">
      <w:pPr>
        <w:pStyle w:val="16"/>
      </w:pPr>
      <w:r>
        <w:rPr>
          <w:rFonts w:ascii="Times New Roman" w:hAnsi="Times New Roman" w:eastAsia="思源黑体" w:cs="Times New Roman"/>
        </w:rPr>
        <w:t>支持用户完成“制定计划—记录执行—查看统计—分析情况—调整安排”的完整使用过程。</w:t>
      </w:r>
    </w:p>
    <w:p w14:paraId="5AA6A854">
      <w:pPr>
        <w:pStyle w:val="16"/>
      </w:pPr>
      <w:r>
        <w:rPr>
          <w:rFonts w:ascii="Times New Roman" w:hAnsi="Times New Roman" w:eastAsia="思源黑体" w:cs="Times New Roman"/>
        </w:rPr>
        <w:t>保留账户管理、训练管理、饮食管理、身体数据、统计图表与基础数据维护等核心模块。</w:t>
      </w:r>
    </w:p>
    <w:p w14:paraId="787CCE70">
      <w:pPr>
        <w:pStyle w:val="16"/>
      </w:pPr>
      <w:r>
        <w:rPr>
          <w:rFonts w:ascii="Times New Roman" w:hAnsi="Times New Roman" w:eastAsia="思源黑体" w:cs="Times New Roman"/>
        </w:rPr>
        <w:t>一键导入已有记录的AI分析，以及Android手机App的安装与使用体验。</w:t>
      </w:r>
    </w:p>
    <w:p w14:paraId="4B06EE57">
      <w:pPr>
        <w:pStyle w:val="4"/>
      </w:pPr>
      <w:r>
        <w:rPr>
          <w:rFonts w:ascii="Times New Roman" w:hAnsi="Times New Roman" w:eastAsia="思源黑体" w:cs="Times New Roman"/>
        </w:rPr>
        <w:t>1.2 项目边界</w:t>
      </w:r>
    </w:p>
    <w:p w14:paraId="280427D6">
      <w:pPr>
        <w:pStyle w:val="16"/>
      </w:pPr>
      <w:r>
        <w:rPr>
          <w:rFonts w:ascii="Times New Roman" w:hAnsi="Times New Roman" w:eastAsia="思源黑体" w:cs="Times New Roman"/>
        </w:rPr>
        <w:t>系统定位为个人记录与管理工具，食物营养数据采用标注来源的每100g数据，结果属于估算。</w:t>
      </w:r>
    </w:p>
    <w:p w14:paraId="52E69FAC">
      <w:pPr>
        <w:pStyle w:val="16"/>
      </w:pPr>
      <w:r>
        <w:rPr>
          <w:rFonts w:ascii="Times New Roman" w:hAnsi="Times New Roman" w:eastAsia="思源黑体" w:cs="Times New Roman"/>
        </w:rPr>
        <w:t>AI分析仅提供一般性健身与饮食参考，不作疾病诊断或治疗建议。</w:t>
      </w:r>
    </w:p>
    <w:p w14:paraId="782FFE28">
      <w:pPr>
        <w:pStyle w:val="16"/>
      </w:pPr>
      <w:r>
        <w:rPr>
          <w:rFonts w:ascii="Times New Roman" w:hAnsi="Times New Roman" w:eastAsia="思源黑体" w:cs="Times New Roman"/>
        </w:rPr>
        <w:t>移动端先交付Android安装包，iOS适配作为条件允许时的后续扩展，不计入本次12周强制交付。</w:t>
      </w:r>
    </w:p>
    <w:p w14:paraId="4CA4A564">
      <w:pPr>
        <w:pStyle w:val="3"/>
      </w:pPr>
      <w:r>
        <w:rPr>
          <w:rFonts w:ascii="Times New Roman" w:hAnsi="Times New Roman" w:eastAsia="思源黑体" w:cs="Times New Roman"/>
        </w:rPr>
        <w:t>二、组织与分工</w:t>
      </w:r>
    </w:p>
    <w:p w14:paraId="003086B2">
      <w:r>
        <w:rPr>
          <w:rFonts w:ascii="Times New Roman" w:hAnsi="Times New Roman" w:eastAsia="思源黑体" w:cs="Times New Roman"/>
        </w:rPr>
        <w:t>小组共2人，沿用项目介绍中的四个岗位安排，新增任务由现有职责覆盖：后端负责自动汇总、权限与模型接口；前端负责手机适配与报告页；测试负责真机与隐私验收。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600"/>
        <w:gridCol w:w="5160"/>
      </w:tblGrid>
      <w:tr w14:paraId="476001B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D5E8F0"/>
          </w:tcPr>
          <w:p w14:paraId="4F4E0FA8">
            <w:r>
              <w:rPr>
                <w:rFonts w:ascii="Times New Roman" w:hAnsi="Times New Roman" w:eastAsia="思源黑体" w:cs="Times New Roman"/>
                <w:b/>
                <w:bCs/>
              </w:rPr>
              <w:t>成员</w:t>
            </w:r>
          </w:p>
        </w:tc>
        <w:tc>
          <w:tcPr>
            <w:tcW w:w="2600" w:type="dxa"/>
            <w:shd w:val="clear" w:color="auto" w:fill="D5E8F0"/>
          </w:tcPr>
          <w:p w14:paraId="799C4213">
            <w:r>
              <w:rPr>
                <w:rFonts w:ascii="Times New Roman" w:hAnsi="Times New Roman" w:eastAsia="思源黑体" w:cs="Times New Roman"/>
                <w:b/>
                <w:bCs/>
              </w:rPr>
              <w:t>承担职责</w:t>
            </w:r>
          </w:p>
        </w:tc>
        <w:tc>
          <w:tcPr>
            <w:tcW w:w="5160" w:type="dxa"/>
            <w:shd w:val="clear" w:color="auto" w:fill="D5E8F0"/>
          </w:tcPr>
          <w:p w14:paraId="3C183273">
            <w:r>
              <w:rPr>
                <w:rFonts w:ascii="Times New Roman" w:hAnsi="Times New Roman" w:eastAsia="思源黑体" w:cs="Times New Roman"/>
                <w:b/>
                <w:bCs/>
              </w:rPr>
              <w:t>主要交付物</w:t>
            </w:r>
          </w:p>
        </w:tc>
      </w:tr>
      <w:tr w14:paraId="410F4D9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469255BA">
            <w:r>
              <w:rPr>
                <w:rFonts w:ascii="Times New Roman" w:hAnsi="Times New Roman" w:eastAsia="思源黑体" w:cs="Times New Roman"/>
              </w:rPr>
              <w:t>方文锦</w:t>
            </w:r>
          </w:p>
        </w:tc>
        <w:tc>
          <w:tcPr>
            <w:tcW w:w="2600" w:type="dxa"/>
          </w:tcPr>
          <w:p w14:paraId="7E11E626">
            <w:r>
              <w:rPr>
                <w:rFonts w:ascii="Times New Roman" w:hAnsi="Times New Roman" w:eastAsia="思源黑体" w:cs="Times New Roman"/>
              </w:rPr>
              <w:t>需求与项目统筹</w:t>
            </w:r>
          </w:p>
        </w:tc>
        <w:tc>
          <w:tcPr>
            <w:tcW w:w="5160" w:type="dxa"/>
          </w:tcPr>
          <w:p w14:paraId="332A4C5D">
            <w:r>
              <w:rPr>
                <w:rFonts w:ascii="Times New Roman" w:hAnsi="Times New Roman" w:eastAsia="思源黑体" w:cs="Times New Roman"/>
              </w:rPr>
              <w:t>需求说明、任务跟踪、集成联调与汇报</w:t>
            </w:r>
          </w:p>
        </w:tc>
      </w:tr>
      <w:tr w14:paraId="3AE1F25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71514A36">
            <w:r>
              <w:rPr>
                <w:rFonts w:ascii="Times New Roman" w:hAnsi="Times New Roman" w:eastAsia="思源黑体" w:cs="Times New Roman"/>
              </w:rPr>
              <w:t>方文锦</w:t>
            </w:r>
          </w:p>
        </w:tc>
        <w:tc>
          <w:tcPr>
            <w:tcW w:w="2600" w:type="dxa"/>
          </w:tcPr>
          <w:p w14:paraId="4D7AB4D9">
            <w:r>
              <w:rPr>
                <w:rFonts w:ascii="Times New Roman" w:hAnsi="Times New Roman" w:eastAsia="思源黑体" w:cs="Times New Roman"/>
              </w:rPr>
              <w:t>后端与数据库</w:t>
            </w:r>
          </w:p>
        </w:tc>
        <w:tc>
          <w:tcPr>
            <w:tcW w:w="5160" w:type="dxa"/>
          </w:tcPr>
          <w:p w14:paraId="65DF99D1">
            <w:r>
              <w:rPr>
                <w:rFonts w:ascii="Times New Roman" w:hAnsi="Times New Roman" w:eastAsia="思源黑体" w:cs="Times New Roman"/>
              </w:rPr>
              <w:t>建表脚本、接口、业务规则、权限与AI服务对接</w:t>
            </w:r>
          </w:p>
        </w:tc>
      </w:tr>
      <w:tr w14:paraId="693F0DE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5DEB2FF1">
            <w:r>
              <w:rPr>
                <w:rFonts w:ascii="Times New Roman" w:hAnsi="Times New Roman" w:eastAsia="思源黑体" w:cs="Times New Roman"/>
              </w:rPr>
              <w:t>陈智杰</w:t>
            </w:r>
          </w:p>
        </w:tc>
        <w:tc>
          <w:tcPr>
            <w:tcW w:w="2600" w:type="dxa"/>
          </w:tcPr>
          <w:p w14:paraId="6906D6C8">
            <w:r>
              <w:rPr>
                <w:rFonts w:ascii="Times New Roman" w:hAnsi="Times New Roman" w:eastAsia="思源黑体" w:cs="Times New Roman"/>
              </w:rPr>
              <w:t>前端与交互</w:t>
            </w:r>
          </w:p>
        </w:tc>
        <w:tc>
          <w:tcPr>
            <w:tcW w:w="5160" w:type="dxa"/>
          </w:tcPr>
          <w:p w14:paraId="6327FA93">
            <w:r>
              <w:rPr>
                <w:rFonts w:ascii="Times New Roman" w:hAnsi="Times New Roman" w:eastAsia="思源黑体" w:cs="Times New Roman"/>
              </w:rPr>
              <w:t>页面、表单、接口联调、图表与手机端适配</w:t>
            </w:r>
          </w:p>
        </w:tc>
      </w:tr>
      <w:tr w14:paraId="13CA1DF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5806880D">
            <w:r>
              <w:rPr>
                <w:rFonts w:ascii="Times New Roman" w:hAnsi="Times New Roman" w:eastAsia="思源黑体" w:cs="Times New Roman"/>
              </w:rPr>
              <w:t>陈智杰</w:t>
            </w:r>
          </w:p>
        </w:tc>
        <w:tc>
          <w:tcPr>
            <w:tcW w:w="2600" w:type="dxa"/>
          </w:tcPr>
          <w:p w14:paraId="2D486D72">
            <w:r>
              <w:rPr>
                <w:rFonts w:ascii="Times New Roman" w:hAnsi="Times New Roman" w:eastAsia="思源黑体" w:cs="Times New Roman"/>
              </w:rPr>
              <w:t>测试与文档</w:t>
            </w:r>
          </w:p>
        </w:tc>
        <w:tc>
          <w:tcPr>
            <w:tcW w:w="5160" w:type="dxa"/>
          </w:tcPr>
          <w:p w14:paraId="24046D24">
            <w:r>
              <w:rPr>
                <w:rFonts w:ascii="Times New Roman" w:hAnsi="Times New Roman" w:eastAsia="思源黑体" w:cs="Times New Roman"/>
              </w:rPr>
              <w:t>测试用例、缺陷复测、部署与项目文档</w:t>
            </w:r>
          </w:p>
        </w:tc>
      </w:tr>
    </w:tbl>
    <w:p w14:paraId="4CD060A2">
      <w:pPr>
        <w:pStyle w:val="3"/>
      </w:pPr>
      <w:r>
        <w:rPr>
          <w:rFonts w:ascii="Times New Roman" w:hAnsi="Times New Roman" w:eastAsia="思源黑体" w:cs="Times New Roman"/>
        </w:rPr>
        <w:t>三、技术路线</w:t>
      </w:r>
    </w:p>
    <w:p w14:paraId="01DEF1EE">
      <w:r>
        <w:rPr>
          <w:rFonts w:ascii="Times New Roman" w:hAnsi="Times New Roman" w:eastAsia="思源黑体" w:cs="Times New Roman"/>
        </w:rPr>
        <w:t>Vue3页面负责手机端交互与展示，由Capacitor封装为Android App，通过HTTPS调用SpringBoot的JSON接口；后端统一处理身份校验、业务规则、统计计算与AI请求，并访问MySQL；AI模型部署在服务端，由后端传入经整理的用户数据，手机端不直接连接数据库或模型服务。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500"/>
        <w:gridCol w:w="4060"/>
      </w:tblGrid>
      <w:tr w14:paraId="25A6A25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5E8F0"/>
          </w:tcPr>
          <w:p w14:paraId="26F49A41">
            <w:r>
              <w:rPr>
                <w:rFonts w:ascii="Times New Roman" w:hAnsi="Times New Roman" w:eastAsia="思源黑体" w:cs="Times New Roman"/>
                <w:b/>
                <w:bCs/>
              </w:rPr>
              <w:t>层次</w:t>
            </w:r>
          </w:p>
        </w:tc>
        <w:tc>
          <w:tcPr>
            <w:tcW w:w="3500" w:type="dxa"/>
            <w:shd w:val="clear" w:color="auto" w:fill="D5E8F0"/>
          </w:tcPr>
          <w:p w14:paraId="2166CE31">
            <w:r>
              <w:rPr>
                <w:rFonts w:ascii="Times New Roman" w:hAnsi="Times New Roman" w:eastAsia="思源黑体" w:cs="Times New Roman"/>
                <w:b/>
                <w:bCs/>
              </w:rPr>
              <w:t>拟选技术</w:t>
            </w:r>
          </w:p>
        </w:tc>
        <w:tc>
          <w:tcPr>
            <w:tcW w:w="4060" w:type="dxa"/>
            <w:shd w:val="clear" w:color="auto" w:fill="D5E8F0"/>
          </w:tcPr>
          <w:p w14:paraId="3E544CC6">
            <w:r>
              <w:rPr>
                <w:rFonts w:ascii="Times New Roman" w:hAnsi="Times New Roman" w:eastAsia="思源黑体" w:cs="Times New Roman"/>
                <w:b/>
                <w:bCs/>
              </w:rPr>
              <w:t>责任</w:t>
            </w:r>
          </w:p>
        </w:tc>
      </w:tr>
      <w:tr w14:paraId="62CA4D5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149905B">
            <w:r>
              <w:rPr>
                <w:rFonts w:ascii="Times New Roman" w:hAnsi="Times New Roman" w:eastAsia="思源黑体" w:cs="Times New Roman"/>
              </w:rPr>
              <w:t>表现层</w:t>
            </w:r>
          </w:p>
        </w:tc>
        <w:tc>
          <w:tcPr>
            <w:tcW w:w="3500" w:type="dxa"/>
          </w:tcPr>
          <w:p w14:paraId="384F52E9">
            <w:r>
              <w:rPr>
                <w:rFonts w:ascii="Times New Roman" w:hAnsi="Times New Roman" w:eastAsia="思源黑体" w:cs="Times New Roman"/>
              </w:rPr>
              <w:t>Vue 3、Vue Router、Axios、Capacitor</w:t>
            </w:r>
          </w:p>
        </w:tc>
        <w:tc>
          <w:tcPr>
            <w:tcW w:w="4060" w:type="dxa"/>
          </w:tcPr>
          <w:p w14:paraId="00CC475D">
            <w:r>
              <w:rPr>
                <w:rFonts w:ascii="Times New Roman" w:hAnsi="Times New Roman" w:eastAsia="思源黑体" w:cs="Times New Roman"/>
              </w:rPr>
              <w:t>手机页面、路由、接口调用与Android封装</w:t>
            </w:r>
          </w:p>
        </w:tc>
      </w:tr>
      <w:tr w14:paraId="5EE1D44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EF7836A">
            <w:r>
              <w:rPr>
                <w:rFonts w:ascii="Times New Roman" w:hAnsi="Times New Roman" w:eastAsia="思源黑体" w:cs="Times New Roman"/>
              </w:rPr>
              <w:t>图表层</w:t>
            </w:r>
          </w:p>
        </w:tc>
        <w:tc>
          <w:tcPr>
            <w:tcW w:w="3500" w:type="dxa"/>
          </w:tcPr>
          <w:p w14:paraId="3A2BA5E7">
            <w:r>
              <w:rPr>
                <w:rFonts w:ascii="Times New Roman" w:hAnsi="Times New Roman" w:eastAsia="思源黑体" w:cs="Times New Roman"/>
              </w:rPr>
              <w:t>Apache ECharts</w:t>
            </w:r>
          </w:p>
        </w:tc>
        <w:tc>
          <w:tcPr>
            <w:tcW w:w="4060" w:type="dxa"/>
          </w:tcPr>
          <w:p w14:paraId="2CDA722A">
            <w:r>
              <w:rPr>
                <w:rFonts w:ascii="Times New Roman" w:hAnsi="Times New Roman" w:eastAsia="思源黑体" w:cs="Times New Roman"/>
              </w:rPr>
              <w:t>展示摄入、训练与体重趋势</w:t>
            </w:r>
          </w:p>
        </w:tc>
      </w:tr>
      <w:tr w14:paraId="362D4A0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805B6A6">
            <w:r>
              <w:rPr>
                <w:rFonts w:ascii="Times New Roman" w:hAnsi="Times New Roman" w:eastAsia="思源黑体" w:cs="Times New Roman"/>
              </w:rPr>
              <w:t>业务层</w:t>
            </w:r>
          </w:p>
        </w:tc>
        <w:tc>
          <w:tcPr>
            <w:tcW w:w="3500" w:type="dxa"/>
          </w:tcPr>
          <w:p w14:paraId="21DDD781">
            <w:r>
              <w:rPr>
                <w:rFonts w:ascii="Times New Roman" w:hAnsi="Times New Roman" w:eastAsia="思源黑体" w:cs="Times New Roman"/>
              </w:rPr>
              <w:t>Spring Boot、Spring Security</w:t>
            </w:r>
          </w:p>
        </w:tc>
        <w:tc>
          <w:tcPr>
            <w:tcW w:w="4060" w:type="dxa"/>
          </w:tcPr>
          <w:p w14:paraId="2CC9DE48">
            <w:r>
              <w:rPr>
                <w:rFonts w:ascii="Times New Roman" w:hAnsi="Times New Roman" w:eastAsia="思源黑体" w:cs="Times New Roman"/>
              </w:rPr>
              <w:t>接口、鉴权、校验与业务计算</w:t>
            </w:r>
          </w:p>
        </w:tc>
      </w:tr>
      <w:tr w14:paraId="73EAD7A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00F861F">
            <w:r>
              <w:rPr>
                <w:rFonts w:ascii="Times New Roman" w:hAnsi="Times New Roman" w:eastAsia="思源黑体" w:cs="Times New Roman"/>
              </w:rPr>
              <w:t>持久层</w:t>
            </w:r>
          </w:p>
        </w:tc>
        <w:tc>
          <w:tcPr>
            <w:tcW w:w="3500" w:type="dxa"/>
          </w:tcPr>
          <w:p w14:paraId="1A0C915B">
            <w:r>
              <w:rPr>
                <w:rFonts w:ascii="Times New Roman" w:hAnsi="Times New Roman" w:eastAsia="思源黑体" w:cs="Times New Roman"/>
              </w:rPr>
              <w:t>Spring Data JPA、MySQL</w:t>
            </w:r>
          </w:p>
        </w:tc>
        <w:tc>
          <w:tcPr>
            <w:tcW w:w="4060" w:type="dxa"/>
          </w:tcPr>
          <w:p w14:paraId="7E286575">
            <w:r>
              <w:rPr>
                <w:rFonts w:ascii="Times New Roman" w:hAnsi="Times New Roman" w:eastAsia="思源黑体" w:cs="Times New Roman"/>
              </w:rPr>
              <w:t>数据映射、事务与查询</w:t>
            </w:r>
          </w:p>
        </w:tc>
      </w:tr>
      <w:tr w14:paraId="145956E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0586633">
            <w:r>
              <w:rPr>
                <w:rFonts w:ascii="Times New Roman" w:hAnsi="Times New Roman" w:eastAsia="思源黑体" w:cs="Times New Roman"/>
              </w:rPr>
              <w:t>AI服务层</w:t>
            </w:r>
          </w:p>
        </w:tc>
        <w:tc>
          <w:tcPr>
            <w:tcW w:w="3500" w:type="dxa"/>
          </w:tcPr>
          <w:p w14:paraId="7404EA24">
            <w:r>
              <w:rPr>
                <w:rFonts w:ascii="Times New Roman" w:hAnsi="Times New Roman" w:eastAsia="思源黑体" w:cs="Times New Roman"/>
              </w:rPr>
              <w:t>Ollama、Qwen3-4B-Instruct-2507</w:t>
            </w:r>
          </w:p>
        </w:tc>
        <w:tc>
          <w:tcPr>
            <w:tcW w:w="4060" w:type="dxa"/>
          </w:tcPr>
          <w:p w14:paraId="2B0B3C0A">
            <w:r>
              <w:rPr>
                <w:rFonts w:ascii="Times New Roman" w:hAnsi="Times New Roman" w:eastAsia="思源黑体" w:cs="Times New Roman"/>
              </w:rPr>
              <w:t>服务端本地部署开源模型，生成基于事实摘要的文字分析</w:t>
            </w:r>
          </w:p>
        </w:tc>
      </w:tr>
      <w:tr w14:paraId="771CE17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551DFBA">
            <w:r>
              <w:rPr>
                <w:rFonts w:ascii="Times New Roman" w:hAnsi="Times New Roman" w:eastAsia="思源黑体" w:cs="Times New Roman"/>
              </w:rPr>
              <w:t>移动端构建</w:t>
            </w:r>
          </w:p>
        </w:tc>
        <w:tc>
          <w:tcPr>
            <w:tcW w:w="3500" w:type="dxa"/>
          </w:tcPr>
          <w:p w14:paraId="5A6B8F35">
            <w:r>
              <w:rPr>
                <w:rFonts w:ascii="Times New Roman" w:hAnsi="Times New Roman" w:eastAsia="思源黑体" w:cs="Times New Roman"/>
              </w:rPr>
              <w:t>Android SDK、Capacitor CLI</w:t>
            </w:r>
          </w:p>
        </w:tc>
        <w:tc>
          <w:tcPr>
            <w:tcW w:w="4060" w:type="dxa"/>
          </w:tcPr>
          <w:p w14:paraId="69372944">
            <w:r>
              <w:rPr>
                <w:rFonts w:ascii="Times New Roman" w:hAnsi="Times New Roman" w:eastAsia="思源黑体" w:cs="Times New Roman"/>
              </w:rPr>
              <w:t>打包、安装与真机调试</w:t>
            </w:r>
          </w:p>
        </w:tc>
      </w:tr>
      <w:tr w14:paraId="14F9C41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5FDF8C0">
            <w:r>
              <w:rPr>
                <w:rFonts w:ascii="Times New Roman" w:hAnsi="Times New Roman" w:eastAsia="思源黑体" w:cs="Times New Roman"/>
              </w:rPr>
              <w:t>协作与构建</w:t>
            </w:r>
          </w:p>
        </w:tc>
        <w:tc>
          <w:tcPr>
            <w:tcW w:w="3500" w:type="dxa"/>
          </w:tcPr>
          <w:p w14:paraId="00DB0929">
            <w:r>
              <w:rPr>
                <w:rFonts w:ascii="Times New Roman" w:hAnsi="Times New Roman" w:eastAsia="思源黑体" w:cs="Times New Roman"/>
              </w:rPr>
              <w:t>Git、GitHub、Maven、Vite</w:t>
            </w:r>
          </w:p>
        </w:tc>
        <w:tc>
          <w:tcPr>
            <w:tcW w:w="4060" w:type="dxa"/>
          </w:tcPr>
          <w:p w14:paraId="3CD925D9">
            <w:r>
              <w:rPr>
                <w:rFonts w:ascii="Times New Roman" w:hAnsi="Times New Roman" w:eastAsia="思源黑体" w:cs="Times New Roman"/>
              </w:rPr>
              <w:t>版本管理、依赖管理与构建</w:t>
            </w:r>
          </w:p>
        </w:tc>
      </w:tr>
    </w:tbl>
    <w:p w14:paraId="1A75C1A7">
      <w:pPr>
        <w:pStyle w:val="3"/>
      </w:pPr>
      <w:r>
        <w:rPr>
          <w:rFonts w:ascii="Times New Roman" w:hAnsi="Times New Roman" w:eastAsia="思源黑体" w:cs="Times New Roman"/>
        </w:rPr>
        <w:t>四、总体进度安排</w:t>
      </w:r>
    </w:p>
    <w:p w14:paraId="2C15904E">
      <w:r>
        <w:rPr>
          <w:rFonts w:ascii="Times New Roman" w:hAnsi="Times New Roman" w:eastAsia="思源黑体" w:cs="Times New Roman"/>
        </w:rPr>
        <w:t>项目周期为12周，自2026年9月28日起至2026年12月20日止，划分为七个阶段。核心功能与移动适配先行，AI分析与Android封装随后接入，最后两周集中测试、整改与结项。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  <w:gridCol w:w="3360"/>
        <w:gridCol w:w="2000"/>
      </w:tblGrid>
      <w:tr w14:paraId="75C9D0C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D5E8F0"/>
          </w:tcPr>
          <w:p w14:paraId="31C20ADE">
            <w:r>
              <w:rPr>
                <w:rFonts w:ascii="Times New Roman" w:hAnsi="Times New Roman" w:eastAsia="思源黑体" w:cs="Times New Roman"/>
                <w:b/>
                <w:bCs/>
              </w:rPr>
              <w:t>阶段</w:t>
            </w:r>
          </w:p>
        </w:tc>
        <w:tc>
          <w:tcPr>
            <w:tcW w:w="2000" w:type="dxa"/>
            <w:shd w:val="clear" w:color="auto" w:fill="D5E8F0"/>
          </w:tcPr>
          <w:p w14:paraId="42E0CA49">
            <w:r>
              <w:rPr>
                <w:rFonts w:ascii="Times New Roman" w:hAnsi="Times New Roman" w:eastAsia="思源黑体" w:cs="Times New Roman"/>
                <w:b/>
                <w:bCs/>
              </w:rPr>
              <w:t>时间区间</w:t>
            </w:r>
          </w:p>
        </w:tc>
        <w:tc>
          <w:tcPr>
            <w:tcW w:w="3360" w:type="dxa"/>
            <w:shd w:val="clear" w:color="auto" w:fill="D5E8F0"/>
          </w:tcPr>
          <w:p w14:paraId="54AD6443">
            <w:r>
              <w:rPr>
                <w:rFonts w:ascii="Times New Roman" w:hAnsi="Times New Roman" w:eastAsia="思源黑体" w:cs="Times New Roman"/>
                <w:b/>
                <w:bCs/>
              </w:rPr>
              <w:t>主要内容</w:t>
            </w:r>
          </w:p>
        </w:tc>
        <w:tc>
          <w:tcPr>
            <w:tcW w:w="2000" w:type="dxa"/>
            <w:shd w:val="clear" w:color="auto" w:fill="D5E8F0"/>
          </w:tcPr>
          <w:p w14:paraId="5C88F05A">
            <w:r>
              <w:rPr>
                <w:rFonts w:ascii="Times New Roman" w:hAnsi="Times New Roman" w:eastAsia="思源黑体" w:cs="Times New Roman"/>
                <w:b/>
                <w:bCs/>
              </w:rPr>
              <w:t>结束标志</w:t>
            </w:r>
          </w:p>
        </w:tc>
      </w:tr>
      <w:tr w14:paraId="4FEDC0C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5A629075">
            <w:r>
              <w:rPr>
                <w:rFonts w:ascii="Times New Roman" w:hAnsi="Times New Roman" w:eastAsia="思源黑体" w:cs="Times New Roman"/>
              </w:rPr>
              <w:t>一、需求冻结与技术准备</w:t>
            </w:r>
          </w:p>
        </w:tc>
        <w:tc>
          <w:tcPr>
            <w:tcW w:w="2000" w:type="dxa"/>
          </w:tcPr>
          <w:p w14:paraId="791BEA51">
            <w:r>
              <w:rPr>
                <w:rFonts w:ascii="Times New Roman" w:hAnsi="Times New Roman" w:eastAsia="思源黑体" w:cs="Times New Roman"/>
              </w:rPr>
              <w:t>第1—2周（09.28—10.11）</w:t>
            </w:r>
          </w:p>
        </w:tc>
        <w:tc>
          <w:tcPr>
            <w:tcW w:w="3360" w:type="dxa"/>
          </w:tcPr>
          <w:p w14:paraId="055C3F7D">
            <w:r>
              <w:rPr>
                <w:rFonts w:ascii="Times New Roman" w:hAnsi="Times New Roman" w:eastAsia="思源黑体" w:cs="Times New Roman"/>
              </w:rPr>
              <w:t>需求确认、原型草图、表结构与接口约定、环境与版本锁定</w:t>
            </w:r>
          </w:p>
        </w:tc>
        <w:tc>
          <w:tcPr>
            <w:tcW w:w="2000" w:type="dxa"/>
          </w:tcPr>
          <w:p w14:paraId="3E6ADAEA">
            <w:r>
              <w:rPr>
                <w:rFonts w:ascii="Times New Roman" w:hAnsi="Times New Roman" w:eastAsia="思源黑体" w:cs="Times New Roman"/>
              </w:rPr>
              <w:t>M1 需求与技术方案冻结</w:t>
            </w:r>
          </w:p>
        </w:tc>
      </w:tr>
      <w:tr w14:paraId="51C2BC3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6CEEDFB8">
            <w:r>
              <w:rPr>
                <w:rFonts w:ascii="Times New Roman" w:hAnsi="Times New Roman" w:eastAsia="思源黑体" w:cs="Times New Roman"/>
              </w:rPr>
              <w:t>二、数据层与后端核心</w:t>
            </w:r>
          </w:p>
        </w:tc>
        <w:tc>
          <w:tcPr>
            <w:tcW w:w="2000" w:type="dxa"/>
          </w:tcPr>
          <w:p w14:paraId="625C3AEE">
            <w:r>
              <w:rPr>
                <w:rFonts w:ascii="Times New Roman" w:hAnsi="Times New Roman" w:eastAsia="思源黑体" w:cs="Times New Roman"/>
              </w:rPr>
              <w:t>第2—4周（10.05—10.25）</w:t>
            </w:r>
          </w:p>
        </w:tc>
        <w:tc>
          <w:tcPr>
            <w:tcW w:w="3360" w:type="dxa"/>
          </w:tcPr>
          <w:p w14:paraId="1737B3DA">
            <w:r>
              <w:rPr>
                <w:rFonts w:ascii="Times New Roman" w:hAnsi="Times New Roman" w:eastAsia="思源黑体" w:cs="Times New Roman"/>
              </w:rPr>
              <w:t>建表与索引、鉴权、账户目标、训练、饮食、体重接口</w:t>
            </w:r>
          </w:p>
        </w:tc>
        <w:tc>
          <w:tcPr>
            <w:tcW w:w="2000" w:type="dxa"/>
          </w:tcPr>
          <w:p w14:paraId="01126675">
            <w:r>
              <w:rPr>
                <w:rFonts w:ascii="Times New Roman" w:hAnsi="Times New Roman" w:eastAsia="思源黑体" w:cs="Times New Roman"/>
              </w:rPr>
              <w:t>M2 后端核心接口可联调</w:t>
            </w:r>
          </w:p>
        </w:tc>
      </w:tr>
      <w:tr w14:paraId="59DAD48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3673D95D">
            <w:r>
              <w:rPr>
                <w:rFonts w:ascii="Times New Roman" w:hAnsi="Times New Roman" w:eastAsia="思源黑体" w:cs="Times New Roman"/>
              </w:rPr>
              <w:t>三、前端页面与图表</w:t>
            </w:r>
          </w:p>
        </w:tc>
        <w:tc>
          <w:tcPr>
            <w:tcW w:w="2000" w:type="dxa"/>
          </w:tcPr>
          <w:p w14:paraId="0E438E97">
            <w:r>
              <w:rPr>
                <w:rFonts w:ascii="Times New Roman" w:hAnsi="Times New Roman" w:eastAsia="思源黑体" w:cs="Times New Roman"/>
              </w:rPr>
              <w:t>第4—6周（10.19—11.08）</w:t>
            </w:r>
          </w:p>
        </w:tc>
        <w:tc>
          <w:tcPr>
            <w:tcW w:w="3360" w:type="dxa"/>
          </w:tcPr>
          <w:p w14:paraId="000A3E3D">
            <w:r>
              <w:rPr>
                <w:rFonts w:ascii="Times New Roman" w:hAnsi="Times New Roman" w:eastAsia="思源黑体" w:cs="Times New Roman"/>
              </w:rPr>
              <w:t>登录与设置、训练饮食录入、体重记录、统计图表、后台管理</w:t>
            </w:r>
          </w:p>
        </w:tc>
        <w:tc>
          <w:tcPr>
            <w:tcW w:w="2000" w:type="dxa"/>
          </w:tcPr>
          <w:p w14:paraId="5F59E6E2">
            <w:r>
              <w:rPr>
                <w:rFonts w:ascii="Times New Roman" w:hAnsi="Times New Roman" w:eastAsia="思源黑体" w:cs="Times New Roman"/>
              </w:rPr>
              <w:t>M3 Web端全流程可用</w:t>
            </w:r>
          </w:p>
        </w:tc>
      </w:tr>
      <w:tr w14:paraId="15EF85B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7904B963">
            <w:r>
              <w:rPr>
                <w:rFonts w:ascii="Times New Roman" w:hAnsi="Times New Roman" w:eastAsia="思源黑体" w:cs="Times New Roman"/>
              </w:rPr>
              <w:t>四、AI分析模块</w:t>
            </w:r>
          </w:p>
        </w:tc>
        <w:tc>
          <w:tcPr>
            <w:tcW w:w="2000" w:type="dxa"/>
          </w:tcPr>
          <w:p w14:paraId="5D239741">
            <w:r>
              <w:rPr>
                <w:rFonts w:ascii="Times New Roman" w:hAnsi="Times New Roman" w:eastAsia="思源黑体" w:cs="Times New Roman"/>
              </w:rPr>
              <w:t>第7—9周（11.09—11.29）</w:t>
            </w:r>
          </w:p>
        </w:tc>
        <w:tc>
          <w:tcPr>
            <w:tcW w:w="3360" w:type="dxa"/>
          </w:tcPr>
          <w:p w14:paraId="116177C1">
            <w:r>
              <w:rPr>
                <w:rFonts w:ascii="Times New Roman" w:hAnsi="Times New Roman" w:eastAsia="思源黑体" w:cs="Times New Roman"/>
              </w:rPr>
              <w:t>授权与撤回、数据汇总、模型接口、报告生成与历史查看</w:t>
            </w:r>
          </w:p>
        </w:tc>
        <w:tc>
          <w:tcPr>
            <w:tcW w:w="2000" w:type="dxa"/>
          </w:tcPr>
          <w:p w14:paraId="1E7CEAE5">
            <w:r>
              <w:rPr>
                <w:rFonts w:ascii="Times New Roman" w:hAnsi="Times New Roman" w:eastAsia="思源黑体" w:cs="Times New Roman"/>
              </w:rPr>
              <w:t>M4 AI分析全链路打通</w:t>
            </w:r>
          </w:p>
        </w:tc>
      </w:tr>
      <w:tr w14:paraId="0C0AD55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10335443">
            <w:r>
              <w:rPr>
                <w:rFonts w:ascii="Times New Roman" w:hAnsi="Times New Roman" w:eastAsia="思源黑体" w:cs="Times New Roman"/>
              </w:rPr>
              <w:t>五、移动端Android封装</w:t>
            </w:r>
          </w:p>
        </w:tc>
        <w:tc>
          <w:tcPr>
            <w:tcW w:w="2000" w:type="dxa"/>
          </w:tcPr>
          <w:p w14:paraId="616AD46A">
            <w:r>
              <w:rPr>
                <w:rFonts w:ascii="Times New Roman" w:hAnsi="Times New Roman" w:eastAsia="思源黑体" w:cs="Times New Roman"/>
              </w:rPr>
              <w:t>第8—10周（11.16—12.06）</w:t>
            </w:r>
          </w:p>
        </w:tc>
        <w:tc>
          <w:tcPr>
            <w:tcW w:w="3360" w:type="dxa"/>
          </w:tcPr>
          <w:p w14:paraId="7464FAD1">
            <w:r>
              <w:rPr>
                <w:rFonts w:ascii="Times New Roman" w:hAnsi="Times New Roman" w:eastAsia="思源黑体" w:cs="Times New Roman"/>
              </w:rPr>
              <w:t>手机布局适配、Capacitor工程、打包与真机调试</w:t>
            </w:r>
          </w:p>
        </w:tc>
        <w:tc>
          <w:tcPr>
            <w:tcW w:w="2000" w:type="dxa"/>
          </w:tcPr>
          <w:p w14:paraId="20B6C255">
            <w:r>
              <w:rPr>
                <w:rFonts w:ascii="Times New Roman" w:hAnsi="Times New Roman" w:eastAsia="思源黑体" w:cs="Times New Roman"/>
              </w:rPr>
              <w:t>M5 Android安装包可用</w:t>
            </w:r>
          </w:p>
        </w:tc>
      </w:tr>
      <w:tr w14:paraId="3D67B6C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52E87B27">
            <w:r>
              <w:rPr>
                <w:rFonts w:ascii="Times New Roman" w:hAnsi="Times New Roman" w:eastAsia="思源黑体" w:cs="Times New Roman"/>
              </w:rPr>
              <w:t>六、集成测试与验收</w:t>
            </w:r>
          </w:p>
        </w:tc>
        <w:tc>
          <w:tcPr>
            <w:tcW w:w="2000" w:type="dxa"/>
          </w:tcPr>
          <w:p w14:paraId="5B84EDE4">
            <w:r>
              <w:rPr>
                <w:rFonts w:ascii="Times New Roman" w:hAnsi="Times New Roman" w:eastAsia="思源黑体" w:cs="Times New Roman"/>
              </w:rPr>
              <w:t>第10—11周（11.30—12.13）</w:t>
            </w:r>
          </w:p>
        </w:tc>
        <w:tc>
          <w:tcPr>
            <w:tcW w:w="3360" w:type="dxa"/>
          </w:tcPr>
          <w:p w14:paraId="017E3EB9">
            <w:r>
              <w:rPr>
                <w:rFonts w:ascii="Times New Roman" w:hAnsi="Times New Roman" w:eastAsia="思源黑体" w:cs="Times New Roman"/>
              </w:rPr>
              <w:t>功能用例、跨账号隔离、隐私验收、缺陷复测与性能检查</w:t>
            </w:r>
          </w:p>
        </w:tc>
        <w:tc>
          <w:tcPr>
            <w:tcW w:w="2000" w:type="dxa"/>
          </w:tcPr>
          <w:p w14:paraId="7F786108">
            <w:r>
              <w:rPr>
                <w:rFonts w:ascii="Times New Roman" w:hAnsi="Times New Roman" w:eastAsia="思源黑体" w:cs="Times New Roman"/>
              </w:rPr>
              <w:t>M6 测试验收通过</w:t>
            </w:r>
          </w:p>
        </w:tc>
      </w:tr>
      <w:tr w14:paraId="3B24B45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4C7F697D">
            <w:r>
              <w:rPr>
                <w:rFonts w:ascii="Times New Roman" w:hAnsi="Times New Roman" w:eastAsia="思源黑体" w:cs="Times New Roman"/>
              </w:rPr>
              <w:t>七、文档与结项答辩</w:t>
            </w:r>
          </w:p>
        </w:tc>
        <w:tc>
          <w:tcPr>
            <w:tcW w:w="2000" w:type="dxa"/>
          </w:tcPr>
          <w:p w14:paraId="3A017A02">
            <w:r>
              <w:rPr>
                <w:rFonts w:ascii="Times New Roman" w:hAnsi="Times New Roman" w:eastAsia="思源黑体" w:cs="Times New Roman"/>
              </w:rPr>
              <w:t>第11—12周（12.07—12.20）</w:t>
            </w:r>
          </w:p>
        </w:tc>
        <w:tc>
          <w:tcPr>
            <w:tcW w:w="3360" w:type="dxa"/>
          </w:tcPr>
          <w:p w14:paraId="30EB91B5">
            <w:r>
              <w:rPr>
                <w:rFonts w:ascii="Times New Roman" w:hAnsi="Times New Roman" w:eastAsia="思源黑体" w:cs="Times New Roman"/>
              </w:rPr>
              <w:t>使用说明、部署文档、答辩材料与演示准备</w:t>
            </w:r>
          </w:p>
        </w:tc>
        <w:tc>
          <w:tcPr>
            <w:tcW w:w="2000" w:type="dxa"/>
          </w:tcPr>
          <w:p w14:paraId="38CD3E46">
            <w:r>
              <w:rPr>
                <w:rFonts w:ascii="Times New Roman" w:hAnsi="Times New Roman" w:eastAsia="思源黑体" w:cs="Times New Roman"/>
              </w:rPr>
              <w:t>M7 结项答辩完成</w:t>
            </w:r>
          </w:p>
        </w:tc>
      </w:tr>
    </w:tbl>
    <w:p w14:paraId="2F9D57BB">
      <w:r>
        <w:br w:type="page"/>
      </w:r>
    </w:p>
    <w:p w14:paraId="0CFF5596">
      <w:pPr>
        <w:pStyle w:val="3"/>
      </w:pPr>
      <w:r>
        <w:rPr>
          <w:rFonts w:ascii="Times New Roman" w:hAnsi="Times New Roman" w:eastAsia="思源黑体" w:cs="Times New Roman"/>
        </w:rPr>
        <w:t>五、周度任务分解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300"/>
        <w:gridCol w:w="3700"/>
        <w:gridCol w:w="1200"/>
        <w:gridCol w:w="2560"/>
      </w:tblGrid>
      <w:tr w14:paraId="4AD2709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shd w:val="clear" w:color="auto" w:fill="D5E8F0"/>
          </w:tcPr>
          <w:p w14:paraId="64BCE819">
            <w:r>
              <w:rPr>
                <w:rFonts w:ascii="Times New Roman" w:hAnsi="Times New Roman" w:eastAsia="思源黑体" w:cs="Times New Roman"/>
                <w:b/>
                <w:bCs/>
              </w:rPr>
              <w:t>周次</w:t>
            </w:r>
          </w:p>
        </w:tc>
        <w:tc>
          <w:tcPr>
            <w:tcW w:w="1300" w:type="dxa"/>
            <w:shd w:val="clear" w:color="auto" w:fill="D5E8F0"/>
          </w:tcPr>
          <w:p w14:paraId="71422C47">
            <w:r>
              <w:rPr>
                <w:rFonts w:ascii="Times New Roman" w:hAnsi="Times New Roman" w:eastAsia="思源黑体" w:cs="Times New Roman"/>
                <w:b/>
                <w:bCs/>
              </w:rPr>
              <w:t>日期区间</w:t>
            </w:r>
          </w:p>
        </w:tc>
        <w:tc>
          <w:tcPr>
            <w:tcW w:w="3700" w:type="dxa"/>
            <w:shd w:val="clear" w:color="auto" w:fill="D5E8F0"/>
          </w:tcPr>
          <w:p w14:paraId="5703F8B7">
            <w:r>
              <w:rPr>
                <w:rFonts w:ascii="Times New Roman" w:hAnsi="Times New Roman" w:eastAsia="思源黑体" w:cs="Times New Roman"/>
                <w:b/>
                <w:bCs/>
              </w:rPr>
              <w:t>主要任务</w:t>
            </w:r>
          </w:p>
        </w:tc>
        <w:tc>
          <w:tcPr>
            <w:tcW w:w="1200" w:type="dxa"/>
            <w:shd w:val="clear" w:color="auto" w:fill="D5E8F0"/>
          </w:tcPr>
          <w:p w14:paraId="0516E0F7">
            <w:r>
              <w:rPr>
                <w:rFonts w:ascii="Times New Roman" w:hAnsi="Times New Roman" w:eastAsia="思源黑体" w:cs="Times New Roman"/>
                <w:b/>
                <w:bCs/>
              </w:rPr>
              <w:t>负责人</w:t>
            </w:r>
          </w:p>
        </w:tc>
        <w:tc>
          <w:tcPr>
            <w:tcW w:w="2560" w:type="dxa"/>
            <w:shd w:val="clear" w:color="auto" w:fill="D5E8F0"/>
          </w:tcPr>
          <w:p w14:paraId="7EAEF6DB">
            <w:r>
              <w:rPr>
                <w:rFonts w:ascii="Times New Roman" w:hAnsi="Times New Roman" w:eastAsia="思源黑体" w:cs="Times New Roman"/>
                <w:b/>
                <w:bCs/>
              </w:rPr>
              <w:t>当周交付物</w:t>
            </w:r>
          </w:p>
        </w:tc>
      </w:tr>
      <w:tr w14:paraId="67102F1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58FC0B6B">
            <w:r>
              <w:rPr>
                <w:rFonts w:ascii="Times New Roman" w:hAnsi="Times New Roman" w:eastAsia="思源黑体" w:cs="Times New Roman"/>
              </w:rPr>
              <w:t>W1</w:t>
            </w:r>
          </w:p>
        </w:tc>
        <w:tc>
          <w:tcPr>
            <w:tcW w:w="1300" w:type="dxa"/>
          </w:tcPr>
          <w:p w14:paraId="09A250FE">
            <w:r>
              <w:rPr>
                <w:rFonts w:ascii="Times New Roman" w:hAnsi="Times New Roman" w:eastAsia="思源黑体" w:cs="Times New Roman"/>
              </w:rPr>
              <w:t>09.28—10.04</w:t>
            </w:r>
          </w:p>
        </w:tc>
        <w:tc>
          <w:tcPr>
            <w:tcW w:w="3700" w:type="dxa"/>
          </w:tcPr>
          <w:p w14:paraId="715DF54C">
            <w:r>
              <w:rPr>
                <w:rFonts w:ascii="Times New Roman" w:hAnsi="Times New Roman" w:eastAsia="思源黑体" w:cs="Times New Roman"/>
              </w:rPr>
              <w:t>需求评审与范围确认；原型草图；搭建代码仓库、分支规范与开发环境；锁定Spring Boot、Vue、MySQL、Ollama等版本</w:t>
            </w:r>
          </w:p>
        </w:tc>
        <w:tc>
          <w:tcPr>
            <w:tcW w:w="1200" w:type="dxa"/>
          </w:tcPr>
          <w:p w14:paraId="23F48F6D">
            <w:r>
              <w:rPr>
                <w:rFonts w:ascii="Times New Roman" w:hAnsi="Times New Roman" w:eastAsia="思源黑体" w:cs="Times New Roman"/>
              </w:rPr>
              <w:t>方文锦、陈智杰</w:t>
            </w:r>
          </w:p>
        </w:tc>
        <w:tc>
          <w:tcPr>
            <w:tcW w:w="2560" w:type="dxa"/>
          </w:tcPr>
          <w:p w14:paraId="527B38E6">
            <w:r>
              <w:rPr>
                <w:rFonts w:ascii="Times New Roman" w:hAnsi="Times New Roman" w:eastAsia="思源黑体" w:cs="Times New Roman"/>
              </w:rPr>
              <w:t>需求清单、原型草图、仓库与开发环境</w:t>
            </w:r>
          </w:p>
        </w:tc>
      </w:tr>
      <w:tr w14:paraId="4835C09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5257F94E">
            <w:r>
              <w:rPr>
                <w:rFonts w:ascii="Times New Roman" w:hAnsi="Times New Roman" w:eastAsia="思源黑体" w:cs="Times New Roman"/>
              </w:rPr>
              <w:t>W2</w:t>
            </w:r>
          </w:p>
        </w:tc>
        <w:tc>
          <w:tcPr>
            <w:tcW w:w="1300" w:type="dxa"/>
          </w:tcPr>
          <w:p w14:paraId="455E6664">
            <w:r>
              <w:rPr>
                <w:rFonts w:ascii="Times New Roman" w:hAnsi="Times New Roman" w:eastAsia="思源黑体" w:cs="Times New Roman"/>
              </w:rPr>
              <w:t>10.05—10.11</w:t>
            </w:r>
          </w:p>
        </w:tc>
        <w:tc>
          <w:tcPr>
            <w:tcW w:w="3700" w:type="dxa"/>
          </w:tcPr>
          <w:p w14:paraId="6DDA1956">
            <w:r>
              <w:rPr>
                <w:rFonts w:ascii="Times New Roman" w:hAnsi="Times New Roman" w:eastAsia="思源黑体" w:cs="Times New Roman"/>
              </w:rPr>
              <w:t>数据库表结构设计与评审（含ai_consent、ai_report）；接口文档初稿；Spring Boot工程骨架与统一返回、异常处理</w:t>
            </w:r>
          </w:p>
        </w:tc>
        <w:tc>
          <w:tcPr>
            <w:tcW w:w="1200" w:type="dxa"/>
          </w:tcPr>
          <w:p w14:paraId="42425882">
            <w:r>
              <w:rPr>
                <w:rFonts w:ascii="Times New Roman" w:hAnsi="Times New Roman" w:eastAsia="思源黑体" w:cs="Times New Roman"/>
              </w:rPr>
              <w:t>方文锦</w:t>
            </w:r>
          </w:p>
        </w:tc>
        <w:tc>
          <w:tcPr>
            <w:tcW w:w="2560" w:type="dxa"/>
          </w:tcPr>
          <w:p w14:paraId="4EC71994">
            <w:r>
              <w:rPr>
                <w:rFonts w:ascii="Times New Roman" w:hAnsi="Times New Roman" w:eastAsia="思源黑体" w:cs="Times New Roman"/>
              </w:rPr>
              <w:t>建表SQL、接口文档、后端骨架</w:t>
            </w:r>
          </w:p>
        </w:tc>
      </w:tr>
      <w:tr w14:paraId="0FB3015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60B318D3">
            <w:r>
              <w:rPr>
                <w:rFonts w:ascii="Times New Roman" w:hAnsi="Times New Roman" w:eastAsia="思源黑体" w:cs="Times New Roman"/>
              </w:rPr>
              <w:t>W3</w:t>
            </w:r>
          </w:p>
        </w:tc>
        <w:tc>
          <w:tcPr>
            <w:tcW w:w="1300" w:type="dxa"/>
          </w:tcPr>
          <w:p w14:paraId="4B7E5810">
            <w:r>
              <w:rPr>
                <w:rFonts w:ascii="Times New Roman" w:hAnsi="Times New Roman" w:eastAsia="思源黑体" w:cs="Times New Roman"/>
              </w:rPr>
              <w:t>10.12—10.18</w:t>
            </w:r>
          </w:p>
        </w:tc>
        <w:tc>
          <w:tcPr>
            <w:tcW w:w="3700" w:type="dxa"/>
          </w:tcPr>
          <w:p w14:paraId="29007AFC">
            <w:r>
              <w:rPr>
                <w:rFonts w:ascii="Times New Roman" w:hAnsi="Times New Roman" w:eastAsia="思源黑体" w:cs="Times New Roman"/>
              </w:rPr>
              <w:t>注册登录与鉴权；个人资料与每日能量营养目标；动作库、食物库基础数据维护接口</w:t>
            </w:r>
          </w:p>
        </w:tc>
        <w:tc>
          <w:tcPr>
            <w:tcW w:w="1200" w:type="dxa"/>
          </w:tcPr>
          <w:p w14:paraId="259048BB">
            <w:r>
              <w:rPr>
                <w:rFonts w:ascii="Times New Roman" w:hAnsi="Times New Roman" w:eastAsia="思源黑体" w:cs="Times New Roman"/>
              </w:rPr>
              <w:t>方文锦</w:t>
            </w:r>
          </w:p>
        </w:tc>
        <w:tc>
          <w:tcPr>
            <w:tcW w:w="2560" w:type="dxa"/>
          </w:tcPr>
          <w:p w14:paraId="0C4447C7">
            <w:r>
              <w:rPr>
                <w:rFonts w:ascii="Times New Roman" w:hAnsi="Times New Roman" w:eastAsia="思源黑体" w:cs="Times New Roman"/>
              </w:rPr>
              <w:t>账户与目标接口可用</w:t>
            </w:r>
          </w:p>
        </w:tc>
      </w:tr>
      <w:tr w14:paraId="624E443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5978245A">
            <w:r>
              <w:rPr>
                <w:rFonts w:ascii="Times New Roman" w:hAnsi="Times New Roman" w:eastAsia="思源黑体" w:cs="Times New Roman"/>
              </w:rPr>
              <w:t>W4</w:t>
            </w:r>
          </w:p>
        </w:tc>
        <w:tc>
          <w:tcPr>
            <w:tcW w:w="1300" w:type="dxa"/>
          </w:tcPr>
          <w:p w14:paraId="78E3E153">
            <w:r>
              <w:rPr>
                <w:rFonts w:ascii="Times New Roman" w:hAnsi="Times New Roman" w:eastAsia="思源黑体" w:cs="Times New Roman"/>
              </w:rPr>
              <w:t>10.19—10.25</w:t>
            </w:r>
          </w:p>
        </w:tc>
        <w:tc>
          <w:tcPr>
            <w:tcW w:w="3700" w:type="dxa"/>
          </w:tcPr>
          <w:p w14:paraId="37FAA516">
            <w:r>
              <w:rPr>
                <w:rFonts w:ascii="Times New Roman" w:hAnsi="Times New Roman" w:eastAsia="思源黑体" w:cs="Times New Roman"/>
              </w:rPr>
              <w:t>训练计划与训练记录接口（组数、重量、次数、完成打卡）；饮食录入与营养换算；体重记录按日唯一</w:t>
            </w:r>
          </w:p>
        </w:tc>
        <w:tc>
          <w:tcPr>
            <w:tcW w:w="1200" w:type="dxa"/>
          </w:tcPr>
          <w:p w14:paraId="7A834D2B">
            <w:r>
              <w:rPr>
                <w:rFonts w:ascii="Times New Roman" w:hAnsi="Times New Roman" w:eastAsia="思源黑体" w:cs="Times New Roman"/>
              </w:rPr>
              <w:t>方文锦</w:t>
            </w:r>
          </w:p>
        </w:tc>
        <w:tc>
          <w:tcPr>
            <w:tcW w:w="2560" w:type="dxa"/>
          </w:tcPr>
          <w:p w14:paraId="31779A57">
            <w:r>
              <w:rPr>
                <w:rFonts w:ascii="Times New Roman" w:hAnsi="Times New Roman" w:eastAsia="思源黑体" w:cs="Times New Roman"/>
              </w:rPr>
              <w:t>训练、饮食、体重接口可联调</w:t>
            </w:r>
          </w:p>
        </w:tc>
      </w:tr>
      <w:tr w14:paraId="4A80AA9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54BAF5E7">
            <w:r>
              <w:rPr>
                <w:rFonts w:ascii="Times New Roman" w:hAnsi="Times New Roman" w:eastAsia="思源黑体" w:cs="Times New Roman"/>
              </w:rPr>
              <w:t>W5</w:t>
            </w:r>
          </w:p>
        </w:tc>
        <w:tc>
          <w:tcPr>
            <w:tcW w:w="1300" w:type="dxa"/>
          </w:tcPr>
          <w:p w14:paraId="1AB9DE9B">
            <w:r>
              <w:rPr>
                <w:rFonts w:ascii="Times New Roman" w:hAnsi="Times New Roman" w:eastAsia="思源黑体" w:cs="Times New Roman"/>
              </w:rPr>
              <w:t>10.26—11.01</w:t>
            </w:r>
          </w:p>
        </w:tc>
        <w:tc>
          <w:tcPr>
            <w:tcW w:w="3700" w:type="dxa"/>
          </w:tcPr>
          <w:p w14:paraId="2C26BBAD">
            <w:r>
              <w:rPr>
                <w:rFonts w:ascii="Times New Roman" w:hAnsi="Times New Roman" w:eastAsia="思源黑体" w:cs="Times New Roman"/>
              </w:rPr>
              <w:t>统计接口：训练完成率、每日摄入汇总、体重趋势与七日平均；缺失记录不补零规则落地</w:t>
            </w:r>
          </w:p>
        </w:tc>
        <w:tc>
          <w:tcPr>
            <w:tcW w:w="1200" w:type="dxa"/>
          </w:tcPr>
          <w:p w14:paraId="6C7BB61E">
            <w:r>
              <w:rPr>
                <w:rFonts w:ascii="Times New Roman" w:hAnsi="Times New Roman" w:eastAsia="思源黑体" w:cs="Times New Roman"/>
              </w:rPr>
              <w:t>方文锦</w:t>
            </w:r>
          </w:p>
        </w:tc>
        <w:tc>
          <w:tcPr>
            <w:tcW w:w="2560" w:type="dxa"/>
          </w:tcPr>
          <w:p w14:paraId="73F8A5FD">
            <w:r>
              <w:rPr>
                <w:rFonts w:ascii="Times New Roman" w:hAnsi="Times New Roman" w:eastAsia="思源黑体" w:cs="Times New Roman"/>
              </w:rPr>
              <w:t>统计接口与口径说明</w:t>
            </w:r>
          </w:p>
        </w:tc>
      </w:tr>
      <w:tr w14:paraId="6637F31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60C1322F">
            <w:r>
              <w:rPr>
                <w:rFonts w:ascii="Times New Roman" w:hAnsi="Times New Roman" w:eastAsia="思源黑体" w:cs="Times New Roman"/>
              </w:rPr>
              <w:t>W6</w:t>
            </w:r>
          </w:p>
        </w:tc>
        <w:tc>
          <w:tcPr>
            <w:tcW w:w="1300" w:type="dxa"/>
          </w:tcPr>
          <w:p w14:paraId="573D45D0">
            <w:r>
              <w:rPr>
                <w:rFonts w:ascii="Times New Roman" w:hAnsi="Times New Roman" w:eastAsia="思源黑体" w:cs="Times New Roman"/>
              </w:rPr>
              <w:t>11.02—11.08</w:t>
            </w:r>
          </w:p>
        </w:tc>
        <w:tc>
          <w:tcPr>
            <w:tcW w:w="3700" w:type="dxa"/>
          </w:tcPr>
          <w:p w14:paraId="0B33F21C">
            <w:r>
              <w:rPr>
                <w:rFonts w:ascii="Times New Roman" w:hAnsi="Times New Roman" w:eastAsia="思源黑体" w:cs="Times New Roman"/>
              </w:rPr>
              <w:t>Vue页面联调：登录、设置、训练饮食录入、体重页；ECharts三张图表；后台管理页面</w:t>
            </w:r>
          </w:p>
        </w:tc>
        <w:tc>
          <w:tcPr>
            <w:tcW w:w="1200" w:type="dxa"/>
          </w:tcPr>
          <w:p w14:paraId="436805A6">
            <w:r>
              <w:rPr>
                <w:rFonts w:ascii="Times New Roman" w:hAnsi="Times New Roman" w:eastAsia="思源黑体" w:cs="Times New Roman"/>
              </w:rPr>
              <w:t>陈智杰</w:t>
            </w:r>
          </w:p>
        </w:tc>
        <w:tc>
          <w:tcPr>
            <w:tcW w:w="2560" w:type="dxa"/>
          </w:tcPr>
          <w:p w14:paraId="2250C671">
            <w:r>
              <w:rPr>
                <w:rFonts w:ascii="Times New Roman" w:hAnsi="Times New Roman" w:eastAsia="思源黑体" w:cs="Times New Roman"/>
              </w:rPr>
              <w:t>Web端全流程可用版本</w:t>
            </w:r>
          </w:p>
        </w:tc>
      </w:tr>
      <w:tr w14:paraId="2341680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3D2D300F">
            <w:r>
              <w:rPr>
                <w:rFonts w:ascii="Times New Roman" w:hAnsi="Times New Roman" w:eastAsia="思源黑体" w:cs="Times New Roman"/>
              </w:rPr>
              <w:t>W7</w:t>
            </w:r>
          </w:p>
        </w:tc>
        <w:tc>
          <w:tcPr>
            <w:tcW w:w="1300" w:type="dxa"/>
          </w:tcPr>
          <w:p w14:paraId="734A1D98">
            <w:r>
              <w:rPr>
                <w:rFonts w:ascii="Times New Roman" w:hAnsi="Times New Roman" w:eastAsia="思源黑体" w:cs="Times New Roman"/>
              </w:rPr>
              <w:t>11.09—11.15</w:t>
            </w:r>
          </w:p>
        </w:tc>
        <w:tc>
          <w:tcPr>
            <w:tcW w:w="3700" w:type="dxa"/>
          </w:tcPr>
          <w:p w14:paraId="1D282F44">
            <w:r>
              <w:rPr>
                <w:rFonts w:ascii="Times New Roman" w:hAnsi="Times New Roman" w:eastAsia="思源黑体" w:cs="Times New Roman"/>
              </w:rPr>
              <w:t>授权与撤回、数据汇总服务设计；固定提示模板与JSON摘要格式定义；Ollama部署与Qwen3-4B模型接入验证</w:t>
            </w:r>
          </w:p>
        </w:tc>
        <w:tc>
          <w:tcPr>
            <w:tcW w:w="1200" w:type="dxa"/>
          </w:tcPr>
          <w:p w14:paraId="1234021F">
            <w:r>
              <w:rPr>
                <w:rFonts w:ascii="Times New Roman" w:hAnsi="Times New Roman" w:eastAsia="思源黑体" w:cs="Times New Roman"/>
              </w:rPr>
              <w:t>方文锦</w:t>
            </w:r>
          </w:p>
        </w:tc>
        <w:tc>
          <w:tcPr>
            <w:tcW w:w="2560" w:type="dxa"/>
          </w:tcPr>
          <w:p w14:paraId="5B403F13">
            <w:r>
              <w:rPr>
                <w:rFonts w:ascii="Times New Roman" w:hAnsi="Times New Roman" w:eastAsia="思源黑体" w:cs="Times New Roman"/>
              </w:rPr>
              <w:t>AI服务原型与摘要格式</w:t>
            </w:r>
          </w:p>
        </w:tc>
      </w:tr>
      <w:tr w14:paraId="4452AEB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29FF86F1">
            <w:r>
              <w:rPr>
                <w:rFonts w:ascii="Times New Roman" w:hAnsi="Times New Roman" w:eastAsia="思源黑体" w:cs="Times New Roman"/>
              </w:rPr>
              <w:t>W8</w:t>
            </w:r>
          </w:p>
        </w:tc>
        <w:tc>
          <w:tcPr>
            <w:tcW w:w="1300" w:type="dxa"/>
          </w:tcPr>
          <w:p w14:paraId="60FE1C1F">
            <w:r>
              <w:rPr>
                <w:rFonts w:ascii="Times New Roman" w:hAnsi="Times New Roman" w:eastAsia="思源黑体" w:cs="Times New Roman"/>
              </w:rPr>
              <w:t>11.16—11.22</w:t>
            </w:r>
          </w:p>
        </w:tc>
        <w:tc>
          <w:tcPr>
            <w:tcW w:w="3700" w:type="dxa"/>
          </w:tcPr>
          <w:p w14:paraId="38849A1B">
            <w:r>
              <w:rPr>
                <w:rFonts w:ascii="Times New Roman" w:hAnsi="Times New Roman" w:eastAsia="思源黑体" w:cs="Times New Roman"/>
              </w:rPr>
              <w:t>AI分析接口：生成、查看历史、撤回授权与删除报告；跨账号隔离校验；报告页前端开发</w:t>
            </w:r>
          </w:p>
        </w:tc>
        <w:tc>
          <w:tcPr>
            <w:tcW w:w="1200" w:type="dxa"/>
          </w:tcPr>
          <w:p w14:paraId="33FB32A8">
            <w:r>
              <w:rPr>
                <w:rFonts w:ascii="Times New Roman" w:hAnsi="Times New Roman" w:eastAsia="思源黑体" w:cs="Times New Roman"/>
              </w:rPr>
              <w:t>方文锦、陈智杰</w:t>
            </w:r>
          </w:p>
        </w:tc>
        <w:tc>
          <w:tcPr>
            <w:tcW w:w="2560" w:type="dxa"/>
          </w:tcPr>
          <w:p w14:paraId="43263757">
            <w:r>
              <w:rPr>
                <w:rFonts w:ascii="Times New Roman" w:hAnsi="Times New Roman" w:eastAsia="思源黑体" w:cs="Times New Roman"/>
              </w:rPr>
              <w:t>AI分析接口与报告页</w:t>
            </w:r>
          </w:p>
        </w:tc>
      </w:tr>
      <w:tr w14:paraId="04BAB42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4A518710">
            <w:r>
              <w:rPr>
                <w:rFonts w:ascii="Times New Roman" w:hAnsi="Times New Roman" w:eastAsia="思源黑体" w:cs="Times New Roman"/>
              </w:rPr>
              <w:t>W9</w:t>
            </w:r>
          </w:p>
        </w:tc>
        <w:tc>
          <w:tcPr>
            <w:tcW w:w="1300" w:type="dxa"/>
          </w:tcPr>
          <w:p w14:paraId="3F15D82A">
            <w:r>
              <w:rPr>
                <w:rFonts w:ascii="Times New Roman" w:hAnsi="Times New Roman" w:eastAsia="思源黑体" w:cs="Times New Roman"/>
              </w:rPr>
              <w:t>11.23—11.29</w:t>
            </w:r>
          </w:p>
        </w:tc>
        <w:tc>
          <w:tcPr>
            <w:tcW w:w="3700" w:type="dxa"/>
          </w:tcPr>
          <w:p w14:paraId="75D8B0D3">
            <w:r>
              <w:rPr>
                <w:rFonts w:ascii="Times New Roman" w:hAnsi="Times New Roman" w:eastAsia="思源黑体" w:cs="Times New Roman"/>
              </w:rPr>
              <w:t>模型输出与原始摘要一致性核对；数据不足提示、超时降级与免责声明；报告展示区间、有效天数与生成时间</w:t>
            </w:r>
          </w:p>
        </w:tc>
        <w:tc>
          <w:tcPr>
            <w:tcW w:w="1200" w:type="dxa"/>
          </w:tcPr>
          <w:p w14:paraId="2CA1147C">
            <w:r>
              <w:rPr>
                <w:rFonts w:ascii="Times New Roman" w:hAnsi="Times New Roman" w:eastAsia="思源黑体" w:cs="Times New Roman"/>
              </w:rPr>
              <w:t>陈智杰</w:t>
            </w:r>
          </w:p>
        </w:tc>
        <w:tc>
          <w:tcPr>
            <w:tcW w:w="2560" w:type="dxa"/>
          </w:tcPr>
          <w:p w14:paraId="316CF77A">
            <w:r>
              <w:rPr>
                <w:rFonts w:ascii="Times New Roman" w:hAnsi="Times New Roman" w:eastAsia="思源黑体" w:cs="Times New Roman"/>
              </w:rPr>
              <w:t>AI分析全链路打通</w:t>
            </w:r>
          </w:p>
        </w:tc>
      </w:tr>
      <w:tr w14:paraId="5DCC76D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00CD00FC">
            <w:r>
              <w:rPr>
                <w:rFonts w:ascii="Times New Roman" w:hAnsi="Times New Roman" w:eastAsia="思源黑体" w:cs="Times New Roman"/>
              </w:rPr>
              <w:t>W10</w:t>
            </w:r>
          </w:p>
        </w:tc>
        <w:tc>
          <w:tcPr>
            <w:tcW w:w="1300" w:type="dxa"/>
          </w:tcPr>
          <w:p w14:paraId="17DCD6C8">
            <w:r>
              <w:rPr>
                <w:rFonts w:ascii="Times New Roman" w:hAnsi="Times New Roman" w:eastAsia="思源黑体" w:cs="Times New Roman"/>
              </w:rPr>
              <w:t>11.30—12.06</w:t>
            </w:r>
          </w:p>
        </w:tc>
        <w:tc>
          <w:tcPr>
            <w:tcW w:w="3700" w:type="dxa"/>
          </w:tcPr>
          <w:p w14:paraId="0510DD59">
            <w:r>
              <w:rPr>
                <w:rFonts w:ascii="Times New Roman" w:hAnsi="Times New Roman" w:eastAsia="思源黑体" w:cs="Times New Roman"/>
              </w:rPr>
              <w:t>手机端布局与触控适配；Capacitor工程配置与Android打包；真机安装、登录与主流程验证</w:t>
            </w:r>
          </w:p>
        </w:tc>
        <w:tc>
          <w:tcPr>
            <w:tcW w:w="1200" w:type="dxa"/>
          </w:tcPr>
          <w:p w14:paraId="60E98A09">
            <w:r>
              <w:rPr>
                <w:rFonts w:ascii="Times New Roman" w:hAnsi="Times New Roman" w:eastAsia="思源黑体" w:cs="Times New Roman"/>
              </w:rPr>
              <w:t>陈智杰</w:t>
            </w:r>
          </w:p>
        </w:tc>
        <w:tc>
          <w:tcPr>
            <w:tcW w:w="2560" w:type="dxa"/>
          </w:tcPr>
          <w:p w14:paraId="5E5C29CB">
            <w:r>
              <w:rPr>
                <w:rFonts w:ascii="Times New Roman" w:hAnsi="Times New Roman" w:eastAsia="思源黑体" w:cs="Times New Roman"/>
              </w:rPr>
              <w:t>Android安装包</w:t>
            </w:r>
          </w:p>
        </w:tc>
      </w:tr>
      <w:tr w14:paraId="6499020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0534E1A1">
            <w:r>
              <w:rPr>
                <w:rFonts w:ascii="Times New Roman" w:hAnsi="Times New Roman" w:eastAsia="思源黑体" w:cs="Times New Roman"/>
              </w:rPr>
              <w:t>W11</w:t>
            </w:r>
          </w:p>
        </w:tc>
        <w:tc>
          <w:tcPr>
            <w:tcW w:w="1300" w:type="dxa"/>
          </w:tcPr>
          <w:p w14:paraId="70FA8619">
            <w:r>
              <w:rPr>
                <w:rFonts w:ascii="Times New Roman" w:hAnsi="Times New Roman" w:eastAsia="思源黑体" w:cs="Times New Roman"/>
              </w:rPr>
              <w:t>12.07—12.13</w:t>
            </w:r>
          </w:p>
        </w:tc>
        <w:tc>
          <w:tcPr>
            <w:tcW w:w="3700" w:type="dxa"/>
          </w:tcPr>
          <w:p w14:paraId="09C5A14A">
            <w:r>
              <w:rPr>
                <w:rFonts w:ascii="Times New Roman" w:hAnsi="Times New Roman" w:eastAsia="思源黑体" w:cs="Times New Roman"/>
              </w:rPr>
              <w:t>功能用例执行；跨账号隔离、授权撤回、删除报告验收；隐私与异常提示检查；缺陷复测</w:t>
            </w:r>
          </w:p>
        </w:tc>
        <w:tc>
          <w:tcPr>
            <w:tcW w:w="1200" w:type="dxa"/>
          </w:tcPr>
          <w:p w14:paraId="01FE5FBB">
            <w:r>
              <w:rPr>
                <w:rFonts w:ascii="Times New Roman" w:hAnsi="Times New Roman" w:eastAsia="思源黑体" w:cs="Times New Roman"/>
              </w:rPr>
              <w:t>陈智杰</w:t>
            </w:r>
          </w:p>
        </w:tc>
        <w:tc>
          <w:tcPr>
            <w:tcW w:w="2560" w:type="dxa"/>
          </w:tcPr>
          <w:p w14:paraId="5E12C9BE">
            <w:r>
              <w:rPr>
                <w:rFonts w:ascii="Times New Roman" w:hAnsi="Times New Roman" w:eastAsia="思源黑体" w:cs="Times New Roman"/>
              </w:rPr>
              <w:t>测试报告与缺陷清单</w:t>
            </w:r>
          </w:p>
        </w:tc>
      </w:tr>
      <w:tr w14:paraId="17BD836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4E21E0D5">
            <w:r>
              <w:rPr>
                <w:rFonts w:ascii="Times New Roman" w:hAnsi="Times New Roman" w:eastAsia="思源黑体" w:cs="Times New Roman"/>
              </w:rPr>
              <w:t>W12</w:t>
            </w:r>
          </w:p>
        </w:tc>
        <w:tc>
          <w:tcPr>
            <w:tcW w:w="1300" w:type="dxa"/>
          </w:tcPr>
          <w:p w14:paraId="769BD742">
            <w:r>
              <w:rPr>
                <w:rFonts w:ascii="Times New Roman" w:hAnsi="Times New Roman" w:eastAsia="思源黑体" w:cs="Times New Roman"/>
              </w:rPr>
              <w:t>12.14—12.20</w:t>
            </w:r>
          </w:p>
        </w:tc>
        <w:tc>
          <w:tcPr>
            <w:tcW w:w="3700" w:type="dxa"/>
          </w:tcPr>
          <w:p w14:paraId="4DF5E2CC">
            <w:r>
              <w:rPr>
                <w:rFonts w:ascii="Times New Roman" w:hAnsi="Times New Roman" w:eastAsia="思源黑体" w:cs="Times New Roman"/>
              </w:rPr>
              <w:t>部署与演示环境准备；使用说明与部署文档；答辩PPT与演示脚本；结项材料整理</w:t>
            </w:r>
          </w:p>
        </w:tc>
        <w:tc>
          <w:tcPr>
            <w:tcW w:w="1200" w:type="dxa"/>
          </w:tcPr>
          <w:p w14:paraId="7621515E">
            <w:r>
              <w:rPr>
                <w:rFonts w:ascii="Times New Roman" w:hAnsi="Times New Roman" w:eastAsia="思源黑体" w:cs="Times New Roman"/>
              </w:rPr>
              <w:t>方文锦、陈智杰</w:t>
            </w:r>
          </w:p>
        </w:tc>
        <w:tc>
          <w:tcPr>
            <w:tcW w:w="2560" w:type="dxa"/>
          </w:tcPr>
          <w:p w14:paraId="7106D028">
            <w:r>
              <w:rPr>
                <w:rFonts w:ascii="Times New Roman" w:hAnsi="Times New Roman" w:eastAsia="思源黑体" w:cs="Times New Roman"/>
              </w:rPr>
              <w:t>结项文档与答辩材料</w:t>
            </w:r>
          </w:p>
        </w:tc>
      </w:tr>
    </w:tbl>
    <w:p w14:paraId="3B6CFA92">
      <w:pPr>
        <w:pStyle w:val="3"/>
      </w:pPr>
      <w:r>
        <w:rPr>
          <w:rFonts w:ascii="Times New Roman" w:hAnsi="Times New Roman" w:eastAsia="思源黑体" w:cs="Times New Roman"/>
        </w:rPr>
        <w:t>六、里程碑与交付物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920"/>
        <w:gridCol w:w="1412"/>
        <w:gridCol w:w="2975"/>
        <w:gridCol w:w="2353"/>
      </w:tblGrid>
      <w:tr w14:paraId="2CB5265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</w:tblPrEx>
        <w:tc>
          <w:tcPr>
            <w:tcW w:w="700" w:type="dxa"/>
            <w:shd w:val="clear" w:color="auto" w:fill="D5E8F0"/>
          </w:tcPr>
          <w:p w14:paraId="5FF2F110">
            <w:r>
              <w:rPr>
                <w:rFonts w:ascii="Times New Roman" w:hAnsi="Times New Roman" w:eastAsia="思源黑体" w:cs="Times New Roman"/>
                <w:b/>
                <w:bCs/>
              </w:rPr>
              <w:t>编号</w:t>
            </w:r>
          </w:p>
        </w:tc>
        <w:tc>
          <w:tcPr>
            <w:tcW w:w="1920" w:type="dxa"/>
            <w:shd w:val="clear" w:color="auto" w:fill="D5E8F0"/>
          </w:tcPr>
          <w:p w14:paraId="757EDFFC">
            <w:r>
              <w:rPr>
                <w:rFonts w:ascii="Times New Roman" w:hAnsi="Times New Roman" w:eastAsia="思源黑体" w:cs="Times New Roman"/>
                <w:b/>
                <w:bCs/>
              </w:rPr>
              <w:t>里程碑</w:t>
            </w:r>
          </w:p>
        </w:tc>
        <w:tc>
          <w:tcPr>
            <w:tcW w:w="1412" w:type="dxa"/>
            <w:shd w:val="clear" w:color="auto" w:fill="D5E8F0"/>
          </w:tcPr>
          <w:p w14:paraId="6DDBC3F9">
            <w:r>
              <w:rPr>
                <w:rFonts w:ascii="Times New Roman" w:hAnsi="Times New Roman" w:eastAsia="思源黑体" w:cs="Times New Roman"/>
                <w:b/>
                <w:bCs/>
              </w:rPr>
              <w:t>计划日期</w:t>
            </w:r>
          </w:p>
        </w:tc>
        <w:tc>
          <w:tcPr>
            <w:tcW w:w="2975" w:type="dxa"/>
            <w:shd w:val="clear" w:color="auto" w:fill="D5E8F0"/>
          </w:tcPr>
          <w:p w14:paraId="1644ACBF">
            <w:r>
              <w:rPr>
                <w:rFonts w:ascii="Times New Roman" w:hAnsi="Times New Roman" w:eastAsia="思源黑体" w:cs="Times New Roman"/>
                <w:b/>
                <w:bCs/>
              </w:rPr>
              <w:t>验收要点</w:t>
            </w:r>
          </w:p>
        </w:tc>
        <w:tc>
          <w:tcPr>
            <w:tcW w:w="2353" w:type="dxa"/>
            <w:shd w:val="clear" w:color="auto" w:fill="D5E8F0"/>
          </w:tcPr>
          <w:p w14:paraId="0A618CB1">
            <w:r>
              <w:rPr>
                <w:rFonts w:ascii="Times New Roman" w:hAnsi="Times New Roman" w:eastAsia="思源黑体" w:cs="Times New Roman"/>
                <w:b/>
                <w:bCs/>
              </w:rPr>
              <w:t>交付物</w:t>
            </w:r>
          </w:p>
        </w:tc>
      </w:tr>
      <w:tr w14:paraId="327072B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7ACD96EC">
            <w:r>
              <w:rPr>
                <w:rFonts w:ascii="Times New Roman" w:hAnsi="Times New Roman" w:eastAsia="思源黑体" w:cs="Times New Roman"/>
              </w:rPr>
              <w:t>M1</w:t>
            </w:r>
          </w:p>
        </w:tc>
        <w:tc>
          <w:tcPr>
            <w:tcW w:w="1920" w:type="dxa"/>
          </w:tcPr>
          <w:p w14:paraId="76C9BA6E">
            <w:r>
              <w:rPr>
                <w:rFonts w:ascii="Times New Roman" w:hAnsi="Times New Roman" w:eastAsia="思源黑体" w:cs="Times New Roman"/>
              </w:rPr>
              <w:t>需求与技术方案冻结</w:t>
            </w:r>
          </w:p>
        </w:tc>
        <w:tc>
          <w:tcPr>
            <w:tcW w:w="1412" w:type="dxa"/>
          </w:tcPr>
          <w:p w14:paraId="6207F490">
            <w:r>
              <w:rPr>
                <w:rFonts w:ascii="Times New Roman" w:hAnsi="Times New Roman" w:eastAsia="思源黑体" w:cs="Times New Roman"/>
              </w:rPr>
              <w:t>2026-10-11</w:t>
            </w:r>
          </w:p>
        </w:tc>
        <w:tc>
          <w:tcPr>
            <w:tcW w:w="2975" w:type="dxa"/>
          </w:tcPr>
          <w:p w14:paraId="40348420">
            <w:r>
              <w:rPr>
                <w:rFonts w:ascii="Times New Roman" w:hAnsi="Times New Roman" w:eastAsia="思源黑体" w:cs="Times New Roman"/>
              </w:rPr>
              <w:t>需求范围、表结构、接口清单确认；技术版本锁定</w:t>
            </w:r>
          </w:p>
        </w:tc>
        <w:tc>
          <w:tcPr>
            <w:tcW w:w="2353" w:type="dxa"/>
          </w:tcPr>
          <w:p w14:paraId="4C8B72EB">
            <w:r>
              <w:rPr>
                <w:rFonts w:ascii="Times New Roman" w:hAnsi="Times New Roman" w:eastAsia="思源黑体" w:cs="Times New Roman"/>
              </w:rPr>
              <w:t>需求清单、接口文档、建表SQL</w:t>
            </w:r>
          </w:p>
        </w:tc>
      </w:tr>
      <w:tr w14:paraId="68A0AEC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0D81F1DF">
            <w:r>
              <w:rPr>
                <w:rFonts w:ascii="Times New Roman" w:hAnsi="Times New Roman" w:eastAsia="思源黑体" w:cs="Times New Roman"/>
              </w:rPr>
              <w:t>M2</w:t>
            </w:r>
          </w:p>
        </w:tc>
        <w:tc>
          <w:tcPr>
            <w:tcW w:w="1920" w:type="dxa"/>
          </w:tcPr>
          <w:p w14:paraId="21D970D6">
            <w:r>
              <w:rPr>
                <w:rFonts w:ascii="Times New Roman" w:hAnsi="Times New Roman" w:eastAsia="思源黑体" w:cs="Times New Roman"/>
              </w:rPr>
              <w:t>后端核心接口可联调</w:t>
            </w:r>
          </w:p>
        </w:tc>
        <w:tc>
          <w:tcPr>
            <w:tcW w:w="1412" w:type="dxa"/>
          </w:tcPr>
          <w:p w14:paraId="208D15A6">
            <w:r>
              <w:rPr>
                <w:rFonts w:ascii="Times New Roman" w:hAnsi="Times New Roman" w:eastAsia="思源黑体" w:cs="Times New Roman"/>
              </w:rPr>
              <w:t>2026-10-25</w:t>
            </w:r>
          </w:p>
        </w:tc>
        <w:tc>
          <w:tcPr>
            <w:tcW w:w="2975" w:type="dxa"/>
          </w:tcPr>
          <w:p w14:paraId="0CF31180">
            <w:r>
              <w:rPr>
                <w:rFonts w:ascii="Times New Roman" w:hAnsi="Times New Roman" w:eastAsia="思源黑体" w:cs="Times New Roman"/>
              </w:rPr>
              <w:t>账户、目标、训练、饮食、体重接口返回正确，鉴权生效</w:t>
            </w:r>
          </w:p>
        </w:tc>
        <w:tc>
          <w:tcPr>
            <w:tcW w:w="2353" w:type="dxa"/>
          </w:tcPr>
          <w:p w14:paraId="4169E1CB">
            <w:r>
              <w:rPr>
                <w:rFonts w:ascii="Times New Roman" w:hAnsi="Times New Roman" w:eastAsia="思源黑体" w:cs="Times New Roman"/>
              </w:rPr>
              <w:t>后端服务与接口文档</w:t>
            </w:r>
          </w:p>
        </w:tc>
      </w:tr>
      <w:tr w14:paraId="167D483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31E5CDA7">
            <w:r>
              <w:rPr>
                <w:rFonts w:ascii="Times New Roman" w:hAnsi="Times New Roman" w:eastAsia="思源黑体" w:cs="Times New Roman"/>
              </w:rPr>
              <w:t>M3</w:t>
            </w:r>
          </w:p>
        </w:tc>
        <w:tc>
          <w:tcPr>
            <w:tcW w:w="1920" w:type="dxa"/>
          </w:tcPr>
          <w:p w14:paraId="34F65303">
            <w:r>
              <w:rPr>
                <w:rFonts w:ascii="Times New Roman" w:hAnsi="Times New Roman" w:eastAsia="思源黑体" w:cs="Times New Roman"/>
              </w:rPr>
              <w:t>Web端全流程可用</w:t>
            </w:r>
          </w:p>
        </w:tc>
        <w:tc>
          <w:tcPr>
            <w:tcW w:w="1412" w:type="dxa"/>
          </w:tcPr>
          <w:p w14:paraId="3DC55E8B">
            <w:r>
              <w:rPr>
                <w:rFonts w:ascii="Times New Roman" w:hAnsi="Times New Roman" w:eastAsia="思源黑体" w:cs="Times New Roman"/>
              </w:rPr>
              <w:t>2026-11-08</w:t>
            </w:r>
          </w:p>
        </w:tc>
        <w:tc>
          <w:tcPr>
            <w:tcW w:w="2975" w:type="dxa"/>
          </w:tcPr>
          <w:p w14:paraId="12BD81C8">
            <w:r>
              <w:rPr>
                <w:rFonts w:ascii="Times New Roman" w:hAnsi="Times New Roman" w:eastAsia="思源黑体" w:cs="Times New Roman"/>
              </w:rPr>
              <w:t>计划—记录—统计闭环可走通，图表可切换时间范围</w:t>
            </w:r>
          </w:p>
        </w:tc>
        <w:tc>
          <w:tcPr>
            <w:tcW w:w="2353" w:type="dxa"/>
          </w:tcPr>
          <w:p w14:paraId="50B7F9E8">
            <w:r>
              <w:rPr>
                <w:rFonts w:ascii="Times New Roman" w:hAnsi="Times New Roman" w:eastAsia="思源黑体" w:cs="Times New Roman"/>
              </w:rPr>
              <w:t>Web端可运行版本</w:t>
            </w:r>
          </w:p>
        </w:tc>
      </w:tr>
      <w:tr w14:paraId="4CEEDBE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7A176F7D">
            <w:r>
              <w:rPr>
                <w:rFonts w:ascii="Times New Roman" w:hAnsi="Times New Roman" w:eastAsia="思源黑体" w:cs="Times New Roman"/>
              </w:rPr>
              <w:t>M4</w:t>
            </w:r>
          </w:p>
        </w:tc>
        <w:tc>
          <w:tcPr>
            <w:tcW w:w="1920" w:type="dxa"/>
          </w:tcPr>
          <w:p w14:paraId="630335AE">
            <w:r>
              <w:rPr>
                <w:rFonts w:ascii="Times New Roman" w:hAnsi="Times New Roman" w:eastAsia="思源黑体" w:cs="Times New Roman"/>
              </w:rPr>
              <w:t>AI分析全链路打通</w:t>
            </w:r>
          </w:p>
        </w:tc>
        <w:tc>
          <w:tcPr>
            <w:tcW w:w="1412" w:type="dxa"/>
          </w:tcPr>
          <w:p w14:paraId="722AD8F5">
            <w:r>
              <w:rPr>
                <w:rFonts w:ascii="Times New Roman" w:hAnsi="Times New Roman" w:eastAsia="思源黑体" w:cs="Times New Roman"/>
              </w:rPr>
              <w:t>2026-11-29</w:t>
            </w:r>
          </w:p>
        </w:tc>
        <w:tc>
          <w:tcPr>
            <w:tcW w:w="2975" w:type="dxa"/>
          </w:tcPr>
          <w:p w14:paraId="194CA9D8">
            <w:r>
              <w:rPr>
                <w:rFonts w:ascii="Times New Roman" w:hAnsi="Times New Roman" w:eastAsia="思源黑体" w:cs="Times New Roman"/>
              </w:rPr>
              <w:t>一键分析不需重复输入，报告口径与生成时间正确</w:t>
            </w:r>
          </w:p>
        </w:tc>
        <w:tc>
          <w:tcPr>
            <w:tcW w:w="2353" w:type="dxa"/>
          </w:tcPr>
          <w:p w14:paraId="57354641">
            <w:r>
              <w:rPr>
                <w:rFonts w:ascii="Times New Roman" w:hAnsi="Times New Roman" w:eastAsia="思源黑体" w:cs="Times New Roman"/>
              </w:rPr>
              <w:t>AI分析接口与报告页</w:t>
            </w:r>
          </w:p>
        </w:tc>
      </w:tr>
      <w:tr w14:paraId="0B4E578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3085C319">
            <w:r>
              <w:rPr>
                <w:rFonts w:ascii="Times New Roman" w:hAnsi="Times New Roman" w:eastAsia="思源黑体" w:cs="Times New Roman"/>
              </w:rPr>
              <w:t>M5</w:t>
            </w:r>
          </w:p>
        </w:tc>
        <w:tc>
          <w:tcPr>
            <w:tcW w:w="1920" w:type="dxa"/>
          </w:tcPr>
          <w:p w14:paraId="62C4C868">
            <w:r>
              <w:rPr>
                <w:rFonts w:ascii="Times New Roman" w:hAnsi="Times New Roman" w:eastAsia="思源黑体" w:cs="Times New Roman"/>
              </w:rPr>
              <w:t>Android安装包可用</w:t>
            </w:r>
          </w:p>
        </w:tc>
        <w:tc>
          <w:tcPr>
            <w:tcW w:w="1412" w:type="dxa"/>
          </w:tcPr>
          <w:p w14:paraId="3C14FA29">
            <w:r>
              <w:rPr>
                <w:rFonts w:ascii="Times New Roman" w:hAnsi="Times New Roman" w:eastAsia="思源黑体" w:cs="Times New Roman"/>
              </w:rPr>
              <w:t>2026-12-06</w:t>
            </w:r>
          </w:p>
        </w:tc>
        <w:tc>
          <w:tcPr>
            <w:tcW w:w="2975" w:type="dxa"/>
          </w:tcPr>
          <w:p w14:paraId="55EC535F">
            <w:r>
              <w:rPr>
                <w:rFonts w:ascii="Times New Roman" w:hAnsi="Times New Roman" w:eastAsia="思源黑体" w:cs="Times New Roman"/>
              </w:rPr>
              <w:t>真机可安装、可登录，记录、图表与分析流程可完成</w:t>
            </w:r>
          </w:p>
        </w:tc>
        <w:tc>
          <w:tcPr>
            <w:tcW w:w="2353" w:type="dxa"/>
          </w:tcPr>
          <w:p w14:paraId="51483472">
            <w:r>
              <w:rPr>
                <w:rFonts w:ascii="Times New Roman" w:hAnsi="Times New Roman" w:eastAsia="思源黑体" w:cs="Times New Roman"/>
              </w:rPr>
              <w:t>Android APK</w:t>
            </w:r>
          </w:p>
        </w:tc>
      </w:tr>
      <w:tr w14:paraId="674F50C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572FEF6E">
            <w:r>
              <w:rPr>
                <w:rFonts w:ascii="Times New Roman" w:hAnsi="Times New Roman" w:eastAsia="思源黑体" w:cs="Times New Roman"/>
              </w:rPr>
              <w:t>M6</w:t>
            </w:r>
          </w:p>
        </w:tc>
        <w:tc>
          <w:tcPr>
            <w:tcW w:w="1920" w:type="dxa"/>
          </w:tcPr>
          <w:p w14:paraId="4FEBA8D9">
            <w:r>
              <w:rPr>
                <w:rFonts w:ascii="Times New Roman" w:hAnsi="Times New Roman" w:eastAsia="思源黑体" w:cs="Times New Roman"/>
              </w:rPr>
              <w:t>测试验收通过</w:t>
            </w:r>
          </w:p>
        </w:tc>
        <w:tc>
          <w:tcPr>
            <w:tcW w:w="1412" w:type="dxa"/>
          </w:tcPr>
          <w:p w14:paraId="24F23B1D">
            <w:r>
              <w:rPr>
                <w:rFonts w:ascii="Times New Roman" w:hAnsi="Times New Roman" w:eastAsia="思源黑体" w:cs="Times New Roman"/>
              </w:rPr>
              <w:t>2026-12-13</w:t>
            </w:r>
          </w:p>
        </w:tc>
        <w:tc>
          <w:tcPr>
            <w:tcW w:w="2975" w:type="dxa"/>
          </w:tcPr>
          <w:p w14:paraId="37745205">
            <w:r>
              <w:rPr>
                <w:rFonts w:ascii="Times New Roman" w:hAnsi="Times New Roman" w:eastAsia="思源黑体" w:cs="Times New Roman"/>
              </w:rPr>
              <w:t>用例通过率达标，跨账号隔离与隐私项无遗留缺陷</w:t>
            </w:r>
          </w:p>
        </w:tc>
        <w:tc>
          <w:tcPr>
            <w:tcW w:w="2353" w:type="dxa"/>
          </w:tcPr>
          <w:p w14:paraId="48A4E143">
            <w:r>
              <w:rPr>
                <w:rFonts w:ascii="Times New Roman" w:hAnsi="Times New Roman" w:eastAsia="思源黑体" w:cs="Times New Roman"/>
              </w:rPr>
              <w:t>测试报告、缺陷清单</w:t>
            </w:r>
          </w:p>
        </w:tc>
      </w:tr>
      <w:tr w14:paraId="54C061C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3857DE9C">
            <w:r>
              <w:rPr>
                <w:rFonts w:ascii="Times New Roman" w:hAnsi="Times New Roman" w:eastAsia="思源黑体" w:cs="Times New Roman"/>
              </w:rPr>
              <w:t>M7</w:t>
            </w:r>
          </w:p>
        </w:tc>
        <w:tc>
          <w:tcPr>
            <w:tcW w:w="1920" w:type="dxa"/>
          </w:tcPr>
          <w:p w14:paraId="5687766F">
            <w:r>
              <w:rPr>
                <w:rFonts w:ascii="Times New Roman" w:hAnsi="Times New Roman" w:eastAsia="思源黑体" w:cs="Times New Roman"/>
              </w:rPr>
              <w:t>结项答辩完成</w:t>
            </w:r>
          </w:p>
        </w:tc>
        <w:tc>
          <w:tcPr>
            <w:tcW w:w="1412" w:type="dxa"/>
          </w:tcPr>
          <w:p w14:paraId="65DCBDAD">
            <w:r>
              <w:rPr>
                <w:rFonts w:ascii="Times New Roman" w:hAnsi="Times New Roman" w:eastAsia="思源黑体" w:cs="Times New Roman"/>
              </w:rPr>
              <w:t>2026-12-20</w:t>
            </w:r>
          </w:p>
        </w:tc>
        <w:tc>
          <w:tcPr>
            <w:tcW w:w="2975" w:type="dxa"/>
          </w:tcPr>
          <w:p w14:paraId="7F5C18B1">
            <w:r>
              <w:rPr>
                <w:rFonts w:ascii="Times New Roman" w:hAnsi="Times New Roman" w:eastAsia="思源黑体" w:cs="Times New Roman"/>
              </w:rPr>
              <w:t>文档齐备，演示流程稳定</w:t>
            </w:r>
          </w:p>
        </w:tc>
        <w:tc>
          <w:tcPr>
            <w:tcW w:w="2353" w:type="dxa"/>
          </w:tcPr>
          <w:p w14:paraId="3C480C5A">
            <w:r>
              <w:rPr>
                <w:rFonts w:ascii="Times New Roman" w:hAnsi="Times New Roman" w:eastAsia="思源黑体" w:cs="Times New Roman"/>
              </w:rPr>
              <w:t>结项文档答辩材料</w:t>
            </w:r>
          </w:p>
        </w:tc>
      </w:tr>
    </w:tbl>
    <w:p w14:paraId="388990F9">
      <w:r>
        <w:br w:type="page"/>
      </w:r>
      <w:r>
        <w:rPr>
          <w:rFonts w:hint="eastAsia" w:ascii="Times New Roman" w:hAnsi="Times New Roman" w:eastAsia="思源黑体" w:cs="Times New Roman"/>
          <w:color w:val="0000FF"/>
          <w:sz w:val="36"/>
          <w:szCs w:val="36"/>
        </w:rPr>
        <w:t>七、关键业务规则</w:t>
      </w:r>
      <w:bookmarkStart w:id="0" w:name="_GoBack"/>
      <w:bookmarkEnd w:id="0"/>
    </w:p>
    <w:p w14:paraId="08E307D8">
      <w:r>
        <w:rPr>
          <w:rFonts w:ascii="Times New Roman" w:hAnsi="Times New Roman" w:eastAsia="思源黑体" w:cs="Times New Roman"/>
        </w:rPr>
        <w:t>以下规则为开发与验收的共同口径，实现与测试均以此为准。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17BBC5E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5E8F0"/>
          </w:tcPr>
          <w:p w14:paraId="49A146FD">
            <w:r>
              <w:rPr>
                <w:rFonts w:ascii="Times New Roman" w:hAnsi="Times New Roman" w:eastAsia="思源黑体" w:cs="Times New Roman"/>
                <w:b/>
                <w:bCs/>
              </w:rPr>
              <w:t>领域</w:t>
            </w:r>
          </w:p>
        </w:tc>
        <w:tc>
          <w:tcPr>
            <w:tcW w:w="7560" w:type="dxa"/>
            <w:shd w:val="clear" w:color="auto" w:fill="D5E8F0"/>
          </w:tcPr>
          <w:p w14:paraId="5AAF2113">
            <w:r>
              <w:rPr>
                <w:rFonts w:ascii="Times New Roman" w:hAnsi="Times New Roman" w:eastAsia="思源黑体" w:cs="Times New Roman"/>
                <w:b/>
                <w:bCs/>
              </w:rPr>
              <w:t>规则要点</w:t>
            </w:r>
          </w:p>
        </w:tc>
      </w:tr>
      <w:tr w14:paraId="0FF79B3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2B228D0">
            <w:r>
              <w:rPr>
                <w:rFonts w:ascii="Times New Roman" w:hAnsi="Times New Roman" w:eastAsia="思源黑体" w:cs="Times New Roman"/>
              </w:rPr>
              <w:t>训练计划与记录</w:t>
            </w:r>
          </w:p>
        </w:tc>
        <w:tc>
          <w:tcPr>
            <w:tcW w:w="7560" w:type="dxa"/>
          </w:tcPr>
          <w:p w14:paraId="42267646">
            <w:r>
              <w:rPr>
                <w:rFonts w:ascii="Times New Roman" w:hAnsi="Times New Roman" w:eastAsia="思源黑体" w:cs="Times New Roman"/>
              </w:rPr>
              <w:t>计划描述准备执行内容，记录保存实际完成情况；允许计划与实际组数不同，允许新增临时训练；完成率按区间内标记完成的计划数除以未取消的计划总数计算；无计划时显示“暂无计划”；修改计划不得覆盖已有训练记录</w:t>
            </w:r>
          </w:p>
        </w:tc>
      </w:tr>
      <w:tr w14:paraId="0D2E0A2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D1CDA7D">
            <w:r>
              <w:rPr>
                <w:rFonts w:ascii="Times New Roman" w:hAnsi="Times New Roman" w:eastAsia="思源黑体" w:cs="Times New Roman"/>
              </w:rPr>
              <w:t>饮食换算与口径</w:t>
            </w:r>
          </w:p>
        </w:tc>
        <w:tc>
          <w:tcPr>
            <w:tcW w:w="7560" w:type="dxa"/>
          </w:tcPr>
          <w:p w14:paraId="348CBF7D">
            <w:r>
              <w:rPr>
                <w:rFonts w:ascii="Times New Roman" w:hAnsi="Times New Roman" w:eastAsia="思源黑体" w:cs="Times New Roman"/>
              </w:rPr>
              <w:t>单项摄入量=每100g营养值×实际克重÷100；能量用kcal，蛋白质、碳水、脂肪用g；先保留计算精度再按统一位数显示；食物区分生重、熟重与品牌规格；记录保存营养快照，避免食物库修改影响历史汇总</w:t>
            </w:r>
          </w:p>
        </w:tc>
      </w:tr>
      <w:tr w14:paraId="15A3FB6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4B43B90">
            <w:r>
              <w:rPr>
                <w:rFonts w:ascii="Times New Roman" w:hAnsi="Times New Roman" w:eastAsia="思源黑体" w:cs="Times New Roman"/>
              </w:rPr>
              <w:t>日期与体重统计</w:t>
            </w:r>
          </w:p>
        </w:tc>
        <w:tc>
          <w:tcPr>
            <w:tcW w:w="7560" w:type="dxa"/>
          </w:tcPr>
          <w:p w14:paraId="3A640C87">
            <w:r>
              <w:rPr>
                <w:rFonts w:ascii="Times New Roman" w:hAnsi="Times New Roman" w:eastAsia="思源黑体" w:cs="Times New Roman"/>
              </w:rPr>
              <w:t>按统一业务时区归属每日记录；同一用户同一天只保留一条日体重记录；缺失记录显示为空不补零；七日平均采用区间内有效日记录计算并显示有效天数</w:t>
            </w:r>
          </w:p>
        </w:tc>
      </w:tr>
      <w:tr w14:paraId="01B95FD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3E7A7F9">
            <w:r>
              <w:rPr>
                <w:rFonts w:ascii="Times New Roman" w:hAnsi="Times New Roman" w:eastAsia="思源黑体" w:cs="Times New Roman"/>
              </w:rPr>
              <w:t>AI分析规则</w:t>
            </w:r>
          </w:p>
        </w:tc>
        <w:tc>
          <w:tcPr>
            <w:tcW w:w="7560" w:type="dxa"/>
          </w:tcPr>
          <w:p w14:paraId="23E9BF0A">
            <w:r>
              <w:rPr>
                <w:rFonts w:ascii="Times New Roman" w:hAnsi="Times New Roman" w:eastAsia="思源黑体" w:cs="Times New Roman"/>
              </w:rPr>
              <w:t>默认取最近30天，可切换7天；训练计划数、完成数、实际训练次数、各日营养摄入与目标差异、体重记录与有效天数先按确定规则计算再交模型解释；缺失日期标注“未记录”；无计划时不计算完成率；模型数值与原始摘要核对不一致时不展示为确定结论</w:t>
            </w:r>
          </w:p>
        </w:tc>
      </w:tr>
      <w:tr w14:paraId="252E933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BC81AC7">
            <w:r>
              <w:rPr>
                <w:rFonts w:ascii="Times New Roman" w:hAnsi="Times New Roman" w:eastAsia="思源黑体" w:cs="Times New Roman"/>
              </w:rPr>
              <w:t>隐私与安全</w:t>
            </w:r>
          </w:p>
        </w:tc>
        <w:tc>
          <w:tcPr>
            <w:tcW w:w="7560" w:type="dxa"/>
          </w:tcPr>
          <w:p w14:paraId="5F9682D9">
            <w:r>
              <w:rPr>
                <w:rFonts w:ascii="Times New Roman" w:hAnsi="Times New Roman" w:eastAsia="思源黑体" w:cs="Times New Roman"/>
              </w:rPr>
              <w:t>只发送分析所需字段，避免传送姓名、手机号等身份信息；登录鉴权与用户归属校验在后端完成；接口走HTTPS；AI服务不拥有数据库直连权限；报告可删除，授权可撤回</w:t>
            </w:r>
          </w:p>
        </w:tc>
      </w:tr>
      <w:tr w14:paraId="7EFE692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CC949B4">
            <w:r>
              <w:rPr>
                <w:rFonts w:ascii="Times New Roman" w:hAnsi="Times New Roman" w:eastAsia="思源黑体" w:cs="Times New Roman"/>
              </w:rPr>
              <w:t>数据与事务</w:t>
            </w:r>
          </w:p>
        </w:tc>
        <w:tc>
          <w:tcPr>
            <w:tcW w:w="7560" w:type="dxa"/>
          </w:tcPr>
          <w:p w14:paraId="49A36500">
            <w:r>
              <w:rPr>
                <w:rFonts w:ascii="Times New Roman" w:hAnsi="Times New Roman" w:eastAsia="思源黑体" w:cs="Times New Roman"/>
              </w:rPr>
              <w:t>所有私有记录、授权及报告均按user_id归属；常用日期查询建立联合索引；涉及多表写入时使用事务</w:t>
            </w:r>
          </w:p>
        </w:tc>
      </w:tr>
    </w:tbl>
    <w:p w14:paraId="0594C21E">
      <w:pPr>
        <w:pStyle w:val="3"/>
      </w:pPr>
      <w:r>
        <w:rPr>
          <w:rFonts w:ascii="Times New Roman" w:hAnsi="Times New Roman" w:eastAsia="思源黑体" w:cs="Times New Roman"/>
        </w:rPr>
        <w:t>八、质量与验收计划</w:t>
      </w:r>
    </w:p>
    <w:p w14:paraId="5E5D0592">
      <w:r>
        <w:rPr>
          <w:rFonts w:ascii="Times New Roman" w:hAnsi="Times New Roman" w:eastAsia="思源黑体" w:cs="Times New Roman"/>
        </w:rPr>
        <w:t>测试与验收集中在第10—11周，但缺陷记录从第3周起随开发同步进行。验收按模块逐项核对，重点覆盖数据口径、跨账号隔离与隐私。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7360"/>
      </w:tblGrid>
      <w:tr w14:paraId="25E7ABA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D5E8F0"/>
          </w:tcPr>
          <w:p w14:paraId="12178A18">
            <w:r>
              <w:rPr>
                <w:rFonts w:ascii="Times New Roman" w:hAnsi="Times New Roman" w:eastAsia="思源黑体" w:cs="Times New Roman"/>
                <w:b/>
                <w:bCs/>
              </w:rPr>
              <w:t>模块</w:t>
            </w:r>
          </w:p>
        </w:tc>
        <w:tc>
          <w:tcPr>
            <w:tcW w:w="7360" w:type="dxa"/>
            <w:shd w:val="clear" w:color="auto" w:fill="D5E8F0"/>
          </w:tcPr>
          <w:p w14:paraId="72F98A9E">
            <w:r>
              <w:rPr>
                <w:rFonts w:ascii="Times New Roman" w:hAnsi="Times New Roman" w:eastAsia="思源黑体" w:cs="Times New Roman"/>
                <w:b/>
                <w:bCs/>
              </w:rPr>
              <w:t>验收依据</w:t>
            </w:r>
          </w:p>
        </w:tc>
      </w:tr>
      <w:tr w14:paraId="222FBFF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3DE080C7">
            <w:r>
              <w:rPr>
                <w:rFonts w:ascii="Times New Roman" w:hAnsi="Times New Roman" w:eastAsia="思源黑体" w:cs="Times New Roman"/>
              </w:rPr>
              <w:t>账户与目标</w:t>
            </w:r>
          </w:p>
        </w:tc>
        <w:tc>
          <w:tcPr>
            <w:tcW w:w="7360" w:type="dxa"/>
          </w:tcPr>
          <w:p w14:paraId="0E5CCEDA">
            <w:r>
              <w:rPr>
                <w:rFonts w:ascii="Times New Roman" w:hAnsi="Times New Roman" w:eastAsia="思源黑体" w:cs="Times New Roman"/>
              </w:rPr>
              <w:t>登录有效，修改后重新查询一致</w:t>
            </w:r>
          </w:p>
        </w:tc>
      </w:tr>
      <w:tr w14:paraId="48D54B5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075D6A22">
            <w:r>
              <w:rPr>
                <w:rFonts w:ascii="Times New Roman" w:hAnsi="Times New Roman" w:eastAsia="思源黑体" w:cs="Times New Roman"/>
              </w:rPr>
              <w:t>训练管理</w:t>
            </w:r>
          </w:p>
        </w:tc>
        <w:tc>
          <w:tcPr>
            <w:tcW w:w="7360" w:type="dxa"/>
          </w:tcPr>
          <w:p w14:paraId="3F66E07F">
            <w:r>
              <w:rPr>
                <w:rFonts w:ascii="Times New Roman" w:hAnsi="Times New Roman" w:eastAsia="思源黑体" w:cs="Times New Roman"/>
              </w:rPr>
              <w:t>完成与未完成状态明确，历史可查询</w:t>
            </w:r>
          </w:p>
        </w:tc>
      </w:tr>
      <w:tr w14:paraId="11DB977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38761F3D">
            <w:r>
              <w:rPr>
                <w:rFonts w:ascii="Times New Roman" w:hAnsi="Times New Roman" w:eastAsia="思源黑体" w:cs="Times New Roman"/>
              </w:rPr>
              <w:t>饮食管理</w:t>
            </w:r>
          </w:p>
        </w:tc>
        <w:tc>
          <w:tcPr>
            <w:tcW w:w="7360" w:type="dxa"/>
          </w:tcPr>
          <w:p w14:paraId="3BAF2761">
            <w:r>
              <w:rPr>
                <w:rFonts w:ascii="Times New Roman" w:hAnsi="Times New Roman" w:eastAsia="思源黑体" w:cs="Times New Roman"/>
              </w:rPr>
              <w:t>新增、修改、删除后汇总同步更新</w:t>
            </w:r>
          </w:p>
        </w:tc>
      </w:tr>
      <w:tr w14:paraId="4EC9433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32EABD3B">
            <w:r>
              <w:rPr>
                <w:rFonts w:ascii="Times New Roman" w:hAnsi="Times New Roman" w:eastAsia="思源黑体" w:cs="Times New Roman"/>
              </w:rPr>
              <w:t>身体数据</w:t>
            </w:r>
          </w:p>
        </w:tc>
        <w:tc>
          <w:tcPr>
            <w:tcW w:w="7360" w:type="dxa"/>
          </w:tcPr>
          <w:p w14:paraId="265D595F">
            <w:r>
              <w:rPr>
                <w:rFonts w:ascii="Times New Roman" w:hAnsi="Times New Roman" w:eastAsia="思源黑体" w:cs="Times New Roman"/>
              </w:rPr>
              <w:t>同日体重按统一规则更新</w:t>
            </w:r>
          </w:p>
        </w:tc>
      </w:tr>
      <w:tr w14:paraId="1761D09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696D407A">
            <w:r>
              <w:rPr>
                <w:rFonts w:ascii="Times New Roman" w:hAnsi="Times New Roman" w:eastAsia="思源黑体" w:cs="Times New Roman"/>
              </w:rPr>
              <w:t>统计分析</w:t>
            </w:r>
          </w:p>
        </w:tc>
        <w:tc>
          <w:tcPr>
            <w:tcW w:w="7360" w:type="dxa"/>
          </w:tcPr>
          <w:p w14:paraId="40462FE8">
            <w:r>
              <w:rPr>
                <w:rFonts w:ascii="Times New Roman" w:hAnsi="Times New Roman" w:eastAsia="思源黑体" w:cs="Times New Roman"/>
              </w:rPr>
              <w:t>可切换时间范围，缺失记录不冒充零值</w:t>
            </w:r>
          </w:p>
        </w:tc>
      </w:tr>
      <w:tr w14:paraId="0ABF139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67815092">
            <w:r>
              <w:rPr>
                <w:rFonts w:ascii="Times New Roman" w:hAnsi="Times New Roman" w:eastAsia="思源黑体" w:cs="Times New Roman"/>
              </w:rPr>
              <w:t>后台管理</w:t>
            </w:r>
          </w:p>
        </w:tc>
        <w:tc>
          <w:tcPr>
            <w:tcW w:w="7360" w:type="dxa"/>
          </w:tcPr>
          <w:p w14:paraId="193D620A">
            <w:r>
              <w:rPr>
                <w:rFonts w:ascii="Times New Roman" w:hAnsi="Times New Roman" w:eastAsia="思源黑体" w:cs="Times New Roman"/>
              </w:rPr>
              <w:t>普通用户无法调用管理接口</w:t>
            </w:r>
          </w:p>
        </w:tc>
      </w:tr>
      <w:tr w14:paraId="7D5A33C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4AC00398">
            <w:r>
              <w:rPr>
                <w:rFonts w:ascii="Times New Roman" w:hAnsi="Times New Roman" w:eastAsia="思源黑体" w:cs="Times New Roman"/>
              </w:rPr>
              <w:t>AI健身分析</w:t>
            </w:r>
          </w:p>
        </w:tc>
        <w:tc>
          <w:tcPr>
            <w:tcW w:w="7360" w:type="dxa"/>
          </w:tcPr>
          <w:p w14:paraId="4DEC1146">
            <w:r>
              <w:rPr>
                <w:rFonts w:ascii="Times New Roman" w:hAnsi="Times New Roman" w:eastAsia="思源黑体" w:cs="Times New Roman"/>
              </w:rPr>
              <w:t>不需重新填写已有数据；显示统计口径、数据不足提示与生成时间；只分析本人数据</w:t>
            </w:r>
          </w:p>
        </w:tc>
      </w:tr>
      <w:tr w14:paraId="5B7D243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2411A4E0">
            <w:r>
              <w:rPr>
                <w:rFonts w:ascii="Times New Roman" w:hAnsi="Times New Roman" w:eastAsia="思源黑体" w:cs="Times New Roman"/>
              </w:rPr>
              <w:t>移动端App</w:t>
            </w:r>
          </w:p>
        </w:tc>
        <w:tc>
          <w:tcPr>
            <w:tcW w:w="7360" w:type="dxa"/>
          </w:tcPr>
          <w:p w14:paraId="3BD0E219">
            <w:r>
              <w:rPr>
                <w:rFonts w:ascii="Times New Roman" w:hAnsi="Times New Roman" w:eastAsia="思源黑体" w:cs="Times New Roman"/>
              </w:rPr>
              <w:t>可安装和登录；原有记录与图表流程可在手机上完成</w:t>
            </w:r>
          </w:p>
        </w:tc>
      </w:tr>
    </w:tbl>
    <w:p w14:paraId="46C0F114">
      <w:r>
        <w:rPr>
          <w:rFonts w:ascii="Times New Roman" w:hAnsi="Times New Roman" w:eastAsia="思源黑体" w:cs="Times New Roman"/>
        </w:rPr>
        <w:t>代码与协作要求：所有变更经GitHub提交与合并，接口变更同步更新接口文档；每周固定一次进度对齐，核对当周交付物与下周任务。</w:t>
      </w:r>
    </w:p>
    <w:p w14:paraId="040C71FD">
      <w:pPr>
        <w:pStyle w:val="3"/>
      </w:pPr>
      <w:r>
        <w:rPr>
          <w:rFonts w:ascii="Times New Roman" w:hAnsi="Times New Roman" w:eastAsia="思源黑体" w:cs="Times New Roman"/>
        </w:rPr>
        <w:t>九、风险与应对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2400"/>
        <w:gridCol w:w="4160"/>
      </w:tblGrid>
      <w:tr w14:paraId="75F0CBF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shd w:val="clear" w:color="auto" w:fill="D5E8F0"/>
          </w:tcPr>
          <w:p w14:paraId="2A81312A">
            <w:r>
              <w:rPr>
                <w:rFonts w:ascii="Times New Roman" w:hAnsi="Times New Roman" w:eastAsia="思源黑体" w:cs="Times New Roman"/>
                <w:b/>
                <w:bCs/>
              </w:rPr>
              <w:t>风险</w:t>
            </w:r>
          </w:p>
        </w:tc>
        <w:tc>
          <w:tcPr>
            <w:tcW w:w="2400" w:type="dxa"/>
            <w:shd w:val="clear" w:color="auto" w:fill="D5E8F0"/>
          </w:tcPr>
          <w:p w14:paraId="3828AE9F">
            <w:r>
              <w:rPr>
                <w:rFonts w:ascii="Times New Roman" w:hAnsi="Times New Roman" w:eastAsia="思源黑体" w:cs="Times New Roman"/>
                <w:b/>
                <w:bCs/>
              </w:rPr>
              <w:t>影响</w:t>
            </w:r>
          </w:p>
        </w:tc>
        <w:tc>
          <w:tcPr>
            <w:tcW w:w="4160" w:type="dxa"/>
            <w:shd w:val="clear" w:color="auto" w:fill="D5E8F0"/>
          </w:tcPr>
          <w:p w14:paraId="6CEFAA97">
            <w:r>
              <w:rPr>
                <w:rFonts w:ascii="Times New Roman" w:hAnsi="Times New Roman" w:eastAsia="思源黑体" w:cs="Times New Roman"/>
                <w:b/>
                <w:bCs/>
              </w:rPr>
              <w:t>应对措施</w:t>
            </w:r>
          </w:p>
        </w:tc>
      </w:tr>
      <w:tr w14:paraId="6695FA7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51A6E5D1">
            <w:r>
              <w:rPr>
                <w:rFonts w:ascii="Times New Roman" w:hAnsi="Times New Roman" w:eastAsia="思源黑体" w:cs="Times New Roman"/>
              </w:rPr>
              <w:t>本地模型部署或推理耗时超出预期</w:t>
            </w:r>
          </w:p>
        </w:tc>
        <w:tc>
          <w:tcPr>
            <w:tcW w:w="2400" w:type="dxa"/>
          </w:tcPr>
          <w:p w14:paraId="20FAED72">
            <w:r>
              <w:rPr>
                <w:rFonts w:ascii="Times New Roman" w:hAnsi="Times New Roman" w:eastAsia="思源黑体" w:cs="Times New Roman"/>
              </w:rPr>
              <w:t>AI分析页无法按时打通</w:t>
            </w:r>
          </w:p>
        </w:tc>
        <w:tc>
          <w:tcPr>
            <w:tcW w:w="4160" w:type="dxa"/>
          </w:tcPr>
          <w:p w14:paraId="38E9E073">
            <w:r>
              <w:rPr>
                <w:rFonts w:ascii="Times New Roman" w:hAnsi="Times New Roman" w:eastAsia="思源黑体" w:cs="Times New Roman"/>
              </w:rPr>
              <w:t>第7周先做模型接入验证；设置输入输出长度限制与超时降级，模型不可用时保留原始统计并提示稍后重试</w:t>
            </w:r>
          </w:p>
        </w:tc>
      </w:tr>
      <w:tr w14:paraId="3B1484C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4020ACC7">
            <w:r>
              <w:rPr>
                <w:rFonts w:ascii="Times New Roman" w:hAnsi="Times New Roman" w:eastAsia="思源黑体" w:cs="Times New Roman"/>
              </w:rPr>
              <w:t>Capacitor打包或真机环境问题</w:t>
            </w:r>
          </w:p>
        </w:tc>
        <w:tc>
          <w:tcPr>
            <w:tcW w:w="2400" w:type="dxa"/>
          </w:tcPr>
          <w:p w14:paraId="5D9C764D">
            <w:r>
              <w:rPr>
                <w:rFonts w:ascii="Times New Roman" w:hAnsi="Times New Roman" w:eastAsia="思源黑体" w:cs="Times New Roman"/>
              </w:rPr>
              <w:t>Android安装包交付延迟</w:t>
            </w:r>
          </w:p>
        </w:tc>
        <w:tc>
          <w:tcPr>
            <w:tcW w:w="4160" w:type="dxa"/>
          </w:tcPr>
          <w:p w14:paraId="092C6742">
            <w:r>
              <w:rPr>
                <w:rFonts w:ascii="Times New Roman" w:hAnsi="Times New Roman" w:eastAsia="思源黑体" w:cs="Times New Roman"/>
              </w:rPr>
              <w:t>第8周提前搭建打包环境并出空壳包验证；预留第10周缓冲；iOS不作为本次交付目标</w:t>
            </w:r>
          </w:p>
        </w:tc>
      </w:tr>
      <w:tr w14:paraId="327F8DD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18E75FF1">
            <w:r>
              <w:rPr>
                <w:rFonts w:ascii="Times New Roman" w:hAnsi="Times New Roman" w:eastAsia="思源黑体" w:cs="Times New Roman"/>
              </w:rPr>
              <w:t>营养数据与食物库录入工作量偏大</w:t>
            </w:r>
          </w:p>
        </w:tc>
        <w:tc>
          <w:tcPr>
            <w:tcW w:w="2400" w:type="dxa"/>
          </w:tcPr>
          <w:p w14:paraId="15CE8180">
            <w:r>
              <w:rPr>
                <w:rFonts w:ascii="Times New Roman" w:hAnsi="Times New Roman" w:eastAsia="思源黑体" w:cs="Times New Roman"/>
              </w:rPr>
              <w:t>饮食模块与统计口径验证不足</w:t>
            </w:r>
          </w:p>
        </w:tc>
        <w:tc>
          <w:tcPr>
            <w:tcW w:w="4160" w:type="dxa"/>
          </w:tcPr>
          <w:p w14:paraId="63C7E822">
            <w:r>
              <w:rPr>
                <w:rFonts w:ascii="Times New Roman" w:hAnsi="Times New Roman" w:eastAsia="思源黑体" w:cs="Times New Roman"/>
              </w:rPr>
              <w:t>优先录入常用食物，按每100g标注来源与生熟状态；用营养快照隔离后续修改</w:t>
            </w:r>
          </w:p>
        </w:tc>
      </w:tr>
      <w:tr w14:paraId="7CCC367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5C58D9CC">
            <w:r>
              <w:rPr>
                <w:rFonts w:ascii="Times New Roman" w:hAnsi="Times New Roman" w:eastAsia="思源黑体" w:cs="Times New Roman"/>
              </w:rPr>
              <w:t>两周并行任务导致人力冲突</w:t>
            </w:r>
          </w:p>
        </w:tc>
        <w:tc>
          <w:tcPr>
            <w:tcW w:w="2400" w:type="dxa"/>
          </w:tcPr>
          <w:p w14:paraId="79A8FF7B">
            <w:r>
              <w:rPr>
                <w:rFonts w:ascii="Times New Roman" w:hAnsi="Times New Roman" w:eastAsia="思源黑体" w:cs="Times New Roman"/>
              </w:rPr>
              <w:t>AI与移动端进度相互影响</w:t>
            </w:r>
          </w:p>
        </w:tc>
        <w:tc>
          <w:tcPr>
            <w:tcW w:w="4160" w:type="dxa"/>
          </w:tcPr>
          <w:p w14:paraId="5B022205">
            <w:r>
              <w:rPr>
                <w:rFonts w:ascii="Times New Roman" w:hAnsi="Times New Roman" w:eastAsia="思源黑体" w:cs="Times New Roman"/>
              </w:rPr>
              <w:t>后端与前端任务错峰排布，第8周起明确双方并行任务清单，每周对齐阻塞项</w:t>
            </w:r>
          </w:p>
        </w:tc>
      </w:tr>
      <w:tr w14:paraId="11D5F0B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376F6E7F">
            <w:r>
              <w:rPr>
                <w:rFonts w:ascii="Times New Roman" w:hAnsi="Times New Roman" w:eastAsia="思源黑体" w:cs="Times New Roman"/>
              </w:rPr>
              <w:t>统计口径与AI输出不一致</w:t>
            </w:r>
          </w:p>
        </w:tc>
        <w:tc>
          <w:tcPr>
            <w:tcW w:w="2400" w:type="dxa"/>
          </w:tcPr>
          <w:p w14:paraId="40F91DFE">
            <w:r>
              <w:rPr>
                <w:rFonts w:ascii="Times New Roman" w:hAnsi="Times New Roman" w:eastAsia="思源黑体" w:cs="Times New Roman"/>
              </w:rPr>
              <w:t>报告结论失真，验收不通过</w:t>
            </w:r>
          </w:p>
        </w:tc>
        <w:tc>
          <w:tcPr>
            <w:tcW w:w="4160" w:type="dxa"/>
          </w:tcPr>
          <w:p w14:paraId="534CD901">
            <w:r>
              <w:rPr>
                <w:rFonts w:ascii="Times New Roman" w:hAnsi="Times New Roman" w:eastAsia="思源黑体" w:cs="Times New Roman"/>
              </w:rPr>
              <w:t>先确定规则计算再交模型解释，报告页强制显示区间、有效天数与生成时间，数值不一致时不作为确定结论</w:t>
            </w:r>
          </w:p>
        </w:tc>
      </w:tr>
      <w:tr w14:paraId="5DE1555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42341188">
            <w:r>
              <w:rPr>
                <w:rFonts w:ascii="Times New Roman" w:hAnsi="Times New Roman" w:eastAsia="思源黑体" w:cs="Times New Roman"/>
              </w:rPr>
              <w:t>跨账号数据隔离缺陷</w:t>
            </w:r>
          </w:p>
        </w:tc>
        <w:tc>
          <w:tcPr>
            <w:tcW w:w="2400" w:type="dxa"/>
          </w:tcPr>
          <w:p w14:paraId="22A9FDE3">
            <w:r>
              <w:rPr>
                <w:rFonts w:ascii="Times New Roman" w:hAnsi="Times New Roman" w:eastAsia="思源黑体" w:cs="Times New Roman"/>
              </w:rPr>
              <w:t>隐私验收不通过</w:t>
            </w:r>
          </w:p>
        </w:tc>
        <w:tc>
          <w:tcPr>
            <w:tcW w:w="4160" w:type="dxa"/>
          </w:tcPr>
          <w:p w14:paraId="62B29345">
            <w:r>
              <w:rPr>
                <w:rFonts w:ascii="Times New Roman" w:hAnsi="Times New Roman" w:eastAsia="思源黑体" w:cs="Times New Roman"/>
              </w:rPr>
              <w:t>所有查询强制携带当前登录用户身份；测试阶段专门设计跨账号访问用例</w:t>
            </w:r>
          </w:p>
        </w:tc>
      </w:tr>
    </w:tbl>
    <w:p w14:paraId="7E42BB26">
      <w:pPr>
        <w:pStyle w:val="3"/>
      </w:pPr>
      <w:r>
        <w:rPr>
          <w:rFonts w:ascii="Times New Roman" w:hAnsi="Times New Roman" w:eastAsia="思源黑体" w:cs="Times New Roman"/>
        </w:rPr>
        <w:t>十、沟通与协作机制</w:t>
      </w:r>
    </w:p>
    <w:p w14:paraId="35427F85">
      <w:pPr>
        <w:pStyle w:val="16"/>
      </w:pPr>
      <w:r>
        <w:rPr>
          <w:rFonts w:ascii="Times New Roman" w:hAnsi="Times New Roman" w:eastAsia="思源黑体" w:cs="Times New Roman"/>
        </w:rPr>
        <w:t>每周一次进度对齐，核对当周交付物完成情况、阻塞项与下周任务，形成简短记录。</w:t>
      </w:r>
    </w:p>
    <w:p w14:paraId="56CF5984">
      <w:pPr>
        <w:pStyle w:val="16"/>
      </w:pPr>
      <w:r>
        <w:rPr>
          <w:rFonts w:ascii="Times New Roman" w:hAnsi="Times New Roman" w:eastAsia="思源黑体" w:cs="Times New Roman"/>
        </w:rPr>
        <w:t>代码统一托管至GitHub，按功能分支开发，合并前自测通过并经对方确认。</w:t>
      </w:r>
    </w:p>
    <w:p w14:paraId="3D011A3F">
      <w:pPr>
        <w:pStyle w:val="16"/>
      </w:pPr>
      <w:r>
        <w:rPr>
          <w:rFonts w:ascii="Times New Roman" w:hAnsi="Times New Roman" w:eastAsia="思源黑体" w:cs="Times New Roman"/>
        </w:rPr>
        <w:t>接口、表结构与统计口径的变更须同步更新文档，避免前后端理解偏差。</w:t>
      </w:r>
    </w:p>
    <w:p w14:paraId="2B83EB1F">
      <w:pPr>
        <w:pStyle w:val="16"/>
      </w:pPr>
      <w:r>
        <w:rPr>
          <w:rFonts w:ascii="Times New Roman" w:hAnsi="Times New Roman" w:eastAsia="思源黑体" w:cs="Times New Roman"/>
        </w:rPr>
        <w:t>缺陷统一登记并跟踪至复测通过，验收前清空阻塞级与严重级缺陷。</w:t>
      </w:r>
    </w:p>
    <w:p w14:paraId="3B65FA64">
      <w:pPr>
        <w:pStyle w:val="16"/>
      </w:pPr>
      <w:r>
        <w:rPr>
          <w:rFonts w:ascii="Times New Roman" w:hAnsi="Times New Roman" w:eastAsia="思源黑体" w:cs="Times New Roman"/>
        </w:rPr>
        <w:t>里程碑到达时对照本计划书核对交付物，未完成项明确顺延安排与责任人。</w:t>
      </w:r>
    </w:p>
    <w:p w14:paraId="083A7520">
      <w:r>
        <w:rPr>
          <w:rFonts w:ascii="Times New Roman" w:hAnsi="Times New Roman" w:eastAsia="思源黑体" w:cs="Times New Roman"/>
        </w:rPr>
        <w:t>本计划书为小组内部执行依据，随项目进展按需修订，修订后同步更新里程碑日期与交付物清单。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思源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71B64">
    <w:pPr>
      <w:pStyle w:val="24"/>
    </w:pPr>
    <w:r>
      <w:rPr>
        <w:rFonts w:ascii="Times New Roman" w:hAnsi="Times New Roman" w:eastAsia="思源黑体" w:cs="Times New Roman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思源黑体" w:cs="Times New Roma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A43E94"/>
    <w:rsid w:val="4D03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思源黑体" w:cs="Times New Roman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32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3932</Words>
  <Characters>4699</Characters>
  <Lines>0</Lines>
  <Paragraphs>0</Paragraphs>
  <TotalTime>3</TotalTime>
  <ScaleCrop>false</ScaleCrop>
  <LinksUpToDate>false</LinksUpToDate>
  <CharactersWithSpaces>4727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方wj</cp:lastModifiedBy>
  <dcterms:modified xsi:type="dcterms:W3CDTF">2026-09-27T11:33:19Z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{"Label":"1","ContentProducer":"001191440300708461136T1WFUO","ProduceID":"c6c42351fe06f8f62513a549235ed445-5TAU","ReservedCode1":"{\"Type\":\" TC260PG\",\"Version\":1,\"Bindings\":[{\"Type\":\"soft\",\"AlgID\":\"sm3\",\"Value\":\"c289d6356ddc40e43b3f2171686933dfc599314c57eb1ca86b2d163f5ff424b7\"},{\"Type\":\"hash\",\"AlgID\":\"sm3\",\"Value\":\"1252aee3809651143370df10ec1e946fe58119914c0c444812b2f18f257ba7e2\"}],\"PubSD\":[{\"Type\":\"DS\",\"AlgID\":\"sm2\",\"TBSData\":{\"Type\":\"Binding\",\"BType\":\"hash\"},\"Signature\":\"3046022100d41b701bbed7480b69ca0f3c0847ab0be3a1ac6b26184f6e4601547b35bb8130022100fa8c1b70349d66d2661c1ec7c406c08c54ad893ffcdeceaef51699a015612218\"},{\"Type\":\"PubKey\",\"AlgID\":\"sm2\",\"KeyValue\":\"0407f79b28a17a752b3aae4305c98b48978213832729a2571850b1310b2bc9fe8fee039ccf25ebfeac27502414d9fcef792d777183c98893d226171c2f7a3289a2\"}],\"Extension\":{\"Timestamp\":1790507764,\"KeyVersion\":\"v1-TxLeOmf7bqU223\"}}","ContentPropagator":"001191440300708461136T1WFUO","PropagateID":"c6c42351fe06f8f62513a549235ed445-5TAU","ReservedCode2":"{\"Type\":\" TC260PG\",\"Version\":1,\"Bindings\":[{\"Type\":\"soft\",\"AlgID\":\"sm3\",\"Value\":\"c289d6356ddc40e43b3f2171686933dfc599314c57eb1ca86b2d163f5ff424b7\"},{\"Type\":\"hash\",\"AlgID\":\"sm3\",\"Value\":\"1252aee3809651143370df10ec1e946fe58119914c0c444812b2f18f257ba7e2\"}],\"PubSD\":[{\"Type\":\"DS\",\"AlgID\":\"sm2\",\"TBSData\":{\"Type\":\"Binding\",\"BType\":\"hash\"},\"Signature\":\"30440220189e6f244b1b0c7f99a831e94809724b548de32c798b1bfbb35a4748cc01d16d02200ea72a0255078e659c7b89a7be21f32ce11df4f0432e824ba7dfd6403a9d07bb\"},{\"Type\":\"PubKey\",\"AlgID\":\"sm2\",\"KeyValue\":\"0407f79b28a17a752b3aae4305c98b48978213832729a2571850b1310b2bc9fe8fee039ccf25ebfeac27502414d9fcef792d777183c98893d226171c2f7a3289a2\"}],\"Extension\":{\"Timestamp\":1790507764,\"KeyVersion\":\"v1-TxLeOmf7bqU223\"}}"}</vt:lpwstr>
  </property>
  <property fmtid="{D5CDD505-2E9C-101B-9397-08002B2CF9AE}" pid="3" name="KSOTemplateDocerSaveRecord">
    <vt:lpwstr>eyJoZGlkIjoiNmM1N2Q2MDc2OTljYTJiODE3ZTU3OGY0ZmYzMzRhYTUiLCJ1c2VySWQiOiIxMjY2MjcxNDEyIn0=</vt:lpwstr>
  </property>
  <property fmtid="{D5CDD505-2E9C-101B-9397-08002B2CF9AE}" pid="4" name="KSOProductBuildVer">
    <vt:lpwstr>2052-12.1.0.28505</vt:lpwstr>
  </property>
  <property fmtid="{D5CDD505-2E9C-101B-9397-08002B2CF9AE}" pid="5" name="ICV">
    <vt:lpwstr>F92EDBD1AA194F958CDA0EF97AB39360_12</vt:lpwstr>
  </property>
</Properties>
</file>