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color w:val="000000"/>
          <w:u w:val="none"/>
        </w:rPr>
        <w:t>低空配送航路课程演示技术报告</w:t>
      </w:r>
    </w:p>
    <w:p>
      <w:pPr>
        <w:widowControl/>
        <w:spacing w:after="300"/>
      </w:pPr>
      <w:r>
        <w:rPr>
          <w:rFonts w:ascii="Microsoft YaHei" w:hAnsi="Microsoft YaHei" w:eastAsia="Microsoft YaHei"/>
          <w:color w:val="000000"/>
          <w:sz w:val="18"/>
        </w:rPr>
        <w:t>课程 低空经济技术与实践  |  作业类型 Demo 实现  |  小组人数 4 人  |  版本 2026 年 10 月</w:t>
      </w:r>
    </w:p>
    <w:p>
      <w:pPr>
        <w:widowControl/>
      </w:pPr>
      <w:r>
        <w:rPr>
          <w:rFonts w:ascii="Microsoft YaHei" w:hAnsi="Microsoft YaHei" w:eastAsia="Microsoft YaHei"/>
        </w:rPr>
        <w:t>本组开发了一个可在浏览器运行的二维低空配送仿真。用户可调整起终点、途经点、速度和载荷；系统在合成风场与湍流下规划航路，必要时通过固定时长换电完成长距离任务。手动阵风会触发重新规划或保护停演。该项目用于解释低空航路安全、续航与时间之间的取舍，不用于真实飞行。</w:t>
      </w:r>
    </w:p>
    <w:p>
      <w:pPr>
        <w:pStyle w:val="Heading1"/>
        <w:widowControl/>
      </w:pPr>
      <w:r>
        <w:rPr>
          <w:color w:val="000000"/>
          <w:u w:val="none"/>
        </w:rPr>
        <w:t>1 作业定位与资料依据</w:t>
      </w:r>
    </w:p>
    <w:p>
      <w:pPr>
        <w:widowControl/>
      </w:pPr>
      <w:r>
        <w:rPr>
          <w:rFonts w:ascii="Microsoft YaHei" w:hAnsi="Microsoft YaHei" w:eastAsia="Microsoft YaHei"/>
        </w:rPr>
        <w:t>本组选择“Demo 实现”方向。课程提供的两份 D 题建模 PDF 用于理解 TKE、多源信息和 A* 航路思路；目前未核实到它们的期刊发表信息或 DOI，故不列为正式发表论文。另以可核查的期刊论文论证城市风场、能耗与换电选题。演示器采用二维定高网格和合成数据，未复现文献中的三维模型或原始数值结果。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3672"/>
      </w:tblGrid>
      <w:tr>
        <w:trPr>
          <w:tblHeader w:val="true"/>
        </w:trPr>
        <w:tc>
          <w:tcPr>
            <w:tcW w:type="dxa" w:w="3168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借鉴的方法</w:t>
            </w:r>
          </w:p>
        </w:tc>
        <w:tc>
          <w:tcPr>
            <w:tcW w:type="dxa" w:w="3672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本项目的范围</w:t>
            </w:r>
          </w:p>
        </w:tc>
      </w:tr>
      <w:tr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课程 D 题资料 1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TKE 与距离代价、A* 航路；PDF 第 27–31 页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二维静态基线与动态教学仿真</w:t>
            </w:r>
          </w:p>
        </w:tc>
      </w:tr>
      <w:tr>
        <w:tc>
          <w:tcPr>
            <w:tcW w:type="dxa" w:w="3168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课程 D 题资料 2</w:t>
            </w:r>
          </w:p>
        </w:tc>
        <w:tc>
          <w:tcPr>
            <w:tcW w:type="dxa" w:w="2880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多源加权融合、网格化 A*；PDF 第 2、34、54 页</w:t>
            </w:r>
          </w:p>
        </w:tc>
        <w:tc>
          <w:tcPr>
            <w:tcW w:type="dxa" w:w="3672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模拟雷达、风廓线和地面站，不使用原始观测</w:t>
            </w:r>
          </w:p>
        </w:tc>
      </w:tr>
      <w:tr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正式发表研究与规章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风场与能耗耦合、换电航程；气象与能源运行要求</w:t>
            </w:r>
          </w:p>
        </w:tc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支撑选题与约束类别，不认证教学参数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color w:val="000000"/>
          <w:u w:val="none"/>
        </w:rPr>
        <w:t>2 仿真设计</w:t>
      </w:r>
    </w:p>
    <w:p>
      <w:pPr>
        <w:widowControl/>
      </w:pPr>
      <w:r>
        <w:rPr>
          <w:rFonts w:ascii="Microsoft YaHei" w:hAnsi="Microsoft YaHei" w:eastAsia="Microsoft YaHei"/>
        </w:rPr>
        <w:t>地图采用 WGS84 坐标，教学任务区为 12 × 8 km、200 m 网格、固定高度 300 m。换电站和任务点都是模拟设施。网页优先尝试 OpenStreetMap 在线底图，无法访问时可使用内置快照；地图不能表示建筑可通行性或空域许可。</w:t>
      </w:r>
    </w:p>
    <w:p>
      <w:pPr>
        <w:widowControl/>
      </w:pPr>
      <w:r>
        <w:rPr>
          <w:rFonts w:ascii="Microsoft YaHei" w:hAnsi="Microsoft YaHei" w:eastAsia="Microsoft YaHei"/>
        </w:rPr>
        <w:t>合成观测包含 231 个雷达网格点、18 个风廓线点和 12 个地面站点。程序按距离、来源误差与观测时间衰减加权，生成二维 TKE 场；同一局部 TKE 控制风速波动方差，使风场粒子与湍流图层来自同一随机模型。所有气象数字均非实测。</w:t>
      </w:r>
    </w:p>
    <w:p>
      <w:pPr>
        <w:widowControl/>
      </w:pPr>
      <w:r>
        <w:rPr>
          <w:rFonts w:ascii="Microsoft YaHei" w:hAnsi="Microsoft YaHei" w:eastAsia="Microsoft YaHei"/>
        </w:rPr>
        <w:t>网格使用八邻域 A* 搜索候选航段；代价同时考虑距离、湍流与概念能耗。上层搜索按途经点顺序、电池余量和站点换电条件连接航段。规划器只在当前离散模型和候选航段集合内寻优，不能保证真实任务全局最优。</w:t>
      </w:r>
    </w:p>
    <w:p>
      <w:pPr>
        <w:widowControl/>
      </w:pPr>
      <w:r>
        <w:rPr>
          <w:rFonts w:ascii="Microsoft YaHei" w:hAnsi="Microsoft YaHei" w:eastAsia="Microsoft YaHei"/>
        </w:rPr>
        <w:t>每段飞行时间由距离和受风影响的地速累计，耗电由模型功率与飞行时间计算。默认每次换电固定 120 秒，电量恢复为 100%。任务总用时等于累计飞行时长、允许的原地等待时长及换电时长之和。电池老化、库存、排队、起降、返航未计入。</w:t>
      </w:r>
    </w:p>
    <w:p>
      <w:pPr>
        <w:widowControl/>
      </w:pPr>
      <w:r>
        <w:rPr>
          <w:rFonts w:ascii="Microsoft YaHei" w:hAnsi="Microsoft YaHei" w:eastAsia="Microsoft YaHei"/>
        </w:rPr>
        <w:t>随机天气随模拟时钟变化；手动阵风最多可同时保留八处。若前方路线不安全，系统从当前位置重新规划并保留已飞轨迹。无可行航路时进入保护停演；只在当前位置安全且剩余电量足以维持保留量的条件下，才允许持续耗电的原地等待。</w:t>
      </w:r>
    </w:p>
    <w:p>
      <w:pPr>
        <w:pStyle w:val="Heading1"/>
        <w:widowControl/>
      </w:pPr>
      <w:r>
        <w:rPr>
          <w:color w:val="000000"/>
          <w:u w:val="none"/>
        </w:rPr>
        <w:t>3 实验设计与结果</w:t>
      </w:r>
    </w:p>
    <w:p>
      <w:pPr>
        <w:widowControl/>
      </w:pPr>
      <w:r>
        <w:rPr>
          <w:rFonts w:ascii="Microsoft YaHei" w:hAnsi="Microsoft YaHei" w:eastAsia="Microsoft YaHei"/>
        </w:rPr>
        <w:t>三组固定种子使用相同起终点、T+15 分钟天气快照和风况安全约束。短航路实验将容量设为 1000 Wh、关闭换电，以隔离规划代价影响。三种方法分别为最短距离、课程 D 题资料 1 所述代价的二维适配 A*（程序标签“论文代价”），以及网页当前综合代价。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296"/>
        <w:gridCol w:w="1656"/>
        <w:gridCol w:w="1224"/>
        <w:gridCol w:w="1872"/>
      </w:tblGrid>
      <w:tr>
        <w:trPr>
          <w:tblHeader w:val="true"/>
        </w:trPr>
        <w:tc>
          <w:tcPr>
            <w:tcW w:type="dxa" w:w="3672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296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航程 km</w:t>
            </w:r>
          </w:p>
        </w:tc>
        <w:tc>
          <w:tcPr>
            <w:tcW w:type="dxa" w:w="1656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TKE 暴露</w:t>
            </w:r>
          </w:p>
        </w:tc>
        <w:tc>
          <w:tcPr>
            <w:tcW w:type="dxa" w:w="1224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飞行 s</w:t>
            </w:r>
          </w:p>
        </w:tc>
        <w:tc>
          <w:tcPr>
            <w:tcW w:type="dxa" w:w="1872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耗能 Wh</w:t>
            </w:r>
          </w:p>
        </w:tc>
      </w:tr>
      <w:tr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最短距离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6.00</w:t>
            </w:r>
          </w:p>
        </w:tc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5.84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491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129.3</w:t>
            </w:r>
          </w:p>
        </w:tc>
      </w:tr>
      <w:tr>
        <w:tc>
          <w:tcPr>
            <w:tcW w:type="dxa" w:w="3672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D 题资料代价 A* 二维适配</w:t>
            </w:r>
          </w:p>
        </w:tc>
        <w:tc>
          <w:tcPr>
            <w:tcW w:type="dxa" w:w="1296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15.31</w:t>
            </w:r>
          </w:p>
        </w:tc>
        <w:tc>
          <w:tcPr>
            <w:tcW w:type="dxa" w:w="1656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2.40</w:t>
            </w:r>
          </w:p>
        </w:tc>
        <w:tc>
          <w:tcPr>
            <w:tcW w:type="dxa" w:w="1224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1322</w:t>
            </w:r>
          </w:p>
        </w:tc>
        <w:tc>
          <w:tcPr>
            <w:tcW w:type="dxa" w:w="1872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325.8</w:t>
            </w:r>
          </w:p>
        </w:tc>
      </w:tr>
      <w:tr>
        <w:tc>
          <w:tcPr>
            <w:tcW w:type="dxa" w:w="36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演示综合代价</w:t>
            </w:r>
          </w:p>
        </w:tc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6.66</w:t>
            </w:r>
          </w:p>
        </w:tc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4.44</w:t>
            </w:r>
          </w:p>
        </w:tc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564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143.8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</w:rPr>
        <w:t>种子 20260923 下，演示综合路线相比最短路将 TKE 暴露由 5.84 降至 4.44，约减少 24%，但航程由 6.00 增至 6.66 km，耗能由 129.3 增至 143.8 Wh。这说明降低风险要付出航程和能量代价。课程资料代价的二维适配更偏向避险，暴露量更低，但本场景绕行显著；不能据此宣称其在原资料中有同样结果。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种子</w:t>
            </w:r>
          </w:p>
        </w:tc>
        <w:tc>
          <w:tcPr>
            <w:tcW w:type="dxa" w:w="2664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最短路暴露</w:t>
            </w:r>
          </w:p>
        </w:tc>
        <w:tc>
          <w:tcPr>
            <w:tcW w:type="dxa" w:w="2664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 题二维暴露</w:t>
            </w:r>
          </w:p>
        </w:tc>
        <w:tc>
          <w:tcPr>
            <w:tcW w:type="dxa" w:w="2664"/>
            <w:shd w:fill="14293A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演示暴露</w:t>
            </w:r>
          </w:p>
        </w:tc>
      </w:tr>
      <w:t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20260923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5.84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2.40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4.44</w:t>
            </w:r>
          </w:p>
        </w:tc>
      </w:tr>
      <w:tr>
        <w:tc>
          <w:tcPr>
            <w:tcW w:type="dxa" w:w="1728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20260924</w:t>
            </w:r>
          </w:p>
        </w:tc>
        <w:tc>
          <w:tcPr>
            <w:tcW w:type="dxa" w:w="2664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0.66</w:t>
            </w:r>
          </w:p>
        </w:tc>
        <w:tc>
          <w:tcPr>
            <w:tcW w:type="dxa" w:w="2664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0.63</w:t>
            </w:r>
          </w:p>
        </w:tc>
        <w:tc>
          <w:tcPr>
            <w:tcW w:type="dxa" w:w="2664"/>
            <w:vAlign w:val="center"/>
            <w:shd w:fill="F3F8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0.66</w:t>
            </w:r>
          </w:p>
        </w:tc>
      </w:tr>
      <w:tr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20260925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0.37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0.37</w:t>
            </w:r>
          </w:p>
        </w:tc>
        <w:tc>
          <w:tcPr>
            <w:tcW w:type="dxa" w:w="26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0.37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</w:rPr>
        <w:t>三源模拟观测的 RMSE 参照场与观测值由同一合成生成器产生，只能检查模型内部一致性。实验中三源融合并非在每个种子上都优于单雷达，不能据此宣传“数据源越多越准确”。完整 CSV、JSON 和运行脚本位于源程序 experiments/results 与 experiments/compare.cjs。</w:t>
      </w:r>
    </w:p>
    <w:p>
      <w:pPr>
        <w:widowControl/>
      </w:pPr>
      <w:r>
        <w:rPr>
          <w:rFonts w:ascii="Microsoft YaHei" w:hAnsi="Microsoft YaHei" w:eastAsia="Microsoft YaHei"/>
        </w:rPr>
        <w:t>另以默认长距离任务比较换电：关闭站点时无满足保留电量的方案；开启站点后选择 S1 换电一次。在静态默认天气下，飞行约 909.35 秒，固定换电 120 秒，总计约 1029.35 秒，网页显示 17 分 09 秒。</w:t>
      </w:r>
    </w:p>
    <w:p>
      <w:pPr>
        <w:pStyle w:val="Heading1"/>
        <w:pageBreakBefore w:val="0"/>
        <w:widowControl/>
      </w:pPr>
      <w:r>
        <w:rPr>
          <w:color w:val="000000"/>
          <w:u w:val="none"/>
        </w:rPr>
        <w:t>4 设计创新难点与解决思路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的设计改进，是让气象变化、航路决策、剩余电量与任务时间相互影响，并通过交互界面解释每次决策。以下按设计改进、技术难点和解决办法说明当前实现。这里的创新属于课程场景的集成与可解释演示；A*、TKE 与风三角等已有方法不作为新学术算法申报。</w:t>
      </w:r>
    </w:p>
    <w:p>
      <w:pPr>
        <w:pStyle w:val="Heading2"/>
        <w:widowControl/>
      </w:pPr>
      <w:r>
        <w:rPr>
          <w:color w:val="000000"/>
          <w:u w:val="none"/>
        </w:rPr>
        <w:t>共享风场与湍流状态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设计改进  </w:t>
      </w:r>
      <w:r>
        <w:rPr>
          <w:rFonts w:ascii="Microsoft YaHei" w:hAnsi="Microsoft YaHei" w:eastAsia="Microsoft YaHei"/>
          <w:b w:val="0"/>
          <w:color w:val="000000"/>
          <w:sz w:val="21"/>
        </w:rPr>
        <w:t>风速、波动、湍流图层和飞行计算读取同一局部天气状态。TKE 决定随机风分量的波动幅度，自然湍流具有生成和消散时间，刷新种子可以改变天气，也能用固定种子复现。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技术难点  </w:t>
      </w:r>
      <w:r>
        <w:rPr>
          <w:rFonts w:ascii="Microsoft YaHei" w:hAnsi="Microsoft YaHei" w:eastAsia="Microsoft YaHei"/>
          <w:b w:val="0"/>
          <w:color w:val="000000"/>
          <w:sz w:val="21"/>
        </w:rPr>
        <w:t>风速描述瞬时运动，TKE 描述速度波动能量；平均风大不必然意味着湍流大。分别随机生成两张图会失去关联，直接插值风速还可能削弱模型波动方差。</w:t>
      </w:r>
    </w:p>
    <w:p>
      <w:pPr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解决办法与证据  </w:t>
      </w:r>
      <w:r>
        <w:rPr>
          <w:rFonts w:ascii="Microsoft YaHei" w:hAnsi="Microsoft YaHei" w:eastAsia="Microsoft YaHei"/>
          <w:b w:val="0"/>
          <w:color w:val="000000"/>
          <w:sz w:val="21"/>
        </w:rPr>
        <w:t>在局部各向同性的教学假设下，以 σ² = 2k/3 联系 TKE 与各方向波动。连续坐标先插值 TKE，再计算同一个随机风过程，使图层、路线安全检查和耗电输入对应。固定种子及连续坐标测试已核对这种一致性；这里是模型设定的统计方差，并非实测短时间窗方差。</w:t>
      </w:r>
    </w:p>
    <w:p>
      <w:pPr>
        <w:pStyle w:val="Heading2"/>
        <w:widowControl/>
      </w:pPr>
      <w:r>
        <w:rPr>
          <w:color w:val="000000"/>
          <w:u w:val="none"/>
        </w:rPr>
        <w:t>阵风触发当前位置决策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设计改进  </w:t>
      </w:r>
      <w:r>
        <w:rPr>
          <w:rFonts w:ascii="Microsoft YaHei" w:hAnsi="Microsoft YaHei" w:eastAsia="Microsoft YaHei"/>
          <w:b w:val="0"/>
          <w:color w:val="000000"/>
          <w:sz w:val="21"/>
        </w:rPr>
        <w:t>前方一键阵风与地图指定位置阵风均可使用，最多同时保留八处。事件不仅改变图层，也会改变可飞航段、剩余路线与耗电，支持事件逐个消散后的重新评估。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技术难点  </w:t>
      </w:r>
      <w:r>
        <w:rPr>
          <w:rFonts w:ascii="Microsoft YaHei" w:hAnsi="Microsoft YaHei" w:eastAsia="Microsoft YaHei"/>
          <w:b w:val="0"/>
          <w:color w:val="000000"/>
          <w:sz w:val="21"/>
        </w:rPr>
        <w:t>阵风可能在飞机飞到航段中间时出现。从原起点重算会导致位置跳变；只检查端点可能穿过中间危险区。无路可走时也不能无条件悬停，因为当前位置和剩余电量可能不允许等待。</w:t>
      </w:r>
    </w:p>
    <w:p>
      <w:pPr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解决办法与证据  </w:t>
      </w:r>
      <w:r>
        <w:rPr>
          <w:rFonts w:ascii="Microsoft YaHei" w:hAnsi="Microsoft YaHei" w:eastAsia="Microsoft YaHei"/>
          <w:b w:val="0"/>
          <w:color w:val="000000"/>
          <w:sz w:val="21"/>
        </w:rPr>
        <w:t>保留已飞轨迹，从当前连续坐标连接网格；每段以不大于 50 m 的间隔检查风况并检查阵风核心。有可行路径则重规划，无路径则保护停演。停演冻结仿真；只有当前位置安全且电量满足保留量，才允许计时扣电的模拟等待。已验证案例等待 240 s、位置不变、耗电 66.808011 Wh，事件结束后恢复飞行。若原航段仍满足约束，阵风出现后继续前进也可能是正确决策。</w:t>
      </w:r>
    </w:p>
    <w:p>
      <w:pPr>
        <w:pStyle w:val="Heading2"/>
        <w:widowControl/>
      </w:pPr>
      <w:r>
        <w:rPr>
          <w:color w:val="000000"/>
          <w:u w:val="none"/>
        </w:rPr>
        <w:t>任务点与换电网络协同规划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设计改进  </w:t>
      </w:r>
      <w:r>
        <w:rPr>
          <w:rFonts w:ascii="Microsoft YaHei" w:hAnsi="Microsoft YaHei" w:eastAsia="Microsoft YaHei"/>
          <w:b w:val="0"/>
          <w:color w:val="000000"/>
          <w:sz w:val="21"/>
        </w:rPr>
        <w:t>途经点是必须按顺序完成的任务，换电站是按电量需要选择的补给设施。二者共同约束路线，解决较远目的地的任务可行性，并在地图上显示任务和补给位置。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技术难点  </w:t>
      </w:r>
      <w:r>
        <w:rPr>
          <w:rFonts w:ascii="Microsoft YaHei" w:hAnsi="Microsoft YaHei" w:eastAsia="Microsoft YaHei"/>
          <w:b w:val="0"/>
          <w:color w:val="000000"/>
          <w:sz w:val="21"/>
        </w:rPr>
        <w:t>最近的站点未必能到达，最短路也未必满足续航。若等到电量很低才找站点，可能已经无法补给；换电恢复当前电量时，还必须保留累计时间和总耗能。</w:t>
      </w:r>
    </w:p>
    <w:p>
      <w:pPr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解决办法与证据  </w:t>
      </w:r>
      <w:r>
        <w:rPr>
          <w:rFonts w:ascii="Microsoft YaHei" w:hAnsi="Microsoft YaHei" w:eastAsia="Microsoft YaHei"/>
          <w:b w:val="0"/>
          <w:color w:val="000000"/>
          <w:sz w:val="21"/>
        </w:rPr>
        <w:t>下层提供综合代价和最低能耗航段候选，上层记录位置、途经进度、剩余电量和累计代价。每段检查到达后的保留电量，并删除同一状态下代价更高且电量更少的方案。换电固定 120 s，总用时累计飞行、等待与换电。默认长任务关闭站点不可行，开启后经 S1 换电一次，静态用时约 909.35 + 120 = 1029.35 s。搜索限于候选集合，不声称连续空间全局最优或总时间最短。</w:t>
      </w:r>
    </w:p>
    <w:p>
      <w:pPr>
        <w:pStyle w:val="Heading2"/>
        <w:widowControl/>
      </w:pPr>
      <w:r>
        <w:rPr>
          <w:color w:val="000000"/>
          <w:u w:val="none"/>
        </w:rPr>
        <w:t>速度载荷与能耗共同计算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设计改进  </w:t>
      </w:r>
      <w:r>
        <w:rPr>
          <w:rFonts w:ascii="Microsoft YaHei" w:hAnsi="Microsoft YaHei" w:eastAsia="Microsoft YaHei"/>
          <w:b w:val="0"/>
          <w:color w:val="000000"/>
          <w:sz w:val="21"/>
        </w:rPr>
        <w:t>可调巡航空速，同时显示地速、功率和单位里程耗电。载荷、风与湍流改变后，预计时间和实际扣电一起变化，避免飞机图标与能源计算脱节。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技术难点  </w:t>
      </w:r>
      <w:r>
        <w:rPr>
          <w:rFonts w:ascii="Microsoft YaHei" w:hAnsi="Microsoft YaHei" w:eastAsia="Microsoft YaHei"/>
          <w:b w:val="0"/>
          <w:color w:val="000000"/>
          <w:sz w:val="21"/>
        </w:rPr>
        <w:t>空速相对空气，地速相对地面；逆风降低地速，侧风需要横向修正。速度升高时功率可能增加，但飞行时间缩短，因此不能仅按固定电量扣除，也不能简单宣称越快越省电。</w:t>
      </w:r>
    </w:p>
    <w:p>
      <w:pPr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解决办法与证据  </w:t>
      </w:r>
      <w:r>
        <w:rPr>
          <w:rFonts w:ascii="Microsoft YaHei" w:hAnsi="Microsoft YaHei" w:eastAsia="Microsoft YaHei"/>
          <w:b w:val="0"/>
          <w:color w:val="000000"/>
          <w:sz w:val="21"/>
        </w:rPr>
        <w:t>按风三角将风分为沿航线和横向分量，得到地速，再由距离除以地速计算时间，以功率乘时间计算 Wh。不可维持模型规定地速或超出风限的航段不允许飞行。功率同时含速度、载荷、TKE、风和阵风项。无风手算案例为 690 W、6 km 用时 500 s、95.83333 Wh；6 m/s 逆风时地速降为 6 m/s、功率 834 W、231.66667 Wh。MATLAB 已复核解析风况与参数组合；系数尚未按实机标定。播放倍率只是观看速度。</w:t>
      </w:r>
    </w:p>
    <w:p>
      <w:pPr>
        <w:pStyle w:val="Heading2"/>
        <w:widowControl/>
      </w:pPr>
      <w:r>
        <w:rPr>
          <w:color w:val="000000"/>
          <w:u w:val="none"/>
        </w:rPr>
        <w:t>建立可复现的验证过程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设计改进  </w:t>
      </w:r>
      <w:r>
        <w:rPr>
          <w:rFonts w:ascii="Microsoft YaHei" w:hAnsi="Microsoft YaHei" w:eastAsia="Microsoft YaHei"/>
          <w:b w:val="0"/>
          <w:color w:val="000000"/>
          <w:sz w:val="21"/>
        </w:rPr>
        <w:t>用固定种子实验、手算、JavaScript 测试和 MATLAB 图片补充交互演示，说明路线改变的原因和计算结果的依据。</w:t>
      </w:r>
    </w:p>
    <w:p>
      <w:pPr>
        <w:keepNext/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技术难点  </w:t>
      </w:r>
      <w:r>
        <w:rPr>
          <w:rFonts w:ascii="Microsoft YaHei" w:hAnsi="Microsoft YaHei" w:eastAsia="Microsoft YaHei"/>
          <w:b w:val="0"/>
          <w:color w:val="000000"/>
          <w:sz w:val="21"/>
        </w:rPr>
        <w:t>随机天气会使方法对比不公平；把同一错误公式复制到 MATLAB 也可能得到一致结果。静态路线测试还不能覆盖换电、等待和恢复飞行等状态。</w:t>
      </w:r>
    </w:p>
    <w:p>
      <w:pPr>
        <w:widowControl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解决办法与证据  </w:t>
      </w:r>
      <w:r>
        <w:rPr>
          <w:rFonts w:ascii="Microsoft YaHei" w:hAnsi="Microsoft YaHei" w:eastAsia="Microsoft YaHei"/>
          <w:b w:val="0"/>
          <w:color w:val="000000"/>
          <w:sz w:val="21"/>
        </w:rPr>
        <w:t>在相同起终点、天气与安全约束下比较路线；用已知解析答案检查公式，用 MATLAB Dijkstra 对照 A* 指定代价，再核对航段与动态账本。种子 20260923 中 TKE 暴露降低约 24%，但航程和耗能增加，说明避险存在代价，不能宣传所有指标同时改善。现有证据验证给定合成输入下的实现；真实天气、机型性能与实际空域仍需外部验证。</w:t>
      </w:r>
    </w:p>
    <w:p>
      <w:pPr>
        <w:pStyle w:val="Heading1"/>
        <w:pageBreakBefore w:val="0"/>
        <w:widowControl/>
      </w:pPr>
      <w:r>
        <w:rPr>
          <w:color w:val="000000"/>
          <w:u w:val="none"/>
        </w:rPr>
        <w:t>5 程序验证与局限</w:t>
      </w:r>
    </w:p>
    <w:p>
      <w:pPr>
        <w:widowControl/>
      </w:pPr>
      <w:r>
        <w:rPr>
          <w:rFonts w:ascii="Microsoft YaHei" w:hAnsi="Microsoft YaHei" w:eastAsia="Microsoft YaHei"/>
        </w:rPr>
        <w:t>运行 npm test 可检查 A* 与 Dijkstra 代价值一致、途经顺序、换电可行性、风与 TKE 关联、阵风重规划、悬停等待耗电以及总时间恒等式。运行 npm run experiment 可重生成三组固定种子的数值结果。测试只能证明给定模型的实现一致性，不能替代真实天气或实机验证。</w:t>
      </w:r>
    </w:p>
    <w:p>
      <w:pPr>
        <w:widowControl/>
      </w:pPr>
      <w:r>
        <w:t>本机 MATLAB R2024b 独立复核了三组天气快照的 58 200 条允许飞行有向边，以及九条路线的 307 个航段。Dijkstra 对照网页 A* 的课程资料二维代价，三个种子分别为 241.2726、46.4556、24.9537。九条路线时间最大误差 0.00490706 s、能耗最大误差 0.00498050 Wh，均在导出舍入容差内。另通过 96 组速度/载荷/TKE 参数、1031 个换电任务回放点和 240 个阵风等待步骤，并用七个已知闭式风况案例、六项标量检查核对局部公式。结果和图位于 matlab/；详细推导、依据与验证边界见《数学模型推导与程序正确性验证说明》。</w:t>
      </w:r>
    </w:p>
    <w:p>
      <w:pPr>
        <w:widowControl/>
      </w:pPr>
      <w:r>
        <w:t>MATLAB 与网页使用相同的合成气象输入和已导出的安全边，这是数值一致性与选定案例验证。解析手算可减少两份程序重复同一实现错误的风险，但不能代替模型的实测校准。动态事件注入、生命周期、多事件叠加与状态转换由 JavaScript 测试覆盖；MATLAB 另核对等待能耗与换电账本。论文与标准支持选题和约束类别，不认证教学设定的 14 m/s 风限、120 s 换电时间或实际飞行可行性。</w:t>
      </w:r>
    </w:p>
    <w:p>
      <w:pPr>
        <w:widowControl/>
      </w:pPr>
      <w:r>
        <w:rPr>
          <w:rFonts w:ascii="Microsoft YaHei" w:hAnsi="Microsoft YaHei" w:eastAsia="Microsoft YaHei"/>
        </w:rPr>
        <w:t>主要局限包括：未接入课程资料所述原始观测和真实低空气象接口；不模拟三维爬升、建筑障碍、禁飞区、通信链路、起降、返航、换电排队与电池老化；风速、安全阈值和功率系数没有按具体无人机标定。因此本 Demo 只能用于课堂解释和算法比较。</w:t>
      </w:r>
    </w:p>
    <w:p>
      <w:pPr>
        <w:pStyle w:val="Heading1"/>
        <w:widowControl/>
      </w:pPr>
      <w:r>
        <w:rPr>
          <w:color w:val="000000"/>
          <w:u w:val="none"/>
        </w:rPr>
        <w:t>6 结论与交付</w:t>
      </w:r>
    </w:p>
    <w:p>
      <w:pPr>
        <w:widowControl/>
      </w:pPr>
      <w:r>
        <w:rPr>
          <w:rFonts w:ascii="Microsoft YaHei" w:hAnsi="Microsoft YaHei" w:eastAsia="Microsoft YaHei"/>
        </w:rPr>
        <w:t>实验展示了三个可解释的关系：湍流规避可能增加距离和耗电；换电能扩展任务可行航程但增加固定停留时间；突发天气要求持续评估前方可行性。低空经济需要把航路、气象、能源和安全约束共同考虑，教学模拟不能替代实际运行审批和安全验证。</w:t>
      </w:r>
    </w:p>
    <w:p>
      <w:pPr>
        <w:widowControl/>
      </w:pPr>
      <w:r>
        <w:rPr>
          <w:rFonts w:ascii="Microsoft YaHei" w:hAnsi="Microsoft YaHei" w:eastAsia="Microsoft YaHei"/>
        </w:rPr>
        <w:t>小组源程序地址：https://github.com/dianxingaoshou/low-altitude-route-demo。浏览器可直接运行 index.html；实验和测试需要 Node.js 18 以上。汇报 PPT 为 8 页，建议演示总时长 8–9 分钟。四名组员的姓名和实际分工尚未确认，应在提交个人报告前由本人核对。</w:t>
      </w:r>
    </w:p>
    <w:p>
      <w:pPr>
        <w:pStyle w:val="Heading1"/>
        <w:widowControl/>
      </w:pPr>
      <w:r>
        <w:rPr>
          <w:color w:val="000000"/>
          <w:u w:val="none"/>
        </w:rPr>
        <w:t>参考资料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课程建模资料（未核实正式发表）：《低空湍流监测及最优航路规划研究》，PDF 第 27–31 页；《基于多源数据融合的低空湍流监测与航路优化》，PDF 第 2、34、54 页。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已发表：Rienecker H, Hildebrand V, Pfifer H. Energy optimal 3D flight path planning for unmanned aerial vehicle in urban environments. CEAS Aeronautical Journal, 14:621–636, 2023. DOI:10.1007/s13272-023-00666-x。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已发表：Gu R, Zhao Y, Ren X. Integrating wind field analysis in UAV path planning: Enhancing safety and energy efficiency for urban logistics. Chinese Journal of Aeronautics, 39(1):103605, 2026. DOI:10.1016/j.cja.2025.103605。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已发表：Huang C, Ming Z, Huang H. Drone Stations-Aided Beyond-Battery-Lifetime Flight Planning for Parcel Delivery. IEEE Transactions on Automation Science and Engineering, 20(4):2294–2304, 2023. DOI:10.1109/TASE.2022.3213254。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运行规章：CCAR-92《民用无人驾驶航空器运行安全管理规则》第 92.545、92.695、92.703 条；行政法规：《无人驾驶航空器飞行管理暂行条例》。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现行国家标准：GB 42590-2023《民用无人驾驶航空器系统安全要求》；真实案例：NASA UTM TCL 2 实飞评估，2017。上述文献与规范的官方链接和适用边界见源程序 matlab/README.md。</w:t>
      </w:r>
    </w:p>
    <w:p>
      <w:pPr>
        <w:pStyle w:val="ListBullet"/>
        <w:widowControl/>
      </w:pPr>
      <w:r>
        <w:rPr>
          <w:rFonts w:ascii="Microsoft YaHei" w:hAnsi="Microsoft YaHei" w:eastAsia="Microsoft YaHei"/>
        </w:rPr>
        <w:t>课程项目源程序、固定种子实验记录及 MATLAB 独立复核日志，2026 年 10 月版本。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09" w:right="1210" w:bottom="994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7"/>
      </w:rPr>
      <w:t xml:space="preserve">低空经济技术与实践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color w:val="1429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