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低空航路演示数学模型推导与程序正确性验证</w:t>
      </w:r>
    </w:p>
    <w:p>
      <w:pPr>
        <w:widowControl/>
      </w:pPr>
      <w:r>
        <w:t>本说明用于低空经济技术与实践课程汇报，回答三个问题：公式依据是什么，网页和 MATLAB 是否正确实现公式，以及现有结果能支持什么结论。我们以当前二维定高程序为对象，分别说明物理定义、已有研究的方法和自行设定的教学参数。</w:t>
      </w:r>
    </w:p>
    <w:p>
      <w:pPr>
        <w:widowControl/>
      </w:pPr>
      <w:r>
        <w:t>结论是：地速关系、TKE 定义、功率积分和电量账本有明确推导；在非负边权和一致启发函数条件下，单次网格 A* 有最优性依据；MATLAB 已通过独立计算和可手算算例。当前耗电系数、合成风场及飞行限值尚未用实测数据标定，因此支持教学软件的内部正确性，不能宣称已证明真实飞机的性能或运行安全。</w:t>
      </w:r>
    </w:p>
    <w:p>
      <w:pPr>
        <w:pStyle w:val="Heading1"/>
      </w:pPr>
      <w:r>
        <w:t>1 模型范围和符号单位</w:t>
      </w:r>
    </w:p>
    <w:p>
      <w:pPr>
        <w:widowControl/>
      </w:pPr>
      <w:r>
        <w:t>规划网格为 61×41 个节点，间距 200 m，覆盖约 12×8 km 的教学区域；固定高度 300 m。更大的地图显示范围不自动扩大规划区域。航段内把风、TKE 和功率近似为常值，不求解姿态、加速度、爬升或旋翼流场。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98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单位或约定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d 与 d_km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航段长度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 与 km 严格区分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v_a 与 v_g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空速与沿航路地速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m/s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u v w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三方向风速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m/s；向东向北为正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k 与 k_ref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TKE 与参考 TKE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m²/s²；k_ref=3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σ 与 σ²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脉动标准差与方差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m/s 与 m²/s²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m_0 与 m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演示空载质量与载荷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kg；m_0=5.5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P 与 E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功率与消耗能量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W 与 Wh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B C B_res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剩余能量 容量 保留能量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Wh；默认 C=220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归一化阵风指标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无量纲；不是风速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t 与 τ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任务时间与天气时间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s 与 min</w:t>
            </w:r>
          </w:p>
        </w:tc>
      </w:tr>
    </w:tbl>
    <w:p>
      <w:pPr>
        <w:spacing w:after="0"/>
      </w:pPr>
    </w:p>
    <w:p>
      <w:pPr>
        <w:widowControl/>
      </w:pPr>
      <w:r>
        <w:t>默认空速 12 m/s，载荷 1 kg，初始电量 95%，保留电量 20%，换电 120 s。路径对比实验另采用 6 km 起终点间距、1000 Wh 容量、关闭换电；换电回放使用默认任务。两类设置不能混用。</w:t>
      </w:r>
    </w:p>
    <w:p>
      <w:pPr>
        <w:widowControl/>
      </w:pPr>
      <w:r>
        <w:t>公式成立、代码实现正确、模型符合实测是三个层次。若两套代码使用同一错误假设，数值一致也不能排除模型错误，因此需要推导、量纲、手算答案和外部数据共同组成证据。</w:t>
      </w:r>
    </w:p>
    <w:p>
      <w:pPr>
        <w:pStyle w:val="Heading1"/>
        <w:pageBreakBefore/>
      </w:pPr>
      <w:r>
        <w:t>2 TKE 与风速波动的联系</w:t>
      </w:r>
    </w:p>
    <w:p>
      <w:pPr>
        <w:widowControl/>
      </w:pPr>
      <w:r>
        <w:t>瞬时风速分解为平均风和零均值脉动。TKE 是单位质量的脉动动能，不是平均风速平方。NOAA 官方资料给出其与三个分量方差的定义 [1]。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u=</m:t>
        </m:r>
        <m:bar>
          <m:barPr>
            <m:pos m:val="top"/>
          </m:barPr>
          <m:e>
            <m:r>
              <w:rPr>
                <w:rFonts w:ascii="Cambria Math" w:hAnsi="Cambria Math"/>
                <w:sz w:val="22"/>
              </w:rPr>
              <m:t>u</m:t>
            </m:r>
          </m:e>
        </m:bar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u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v=</m:t>
        </m:r>
        <m:bar>
          <m:barPr>
            <m:pos m:val="top"/>
          </m:barPr>
          <m:e>
            <m:r>
              <w:rPr>
                <w:rFonts w:ascii="Cambria Math" w:hAnsi="Cambria Math"/>
                <w:sz w:val="22"/>
              </w:rPr>
              <m:t>v</m:t>
            </m:r>
          </m:e>
        </m:bar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w=</m:t>
        </m:r>
        <m:bar>
          <m:barPr>
            <m:pos m:val="top"/>
          </m:barPr>
          <m:e>
            <m:r>
              <w:rPr>
                <w:rFonts w:ascii="Cambria Math" w:hAnsi="Cambria Math"/>
                <w:sz w:val="22"/>
              </w:rPr>
              <m:t>w</m:t>
            </m:r>
          </m:e>
        </m:bar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sz w:val="20"/>
        </w:rPr>
        <w:t xml:space="preserve">  (1)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k=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(</m:t>
        </m:r>
        <m:acc>
          <m:accPr>
            <m:chr m:val="―"/>
          </m:accPr>
          <m:e>
            <m:sSu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e>
        </m:acc>
        <m:r>
          <w:rPr>
            <w:rFonts w:ascii="Cambria Math" w:hAnsi="Cambria Math"/>
            <w:sz w:val="22"/>
          </w:rPr>
          <m:t>+</m:t>
        </m:r>
        <m:acc>
          <m:accPr>
            <m:chr m:val="―"/>
          </m:accPr>
          <m:e>
            <m:sSup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e>
        </m:acc>
        <m:r>
          <w:rPr>
            <w:rFonts w:ascii="Cambria Math" w:hAnsi="Cambria Math"/>
            <w:sz w:val="22"/>
          </w:rPr>
          <m:t>+</m:t>
        </m:r>
        <m:acc>
          <m:accPr>
            <m:chr m:val="―"/>
          </m:accPr>
          <m:e>
            <m:sSup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e>
        </m:acc>
        <m:r>
          <w:rPr>
            <w:rFonts w:ascii="Cambria Math" w:hAnsi="Cambria Math"/>
            <w:sz w:val="22"/>
          </w:rPr>
          <m:t>)</m:t>
        </m:r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(</m:t>
        </m:r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u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v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)</m:t>
        </m:r>
      </m:oMath>
      <w:r>
        <w:rPr>
          <w:sz w:val="20"/>
        </w:rPr>
        <w:t xml:space="preserve">  (2)</w:t>
      </w:r>
    </w:p>
    <w:p>
      <w:pPr>
        <w:widowControl/>
      </w:pPr>
      <w:r>
        <w:t>演示增加局部各向同性假设，即三方向方差相同，故波动幅度可直接解出。各向同性是简化条件，城市建筑附近不普遍成立。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u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</m:t>
        </m:r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v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</m:t>
        </m:r>
        <m:sSubSup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σ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⟹</m:t>
        </m:r>
        <m:r>
          <w:rPr>
            <w:rFonts w:ascii="Cambria Math" w:hAnsi="Cambria Math"/>
            <w:sz w:val="22"/>
          </w:rPr>
          <m:t>σ=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2"/>
                  </w:rPr>
                  <m:t>2k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3</m:t>
                </m:r>
              </m:den>
            </m:f>
          </m:e>
        </m:rad>
      </m:oMath>
      <w:r>
        <w:rPr>
          <w:sz w:val="20"/>
        </w:rPr>
        <w:t xml:space="preserve">  (3)</w:t>
      </w:r>
    </w:p>
    <w:p>
      <w:pPr>
        <w:widowControl/>
      </w:pPr>
      <w:r>
        <w:t>代码采用四个随机相位正弦模式。对固定位置和固定 k，若相位独立均匀分布，单个正弦均值为 0、方差为 1/2；归一化模式和的方差为 1。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2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N</m:t>
                </m:r>
              </m:den>
            </m:f>
          </m:e>
        </m:rad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2"/>
              </w:rPr>
              <m:t>n=1</m:t>
            </m:r>
          </m:sub>
          <m:sup>
            <m:r>
              <w:rPr>
                <w:rFonts w:ascii="Cambria Math" w:hAnsi="Cambria Math"/>
                <w:sz w:val="22"/>
              </w:rPr>
              <m:t>N</m:t>
            </m:r>
          </m:sup>
          <m:e/>
        </m:nary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</w:rPr>
              <m:t>nj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t>N=4</m:t>
        </m:r>
      </m:oMath>
      <w:r>
        <w:rPr>
          <w:sz w:val="20"/>
        </w:rPr>
        <w:t xml:space="preserve">  (4)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rPr>
            <m:scr m:val="double-struck"/>
            <m:sty m:val="p"/>
          </m:rPr>
          <m:t>E</m:t>
        </m:r>
        <m:r>
          <w:rPr>
            <w:rFonts w:ascii="Cambria Math" w:hAnsi="Cambria Math"/>
            <w:sz w:val="22"/>
          </w:rPr>
          <m:t>[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]=0,</m:t>
        </m:r>
        <m:r>
          <w:rPr>
            <w:rFonts w:ascii="Cambria Math" w:hAnsi="Cambria Math"/>
            <w:sz w:val="22"/>
          </w:rPr>
          <m:t>Var(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  <m:r>
          <w:rPr>
            <w:rFonts w:ascii="Cambria Math" w:hAnsi="Cambria Math"/>
            <w:sz w:val="22"/>
          </w:rPr>
          <m:t>N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=1,</m:t>
        </m:r>
        <m:sSubSup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=σ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</m:oMath>
      <w:r>
        <w:rPr>
          <w:sz w:val="20"/>
        </w:rPr>
        <w:t xml:space="preserve">  (5)</w:t>
      </w:r>
    </w:p>
    <w:p>
      <w:pPr>
        <w:widowControl/>
      </w:pPr>
      <w:r>
        <w:t>这解释了模型规定的波动方差为什么与 k 相容。例如 k=0.3 时 σ=√0.2≈0.44721 m/s；k=1.5 时 σ=1 m/s。随机相位理想分布的推导，不保证固定种子、有限时间窗或随时间变化的 k 所产生的样本方差恰好等于规定值。页面方差属于规定量，不是实测窗口估计量。</w:t>
      </w:r>
    </w:p>
    <w:p>
      <w:pPr>
        <w:widowControl/>
      </w:pPr>
      <w:r>
        <w:t>平均风与湍流可以关联，但不存在仅凭平均风速唯一确定 TKE 的通用公式。程序用共享 k 调整波动幅度，再叠加平均风与阵风，保持显示的一致性；未求解流体动力学，也未标定城市湍流谱。这不是 Dryden 模型。MathWorks 官方 Dryden 文档可作为未来速度谱和滤波器的对照，但也有冻结湍流等适用限制 [2]。</w:t>
      </w:r>
    </w:p>
    <w:p>
      <w:pPr>
        <w:widowControl/>
      </w:pPr>
      <w:r>
        <w:t>对应代码：seeded-weather.js 的 wind；weather-physics.js 的 diagnostics 与 windSample。解析检查核对 k 与 σ 的代数关系，尚未验证整个随机场的实测谱和相关长度。</w:t>
      </w:r>
    </w:p>
    <w:p>
      <w:pPr>
        <w:pStyle w:val="Heading1"/>
        <w:pageBreakBefore/>
      </w:pPr>
      <w:r>
        <w:t>3 合成气象场和多源融合推导</w:t>
      </w:r>
    </w:p>
    <w:p>
      <w:pPr>
        <w:widowControl/>
      </w:pPr>
      <w:r>
        <w:t>自然湍流斑块有随机位置、尺度、开始和结束时间。时间包络在起止处为零，中间达到峰值；空间采用旋转高斯核，斑块随平均风平移。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a(t)=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(π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t−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s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sz w:val="22"/>
          </w:rPr>
          <m:t>)</m:t>
        </m:r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</m:sSub>
        <m:r>
          <w:rPr>
            <w:rFonts w:ascii="Cambria Math" w:hAnsi="Cambria Math"/>
            <w:sz w:val="22"/>
          </w:rPr>
          <m:t>&lt;t&lt;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</m:oMath>
      <w:r>
        <w:rPr>
          <w:sz w:val="20"/>
        </w:rPr>
        <w:t xml:space="preserve">  (6)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true</m:t>
            </m:r>
          </m:sub>
        </m:sSub>
        <m:r>
          <w:rPr>
            <w:rFonts w:ascii="Cambria Math" w:hAnsi="Cambria Math"/>
            <w:sz w:val="22"/>
          </w:rPr>
          <m:t>=min</m:t>
        </m:r>
        <m:r>
          <w:rPr>
            <w:rFonts w:ascii="Cambria Math" w:hAnsi="Cambria Math"/>
            <w:sz w:val="22"/>
          </w:rPr>
          <m:t>(3,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0.07+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l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  <w:sz w:val="22"/>
          </w:rPr>
          <m:t>(t)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[−(</m:t>
        </m:r>
        <m:sSubSup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)/2]H(z))</m:t>
        </m:r>
      </m:oMath>
      <w:r>
        <w:rPr>
          <w:sz w:val="20"/>
        </w:rPr>
        <w:t xml:space="preserve">  (7)</w:t>
      </w:r>
    </w:p>
    <w:p>
      <w:pPr>
        <w:widowControl/>
      </w:pPr>
      <w:r>
        <w:t>区间外 a=0；A_l 和 B_l 为按尺度归一化后的旋转坐标；H(z)=0.85+0.15 cos((z−300)/350)。天气时间用 min、坐标用 km，平移项系数 0.06 来自 60/1000。高度函数、斑块参数和 k 上限仍是教学设定。</w:t>
      </w:r>
    </w:p>
    <w:p>
      <w:pPr>
        <w:widowControl/>
      </w:pPr>
      <w:r>
        <w:t>“雷达”“风廓线”“地面站”是对合成 TKE 场加噪声的代理观测，未实现真实雷达谱宽到 TKE 的反演。课程第二份 PDF 仅作为融合思路参考 [12]。在网格点把局部 TKE 视为共同未知量 q，用给定正权重构造平方误差：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L(q)=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(q−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(q)=2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(q−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)=0</m:t>
        </m:r>
      </m:oMath>
      <w:r>
        <w:rPr>
          <w:sz w:val="20"/>
        </w:rPr>
        <w:t xml:space="preserve">  (8)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/>
              <m:e/>
            </m:nary>
            <m:sSub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/>
              <m:e/>
            </m:nary>
            <m:sSub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</w:rPr>
              <m:t>″</m:t>
            </m:r>
          </m:sup>
        </m:sSup>
        <m:r>
          <w:rPr>
            <w:rFonts w:ascii="Cambria Math" w:hAnsi="Cambria Math"/>
            <w:sz w:val="22"/>
          </w:rPr>
          <m:t>(q)=2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&gt;0</m:t>
        </m:r>
      </m:oMath>
      <w:r>
        <w:rPr>
          <w:sz w:val="20"/>
        </w:rPr>
        <w:t xml:space="preserve">  (9)</w:t>
      </w:r>
    </w:p>
    <w:p>
      <w:pPr>
        <w:widowControl/>
      </w:pPr>
      <w:r>
        <w:t>因此至少一个权重大于零时，加权平均是这个明确目标的唯一最小值；归一化权重非负、和为一，结果位于观测最小和最大值之间。无观测时输出 NaN，不能把缺测当作零湍流。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exp</m:t>
            </m:r>
            <m:r>
              <w:rPr>
                <w:rFonts w:ascii="Cambria Math" w:hAnsi="Cambria Math"/>
                <w:sz w:val="22"/>
              </w:rPr>
              <m:t>(−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/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)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exp</m:t>
            </m:r>
            <m:r>
              <w:rPr>
                <w:rFonts w:ascii="Cambria Math" w:hAnsi="Cambria Math"/>
                <w:sz w:val="22"/>
              </w:rPr>
              <m:t>(−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</w:rPr>
              <m:t>/15)</m:t>
            </m:r>
          </m:num>
          <m:den>
            <m:r>
              <w:rPr>
                <w:rFonts w:ascii="Cambria Math" w:hAnsi="Cambria Math"/>
                <w:sz w:val="22"/>
              </w:rPr>
              <m:t>(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0.08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den>
        </m:f>
      </m:oMath>
      <w:r>
        <w:rPr>
          <w:sz w:val="20"/>
        </w:rPr>
        <w:t xml:space="preserve">  (10)</w:t>
      </w:r>
    </w:p>
    <w:p>
      <w:pPr>
        <w:widowControl/>
      </w:pPr>
      <w:r>
        <w:t>D_i 由 km 距离与 2.5 倍伸缩的高度差构成，R_i 为 km，a_i 是名义资料年龄 min。只能证明给定权重下的代数最优化；核宽、年龄衰减、名义噪声和高度伸缩未用传感器误差标定，不能称为真实多源融合的统计最优估计。</w:t>
      </w:r>
    </w:p>
    <w:p>
      <w:pPr>
        <w:widowControl/>
      </w:pPr>
      <w:r>
        <w:t>手动阵风采用 b(r)=(1−r²)²，r&lt;1，区间外为零；叠加风矢量、TKE 增量与 G。每处默认 240 s，最后 60 s 衰减。这些增量是演示规则，未从完整湍流能量收支推导。</w:t>
      </w:r>
    </w:p>
    <w:p>
      <w:pPr>
        <w:widowControl/>
      </w:pPr>
      <w:r>
        <w:t>对应代码：seeded-weather.js 的 envelope 和 reference；model.js 的 observations 和 buildField；weather-physics.js 的 decorate。融合及天气生成未在 MATLAB 独立重写，不能把航路复核当成真实气象反演验证。</w:t>
      </w:r>
    </w:p>
    <w:p>
      <w:pPr>
        <w:pStyle w:val="Heading1"/>
        <w:pageBreakBefore/>
      </w:pPr>
      <w:r>
        <w:t>4 空速地速与侧风补偿推导</w:t>
      </w:r>
    </w:p>
    <w:p>
      <w:pPr>
        <w:widowControl/>
      </w:pPr>
      <w:r>
        <w:t>FAA 手册的风三角给出空速、风速和地速关系 [3]。沿航段单位向量为 e，侧向单位向量为 n。这里风矢量表示吹向方向；气象“风来自哪里”的角度需先转换。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rPr>
                <m:sty m:val="bi"/>
              </m:rPr>
              <m:t>v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rPr>
                <m:sty m:val="bi"/>
              </m:rPr>
              <m:t>v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  <m: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rPr>
            <m:sty m:val="bi"/>
          </m:rPr>
          <m:t>w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bi"/>
          </m:rPr>
          <m:t>e</m:t>
        </m:r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(Δx,Δy)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>Δ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+Δ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0"/>
        </w:rPr>
        <w:t xml:space="preserve">  (11)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∥</m:t>
            </m:r>
          </m:sub>
        </m:sSub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bi"/>
          </m:rPr>
          <m:t>w</m:t>
        </m:r>
        <m:r>
          <w:rPr>
            <w:rFonts w:ascii="Cambria Math" w:hAnsi="Cambria Math"/>
            <w:sz w:val="22"/>
          </w:rPr>
          <m:t>·</m:t>
        </m:r>
        <m:r>
          <w:rPr>
            <w:rFonts w:ascii="Cambria Math" w:hAnsi="Cambria Math"/>
            <w:sz w:val="22"/>
          </w:rPr>
          <m:rPr>
            <m:sty m:val="bi"/>
          </m:rPr>
          <m:t>e</m:t>
        </m:r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⟂</m:t>
            </m:r>
          </m:sub>
        </m:sSub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bi"/>
          </m:rPr>
          <m:t>w</m:t>
        </m:r>
        <m:r>
          <w:rPr>
            <w:rFonts w:ascii="Cambria Math" w:hAnsi="Cambria Math"/>
            <w:sz w:val="22"/>
          </w:rPr>
          <m:t>·</m:t>
        </m:r>
        <m:r>
          <w:rPr>
            <w:rFonts w:ascii="Cambria Math" w:hAnsi="Cambria Math"/>
            <w:sz w:val="22"/>
          </w:rPr>
          <m:rPr>
            <m:sty m:val="bi"/>
          </m:rPr>
          <m:t>n</m:t>
        </m:r>
      </m:oMath>
      <w:r>
        <w:rPr>
          <w:sz w:val="20"/>
        </w:rPr>
        <w:t xml:space="preserve">  (12)</w:t>
      </w:r>
    </w:p>
    <w:p>
      <w:pPr>
        <w:widowControl/>
      </w:pPr>
      <w:r>
        <w:t>不横向漂移要求地速侧向分量为零，所以空速侧向分量抵消侧风。固定空速模长后，勾股关系给出前向分量：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a,⟂</m:t>
            </m:r>
          </m:sub>
        </m:sSub>
        <m:r>
          <w:rPr>
            <w:rFonts w:ascii="Cambria Math" w:hAnsi="Cambria Math"/>
            <w:sz w:val="22"/>
          </w:rPr>
          <m:t>=−</m:t>
        </m:r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⟂</m:t>
            </m:r>
          </m:sub>
        </m:sSub>
        <m:r>
          <w:rPr>
            <w:rFonts w:ascii="Cambria Math" w:hAnsi="Cambria Math"/>
            <w:sz w:val="22"/>
          </w:rPr>
          <m:t>,</m:t>
        </m:r>
        <m:sSubSup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a,∥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⟂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</m:t>
        </m:r>
        <m:sSubSup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</m:oMath>
      <w:r>
        <w:rPr>
          <w:sz w:val="20"/>
        </w:rPr>
        <w:t xml:space="preserve">  (13)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sSubSup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−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⟂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e>
        </m:rad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∥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|</m:t>
        </m:r>
        <m:sSub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⟂</m:t>
            </m:r>
          </m:sub>
        </m:sSub>
        <m:r>
          <w:rPr>
            <w:rFonts w:ascii="Cambria Math" w:hAnsi="Cambria Math"/>
            <w:sz w:val="22"/>
          </w:rPr>
          <m:t>|&lt;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</m:oMath>
      <w:r>
        <w:rPr>
          <w:sz w:val="20"/>
        </w:rPr>
        <w:t xml:space="preserve">  (14)</w:t>
      </w:r>
    </w:p>
    <w:p>
      <w:pPr>
        <w:widowControl/>
      </w:pPr>
      <w:r>
        <w:t>正平方根代表空速朝航段前方。侧风达到空速时本模型拒绝航段；逆风使 v_g≤0 时无法前进。演示还设 v_g≥3 m/s、水平风速小于 14 m/s；这两个值不是风三角推导结果，也不是已核实的机型厂家限制。</w:t>
      </w:r>
    </w:p>
    <w:p>
      <w:pPr>
        <w:widowControl/>
      </w:pPr>
      <w:r>
        <w:t>手算：空速 12 m/s，向东。无风地速 12；6 m/s 顺风为 18；6 m/s 逆风为 6；6 m/s 侧风为 √108≈10.3923。12 m/s 侧风或逆风会被拒绝。14 m/s 顺风虽有正地速，也因教学风限被拒绝。</w:t>
      </w:r>
    </w:p>
    <w:p>
      <w:pPr>
        <w:widowControl/>
      </w:pPr>
      <w:r>
        <w:t>假设飞机可立即完成偏航补偿并维持空速。公式是运动学关系，不代表真实多旋翼有足够推力、倾角及控制余量。真实约束需加入姿态、加速度与厂家风限。</w:t>
      </w:r>
    </w:p>
    <w:p>
      <w:pPr>
        <w:widowControl/>
      </w:pPr>
      <w:r>
        <w:t>程序沿航段按约 50 m 或更小间距采样安全条件，同时阻止对角线穿越被拒绝的相邻网格。采样减少漏检，但无梯度界和误差界时，不能证明采样点之间绝无危险。</w:t>
      </w:r>
    </w:p>
    <w:p>
      <w:pPr>
        <w:widowControl/>
      </w:pPr>
      <w:r>
        <w:t>对应代码：weather-physics.js 的 edge、safePoint、safeSegment；MATLAB verify_demo.m 的投影和地速检查；verify_analytic_cases.m 的七个闭式算例。</w:t>
      </w:r>
    </w:p>
    <w:p>
      <w:pPr>
        <w:pStyle w:val="Heading1"/>
        <w:pageBreakBefore/>
      </w:pPr>
      <w:r>
        <w:t>5 载荷和速度功率关系的依据</w:t>
      </w:r>
    </w:p>
    <w:p>
      <w:pPr>
        <w:widowControl/>
      </w:pPr>
      <w:r>
        <w:t>载荷影响可从理想旋翼悬停动量理论解释。假设不可压缩定常流、均匀桨盘、固定总面积 A 与密度 ρ；远前方速度为零，桨盘诱导速度 v_i，远尾流为 2v_i。连续性和动量守恒给出推力，推力乘诱导速度给出功率。NASA 资料介绍了桨盘动量理论 [4]。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air</m:t>
            </m:r>
          </m:sub>
        </m:sSub>
        <m:r>
          <w:rPr>
            <w:rFonts w:ascii="Cambria Math" w:hAnsi="Cambria Math"/>
            <w:sz w:val="22"/>
          </w:rPr>
          <m:t>=ρA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T=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air</m:t>
            </m:r>
          </m:sub>
        </m:sSub>
        <m:r>
          <w:rPr>
            <w:rFonts w:ascii="Cambria Math" w:hAnsi="Cambria Math"/>
            <w:sz w:val="22"/>
          </w:rPr>
          <m:t>(2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)=2ρA</m:t>
        </m:r>
        <m:sSubSup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</m:oMath>
      <w:r>
        <w:rPr>
          <w:sz w:val="20"/>
        </w:rPr>
        <w:t xml:space="preserve">  (15)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ind</m:t>
            </m:r>
          </m:sub>
        </m:sSub>
        <m:r>
          <w:rPr>
            <w:rFonts w:ascii="Cambria Math" w:hAnsi="Cambria Math"/>
            <w:sz w:val="22"/>
          </w:rPr>
          <m:t>=T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sup>
            </m:sSup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>2ρA</m:t>
                </m:r>
              </m:e>
            </m:rad>
          </m:den>
        </m:f>
      </m:oMath>
      <w:r>
        <w:rPr>
          <w:sz w:val="20"/>
        </w:rPr>
        <w:t xml:space="preserve">  (16)</w:t>
      </w:r>
    </w:p>
    <w:p>
      <w:pPr>
        <w:widowControl/>
      </w:pPr>
      <w:r>
        <w:t>悬停 T=(m_0+m)g_acc，固定其他条件，诱导功率随总质量的 3/2 次方变化：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ind</m:t>
                </m:r>
              </m:sub>
            </m:sSub>
            <m:r>
              <w:rPr>
                <w:rFonts w:ascii="Cambria Math" w:hAnsi="Cambria Math"/>
                <w:sz w:val="22"/>
              </w:rPr>
              <m:t>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</w:rPr>
              <m:t>+m)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ind</m:t>
                </m:r>
              </m:sub>
            </m:sSub>
            <m:r>
              <w:rPr>
                <w:rFonts w:ascii="Cambria Math" w:hAnsi="Cambria Math"/>
                <w:sz w:val="22"/>
              </w:rPr>
              <m:t>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den>
        </m:f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(</m:t>
            </m:r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+m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</w:rPr>
              <m:t>)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  <w:sz w:val="22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2</m:t>
                </m:r>
              </m:den>
            </m:f>
          </m:sup>
        </m:sSup>
      </m:oMath>
      <w:r>
        <w:rPr>
          <w:sz w:val="20"/>
        </w:rPr>
        <w:t xml:space="preserve">  (17)</w:t>
      </w:r>
    </w:p>
    <w:p>
      <w:pPr>
        <w:widowControl/>
      </w:pPr>
      <w:r>
        <w:t>这解释理想诱导功率趋势。程序把该缩放用于整个基准推进功率，是进一步的教学近似，不等于真实整机功率都遵循 3/2 次方。</w:t>
      </w:r>
    </w:p>
    <w:p>
      <w:pPr>
        <w:widowControl/>
      </w:pPr>
      <w:r>
        <w:t>阻力 D=(1/2)ρ C_D A_f v_a²，故阻力功率 Dv_a 含 v_a³ 项。Zeng 等正式发表的旋翼研究区分型阻、诱导和寄生阻力，其高速近似含常数、v_a²、1/v_a、v_a³ 项 [5]：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ref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  <m:r>
          <w:rPr>
            <w:rFonts w:ascii="Cambria Math" w:hAnsi="Cambria Math"/>
            <w:sz w:val="22"/>
          </w:rPr>
          <m:t>)≈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(1+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3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tip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2"/>
          </w:rPr>
          <m:t>)</m:t>
        </m:r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ρsA</m:t>
        </m:r>
        <m:sSubSup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  <m:sup>
            <m:r>
              <w:rPr>
                <w:rFonts w:ascii="Cambria Math" w:hAnsi="Cambria Math"/>
                <w:sz w:val="22"/>
              </w:rPr>
              <m:t>3</m:t>
            </m:r>
          </m:sup>
        </m:sSubSup>
      </m:oMath>
      <w:r>
        <w:rPr>
          <w:sz w:val="20"/>
        </w:rPr>
        <w:t xml:space="preserve">  (18)</w:t>
      </w:r>
    </w:p>
    <w:p>
      <w:pPr>
        <w:widowControl/>
      </w:pPr>
      <w:r>
        <w:t>P_0 与 P_i 是论文的悬停功率参数，U_tip 为桨尖速度，v_0 为悬停诱导速度，d_0 和 s 为阻力及旋翼参数。此近似有 v_a 远大于 v_0 等条件，不能外推到悬停。本演示未提供这些机型参数，也没有逐项实现完整论文公式。</w:t>
      </w:r>
    </w:p>
    <w:p>
      <w:pPr>
        <w:widowControl/>
      </w:pPr>
      <w:r>
        <w:t>当前速度因子 0.2+0.3/x+0.5x³ 只借鉴下降项与高速上升项的结构，f(1)=1 方便保持基准速度。0.2、0.3、0.5 并非从论文直接推导或实测拟合，不能称为有误差界的气动近似。</w:t>
      </w:r>
    </w:p>
    <w:p>
      <w:pPr>
        <w:widowControl/>
      </w:pPr>
      <w:r>
        <w:t>对应代码：weather-physics.js 的 basePower、speedFactor、power。文献支持结构和研究方向，不为当前 650 W、5.5 kg 参数提供机型认证。</w:t>
      </w:r>
    </w:p>
    <w:p>
      <w:pPr>
        <w:pStyle w:val="Heading1"/>
        <w:pageBreakBefore/>
      </w:pPr>
      <w:r>
        <w:t>6 当前功率公式和速度取舍</w:t>
      </w:r>
    </w:p>
    <w:p>
      <w:pPr>
        <w:widowControl/>
      </w:pPr>
      <w:r>
        <w:t>先定义质量与速度项，再叠加 TKE、水平风与阵风附加功率：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base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(</m:t>
            </m:r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+m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</w:rPr>
              <m:t>)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  <w:sz w:val="22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x=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12</m:t>
            </m:r>
            <m:r>
              <w:rPr>
                <w:rFonts w:ascii="Cambria Math" w:hAnsi="Cambria Math"/>
                <w:sz w:val="22"/>
              </w:rPr>
              <m:rPr>
                <m:nor/>
              </m:rPr>
              <m:t> 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s</m:t>
                </m:r>
              </m:den>
            </m:f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f(x)=0.2+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0.3</m:t>
            </m:r>
          </m:num>
          <m:den>
            <m:r>
              <w:rPr>
                <w:rFonts w:ascii="Cambria Math" w:hAnsi="Cambria Math"/>
                <w:sz w:val="22"/>
              </w:rPr>
              <m:t>x</m:t>
            </m:r>
          </m:den>
        </m:f>
        <m:r>
          <w:rPr>
            <w:rFonts w:ascii="Cambria Math" w:hAnsi="Cambria Math"/>
            <w:sz w:val="22"/>
          </w:rPr>
          <m:t>+0.5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</m:oMath>
      <w:r>
        <w:rPr>
          <w:sz w:val="20"/>
        </w:rPr>
        <w:t xml:space="preserve">  (19)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P=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  <m:r>
          <w:rPr>
            <w:rFonts w:ascii="Cambria Math" w:hAnsi="Cambria Math"/>
            <w:sz w:val="22"/>
          </w:rPr>
          <m:t>f(x)</m:t>
        </m:r>
        <m:r>
          <w:rPr>
            <w:rFonts w:ascii="Cambria Math" w:hAnsi="Cambria Math"/>
            <w:sz w:val="22"/>
          </w:rPr>
          <m:t>[1+0.6</m:t>
        </m:r>
        <m:sSup>
          <m:e>
            <m:r>
              <w:rPr>
                <w:rFonts w:ascii="Cambria Math" w:hAnsi="Cambria Math"/>
                <w:sz w:val="22"/>
              </w:rPr>
              <m:t>(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2"/>
                  </w:rPr>
                  <m:t>k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ref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]</m:t>
        </m:r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sSubSup>
          <m:e>
            <m:r>
              <w:rPr>
                <w:rFonts w:ascii="Cambria Math" w:hAnsi="Cambria Math"/>
                <w:sz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</w:rPr>
              <m:t>h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G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aux</m:t>
            </m:r>
          </m:sub>
        </m:sSub>
      </m:oMath>
      <w:r>
        <w:rPr>
          <w:sz w:val="20"/>
        </w:rPr>
        <w:t xml:space="preserve">  (20)</w:t>
      </w:r>
    </w:p>
    <w:p>
      <w:pPr>
        <w:widowControl/>
      </w:pPr>
      <w:r>
        <w:t>P_base=650 W，k_ref=3 m²/s²，W_h=√(u²+v²)，c_w=4 W·s²/m²，c_G=220 W，P_aux=40 W。括号各项无量纲；所有附加项单位均为 W。G 不是 m/s。</w:t>
      </w:r>
    </w:p>
    <w:p>
      <w:pPr>
        <w:widowControl/>
      </w:pPr>
      <w:r>
        <w:t>在允许参数范围，功率为正；载荷、k、风幅度或 G 增加时相应项增加。平方惩罚及 0.6、4、220、40 都是教学系数，量纲一致和趋势合理不能证明真实耗电准确。</w:t>
      </w:r>
    </w:p>
    <w:p>
      <w:pPr>
        <w:widowControl/>
      </w:pPr>
      <w:r>
        <w:t>最低功率速度满足 f 的导数为零，二阶导数为正：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(x)=−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0.3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+1.5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=0,</m:t>
        </m:r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″</m:t>
            </m:r>
          </m:sup>
        </m:sSup>
        <m:r>
          <w:rPr>
            <w:rFonts w:ascii="Cambria Math" w:hAnsi="Cambria Math"/>
            <w:sz w:val="22"/>
          </w:rPr>
          <m:t>(x)=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0.6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2"/>
          </w:rPr>
          <m:t>+3x&gt;0</m:t>
        </m:r>
      </m:oMath>
      <w:r>
        <w:rPr>
          <w:sz w:val="20"/>
        </w:rPr>
        <w:t xml:space="preserve">  (21)</w:t>
      </w:r>
    </w:p>
    <w:p>
      <w:pPr>
        <w:widowControl/>
      </w:pPr>
      <w:r>
        <w:t>得 x=0.2^(1/4)，即约 8.02488 m/s。配送还关心单位距离耗电。无风时设 A=P_b[1+0.6(k/k_ref)²]，则：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q(x)=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Af(x)+40</m:t>
            </m:r>
          </m:num>
          <m:den>
            <m:r>
              <w:rPr>
                <w:rFonts w:ascii="Cambria Math" w:hAnsi="Cambria Math"/>
                <w:sz w:val="22"/>
              </w:rPr>
              <m:t>43.2x</m:t>
            </m:r>
          </m:den>
        </m:f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(x)=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−(0.2A+40)/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−0.6A/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2"/>
              </w:rPr>
              <m:t>+Ax</m:t>
            </m:r>
          </m:num>
          <m:den>
            <m:r>
              <w:rPr>
                <w:rFonts w:ascii="Cambria Math" w:hAnsi="Cambria Math"/>
                <w:sz w:val="22"/>
              </w:rPr>
              <m:t>43.2</m:t>
            </m:r>
          </m:den>
        </m:f>
      </m:oMath>
      <w:r>
        <w:rPr>
          <w:sz w:val="20"/>
        </w:rPr>
        <w:t xml:space="preserve">  (22)</w:t>
      </w:r>
    </w:p>
    <w:p>
      <w:pPr>
        <w:widowControl/>
      </w:pPr>
      <w:r>
        <w:t>对 x&gt;0、A&gt;0，二阶导数恒正；q 在速度趋近零或无穷时都增大，因此导数零点是唯一最低点。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″</m:t>
            </m:r>
          </m:sup>
        </m:sSup>
        <m:r>
          <w:rPr>
            <w:rFonts w:ascii="Cambria Math" w:hAnsi="Cambria Math"/>
            <w:sz w:val="22"/>
          </w:rPr>
          <m:t>(x)=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2(0.2A+40)/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2"/>
              </w:rPr>
              <m:t>+1.8A/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4</m:t>
                </m:r>
              </m:sup>
            </m:sSup>
            <m:r>
              <w:rPr>
                <w:rFonts w:ascii="Cambria Math" w:hAnsi="Cambria Math"/>
                <w:sz w:val="22"/>
              </w:rPr>
              <m:t>+A</m:t>
            </m:r>
          </m:num>
          <m:den>
            <m:r>
              <w:rPr>
                <w:rFonts w:ascii="Cambria Math" w:hAnsi="Cambria Math"/>
                <w:sz w:val="22"/>
              </w:rPr>
              <m:t>43.2</m:t>
            </m:r>
          </m:den>
        </m:f>
        <m:r>
          <w:rPr>
            <w:rFonts w:ascii="Cambria Math" w:hAnsi="Cambria Math"/>
            <w:sz w:val="22"/>
          </w:rPr>
          <m:t>&gt;0</m:t>
        </m:r>
      </m:oMath>
      <w:r>
        <w:rPr>
          <w:sz w:val="20"/>
        </w:rPr>
        <w:t xml:space="preserve">  (23)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A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−(0.2A+40)x−0.6A=0</m:t>
        </m:r>
      </m:oMath>
      <w:r>
        <w:rPr>
          <w:sz w:val="20"/>
        </w:rPr>
        <w:t xml:space="preserve">  (24)</w:t>
      </w:r>
    </w:p>
    <w:p>
      <w:pPr>
        <w:widowControl/>
      </w:pPr>
      <w:r>
        <w:t>载荷 1 kg、k=0.3、无风无阵风时，MATLAB 解得最低 Wh/km 速度约 11.47731 m/s。两个极小值不同，是功率与单位距离能量目标不同所致，都是教学函数结果，不是实机推荐速度。</w:t>
      </w:r>
    </w:p>
    <w:p>
      <w:pPr>
        <w:widowControl/>
      </w:pPr>
      <w:r>
        <w:t>逆风使地速降低，增加同航程的时间与能量。当前 4W_h² 对等大小顺逆风相同，属于现象性惩罚；不能解释成空气动力学上二者功率必然相同，真实模型需标定并避免重复计入风影响。</w:t>
      </w:r>
    </w:p>
    <w:p>
      <w:pPr>
        <w:widowControl/>
      </w:pPr>
      <w:r>
        <w:t>巡航式含 1/v_a，不能代入零速度。悬停另用教学常数 1.08 替换 f；未保证低速到悬停连续过渡，这是模型改进点。</w:t>
      </w:r>
    </w:p>
    <w:p>
      <w:pPr>
        <w:pStyle w:val="Heading1"/>
        <w:pageBreakBefore/>
      </w:pPr>
      <w:r>
        <w:t>7 时间积分电量与换电账本</w:t>
      </w:r>
    </w:p>
    <w:p>
      <w:pPr>
        <w:widowControl/>
      </w:pPr>
      <w:r>
        <w:t>正地速、段内近似常值时，距离除以地速给出时间。功率是能量变化率；1 Wh=3600 J，所以积分需除以 3600。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1000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km,i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g,i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Wh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3600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T</m:t>
            </m:r>
          </m:sup>
          <m:e/>
        </m:nary>
        <m:r>
          <w:rPr>
            <w:rFonts w:ascii="Cambria Math" w:hAnsi="Cambria Math"/>
            <w:sz w:val="22"/>
          </w:rPr>
          <m:t>P(t)</m:t>
        </m:r>
        <m:r>
          <w:rPr>
            <w:rFonts w:ascii="Cambria Math" w:hAnsi="Cambria Math"/>
            <w:sz w:val="22"/>
          </w:rPr>
          <m:t>dt</m:t>
        </m:r>
      </m:oMath>
      <w:r>
        <w:rPr>
          <w:sz w:val="20"/>
        </w:rPr>
        <w:t xml:space="preserve">  (25)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</w:rPr>
              <m:t>Δ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3600</m:t>
            </m:r>
          </m:den>
        </m:f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flight</m:t>
            </m:r>
          </m:sub>
        </m:sSub>
        <m:r>
          <w:rPr>
            <w:rFonts w:ascii="Cambria Math" w:hAnsi="Cambria Math"/>
            <w:sz w:val="22"/>
          </w:rP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3.6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g,i</m:t>
                </m:r>
              </m:sub>
            </m:sSub>
          </m:den>
        </m:f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rPr>
            <m:sty m:val="p"/>
          </m:rPr>
          <m:t>Wh</m:t>
        </m:r>
        <m:r>
          <w:rPr>
            <w:rFonts w:ascii="Cambria Math" w:hAnsi="Cambria Math"/>
            <w:sz w:val="22"/>
          </w:rPr>
          <m:t>/</m:t>
        </m:r>
        <m:r>
          <w:rPr>
            <w:rFonts w:ascii="Cambria Math" w:hAnsi="Cambria Math"/>
            <w:sz w:val="22"/>
          </w:rPr>
          <m:rPr>
            <m:sty m:val="p"/>
          </m:rPr>
          <m:t>km</m:t>
        </m:r>
      </m:oMath>
      <w:r>
        <w:rPr>
          <w:sz w:val="20"/>
        </w:rPr>
        <w:t xml:space="preserve">  (26)</w:t>
      </w:r>
    </w:p>
    <w:p>
      <w:pPr>
        <w:widowControl/>
      </w:pPr>
      <w:r>
        <w:t>分段常功率下和式是该分段模型的准确积分；对真实变化功率则是近似。飞行与等待按实际步长扣电，不能每帧扣固定百分比。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n+1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  <m:r>
              <w:rPr>
                <w:rFonts w:ascii="Cambria Math" w:hAnsi="Cambria Math"/>
                <w:sz w:val="22"/>
              </w:rPr>
              <m:t>Δ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3600</m:t>
            </m:r>
          </m:den>
        </m:f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>≥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res</m:t>
            </m:r>
          </m:sub>
        </m:sSub>
        <m:r>
          <w:rPr>
            <w:rFonts w:ascii="Cambria Math" w:hAnsi="Cambria Math"/>
            <w:sz w:val="22"/>
          </w:rPr>
          <m:t>=C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100</m:t>
            </m:r>
          </m:den>
        </m:f>
      </m:oMath>
      <w:r>
        <w:rPr>
          <w:sz w:val="20"/>
        </w:rPr>
        <w:t xml:space="preserve">  (27)</w:t>
      </w:r>
    </w:p>
    <w:p>
      <w:pPr>
        <w:widowControl/>
      </w:pPr>
      <w:r>
        <w:t>换电地面停留固定时间，换成满电电池；旧电池剩余能量不是消耗量。新增能量为新旧电池能量差；累计 usedWh 不因换电清零。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p>
          <m:e>
            <m:r>
              <w:rPr>
                <w:rFonts w:ascii="Cambria Math" w:hAnsi="Cambria Math"/>
                <w:sz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</w:rPr>
              <m:t>+</m:t>
            </m:r>
          </m:sup>
        </m:sSup>
        <m:r>
          <w:rPr>
            <w:rFonts w:ascii="Cambria Math" w:hAnsi="Cambria Math"/>
            <w:sz w:val="22"/>
          </w:rPr>
          <m:t>=C,</m:t>
        </m:r>
        <m:r>
          <w:rPr>
            <w:rFonts w:ascii="Cambria Math" w:hAnsi="Cambria Math"/>
            <w:sz w:val="22"/>
          </w:rPr>
          <m:t>R=C−</m:t>
        </m:r>
        <m:sSup>
          <m:e>
            <m:r>
              <w:rPr>
                <w:rFonts w:ascii="Cambria Math" w:hAnsi="Cambria Math"/>
                <w:sz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</w:rPr>
              <m:t>−</m:t>
            </m:r>
          </m:sup>
        </m:sSup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final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+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j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used</m:t>
            </m:r>
          </m:sub>
        </m:sSub>
      </m:oMath>
      <w:r>
        <w:rPr>
          <w:sz w:val="20"/>
        </w:rPr>
        <w:t xml:space="preserve">  (28)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task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flight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hold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swap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swap</m:t>
            </m:r>
          </m:sub>
        </m:sSub>
      </m:oMath>
      <w:r>
        <w:rPr>
          <w:sz w:val="20"/>
        </w:rPr>
        <w:t xml:space="preserve">  (29)</w:t>
      </w:r>
    </w:p>
    <w:p>
      <w:pPr>
        <w:widowControl/>
      </w:pPr>
      <w:r>
        <w:t>播放倍率只影响演示墙钟时间。页面暂停和保护停演冻结模拟，不代表真实飞机免费悬停。进入安全位置等待后位置不变，悬停仍扣电；等待点不安全或触及保留电量则停止模拟，尚未模拟真实返航或备降。</w:t>
      </w:r>
    </w:p>
    <w:p>
      <w:pPr>
        <w:widowControl/>
      </w:pPr>
      <w:r>
        <w:t>手算：零载荷、k=0、无风、12 m/s 时，P=690 W；6 km 用时 500 s，耗电 95.83333 Wh。悬停 P_h=650×1.08+40=742 W；120 s 耗电 24.73333 Wh，均已与网页输出闭式核对。</w:t>
      </w:r>
    </w:p>
    <w:p>
      <w:pPr>
        <w:widowControl/>
      </w:pPr>
      <w:r>
        <w:t>账本例：B_0=209 Wh，第一段耗电 50 后剩 159，换电补入 61，第二段耗电 100 后剩 120，满足 209+61−150=120；每段末均超过 44 Wh。该例检查算术；实际任务状态另用 1031 个回放点审计。</w:t>
      </w:r>
    </w:p>
    <w:p>
      <w:pPr>
        <w:widowControl/>
      </w:pPr>
      <w:r>
        <w:t>对应代码：weather-physics.js 的 edge 和 hoverPower；flight-engine.js 的 tick 和 schedule；MATLAB 的逐段复算、悬停积分与账本恒等式。</w:t>
      </w:r>
    </w:p>
    <w:p>
      <w:pPr>
        <w:pStyle w:val="Heading1"/>
        <w:pageBreakBefore/>
      </w:pPr>
      <w:r>
        <w:t>8 路径目标与 A 星最优性条件</w:t>
      </w:r>
    </w:p>
    <w:p>
      <w:pPr>
        <w:widowControl/>
      </w:pPr>
      <w:r>
        <w:t>演示路线与课程 D 题适配路线目标不同，须分别报告。以端点平均 TKE 代表航段，演示目标组合距离、归一化 TKE 与能量：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</m:ba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i+1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demo,i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km,i</m:t>
            </m:r>
          </m:sub>
        </m:sSub>
        <m:r>
          <w:rPr>
            <w:rFonts w:ascii="Cambria Math" w:hAnsi="Cambria Math"/>
            <w:sz w:val="22"/>
          </w:rPr>
          <m:t>[1+λ</m:t>
        </m:r>
        <m:sSup>
          <m:e>
            <m:r>
              <w:rPr>
                <w:rFonts w:ascii="Cambria Math" w:hAnsi="Cambria Math"/>
                <w:sz w:val="22"/>
              </w:rPr>
              <m:t>(</m:t>
            </m:r>
            <m:f>
              <m:fPr>
                <m:type m:val="bar"/>
              </m:fPr>
              <m:num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ref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]</m:t>
        </m:r>
        <m:r>
          <w:rPr>
            <w:rFonts w:ascii="Cambria Math" w:hAnsi="Cambria Math"/>
            <w:sz w:val="22"/>
          </w:rPr>
          <m:t>+η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ref</m:t>
                </m:r>
              </m:sub>
            </m:sSub>
          </m:den>
        </m:f>
      </m:oMath>
      <w:r>
        <w:rPr>
          <w:sz w:val="20"/>
        </w:rPr>
        <w:t xml:space="preserve">  (30)</w:t>
      </w:r>
    </w:p>
    <w:p>
      <w:pPr>
        <w:widowControl/>
      </w:pPr>
      <w:r>
        <w:t>λ=8、η=2。代码 E_ref 数值 20，带量纲时应解释为 20 Wh/km，使能量项折算为 km 等效代价；这不是实际新增航程。</w:t>
      </w:r>
    </w:p>
    <w:p>
      <w:pPr>
        <w:widowControl/>
      </w:pPr>
      <w:r>
        <w:t>课程第一份 PDF 第 28–29 页定义距离加 TKE 幂次惩罚，α=200、β=1.5 [11]。实验仅二维定高适配。为保持量纲，可把原 SI 数值解释为以 k_star=1 m²/s² 为参照：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D,i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km,i</m:t>
            </m:r>
          </m:sub>
        </m:sSub>
        <m:r>
          <w:rPr>
            <w:rFonts w:ascii="Cambria Math" w:hAnsi="Cambria Math"/>
            <w:sz w:val="22"/>
          </w:rPr>
          <m:t>[1+200</m:t>
        </m:r>
        <m:sSup>
          <m:e>
            <m:r>
              <w:rPr>
                <w:rFonts w:ascii="Cambria Math" w:hAnsi="Cambria Math"/>
                <w:sz w:val="22"/>
              </w:rPr>
              <m:t>(</m:t>
            </m:r>
            <m:f>
              <m:fPr>
                <m:type m:val="bar"/>
              </m:fPr>
              <m:num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star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1.5</m:t>
            </m:r>
          </m:sup>
        </m:sSup>
        <m:r>
          <w:rPr>
            <w:rFonts w:ascii="Cambria Math" w:hAnsi="Cambria Math"/>
            <w:sz w:val="22"/>
          </w:rPr>
          <m:t>]</m:t>
        </m:r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star</m:t>
            </m:r>
          </m:sub>
        </m:sSub>
        <m:r>
          <w:rPr>
            <w:rFonts w:ascii="Cambria Math" w:hAnsi="Cambria Math"/>
            <w:sz w:val="22"/>
          </w:rPr>
          <m:t>=1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</m:oMath>
      <w:r>
        <w:rPr>
          <w:sz w:val="20"/>
        </w:rPr>
        <w:t xml:space="preserve">  (31)</w:t>
      </w:r>
    </w:p>
    <w:p>
      <w:pPr>
        <w:widowControl/>
      </w:pPr>
      <w:r>
        <w:t>参照解释保持计算数值不变，不额外验证原文参数来源。D 题 PDF 标为课程材料，未作为正式论文。该目标的最优路径不一定最快、最省电或换电最少。</w:t>
      </w:r>
    </w:p>
    <w:p>
      <w:pPr>
        <w:widowControl/>
      </w:pPr>
      <w:r>
        <w:t>在 λ、η、k、E 非负时，c_i≥d_i。取 h 为到目标的直线距离，则三角不等式给出每条允许有向边：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h(n)≤d(n,m)+h(m)≤c(n,m)+h(m),</m:t>
        </m:r>
        <m:r>
          <w:rPr>
            <w:rFonts w:ascii="Cambria Math" w:hAnsi="Cambria Math"/>
            <w:sz w:val="22"/>
          </w:rPr>
          <m:t>h(goal)=0</m:t>
        </m:r>
      </m:oMath>
      <w:r>
        <w:rPr>
          <w:sz w:val="20"/>
        </w:rPr>
        <w:t xml:space="preserve">  (32)</w:t>
      </w:r>
    </w:p>
    <w:p>
      <w:pPr>
        <w:widowControl/>
      </w:pPr>
      <w:r>
        <w:t>因此 h 一致且不高估剩余代价。在固定有限图、非负权、正确维护优先队列和累计代价条件下，A* 弹出目标可得离散最小代价，依据 Hart 等研究 [6]。代码使用 closed 集而不重开节点，需要上述一致性。能量单目标不一定 c≥d，所以代码关闭距离启发，取 h=0，退化为 Dijkstra [7]。</w:t>
      </w:r>
    </w:p>
    <w:p>
      <w:pPr>
        <w:widowControl/>
      </w:pPr>
      <w:r>
        <w:t>删除不可飞节点或边不破坏剩余边的不等式。顺逆风使两方向可行性可能不同，所以 MATLAB 用 digraph。正权 shortestpath 采用 Dijkstra [8]，重新算 D 题权重与最优值；比较总代价，不强求等价最优路线坐标相同。</w:t>
      </w:r>
    </w:p>
    <w:p>
      <w:pPr>
        <w:widowControl/>
      </w:pPr>
      <w:r>
        <w:t>证明只针对给定离散图。相同安全边集的验证不能证明没有遗漏真实禁飞空域、建筑物，或连续空间路径已全局最优。</w:t>
      </w:r>
    </w:p>
    <w:p>
      <w:pPr>
        <w:pStyle w:val="Heading1"/>
        <w:pageBreakBefore/>
      </w:pPr>
      <w:r>
        <w:t>9 换电网络滚动规划与边界</w:t>
      </w:r>
    </w:p>
    <w:p>
      <w:pPr>
        <w:widowControl/>
      </w:pPr>
      <w:r>
        <w:t>上层节点包括当前位置、下一必经点、终点及三个换电站。必经点按顺序推进，换电站为可选节点。标签包含位置、任务进度、剩余能量和累计等效代价：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s=(p,j,B,J),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arrival</m:t>
            </m:r>
          </m:sub>
        </m:sSub>
        <m:r>
          <w:rPr>
            <w:rFonts w:ascii="Cambria Math" w:hAnsi="Cambria Math"/>
            <w:sz w:val="22"/>
          </w:rPr>
          <m:t>=B−E(p,q)≥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res</m:t>
            </m:r>
          </m:sub>
        </m:sSub>
      </m:oMath>
      <w:r>
        <w:rPr>
          <w:sz w:val="20"/>
        </w:rPr>
        <w:t xml:space="preserve">  (33)</w:t>
      </w:r>
    </w:p>
    <w:p>
      <w:pPr>
        <w:widowControl/>
      </w:pPr>
      <w:r>
        <w:t>满足保留能量才扩展；到站换成满电。换电惩罚用空速把服务秒数折算为距离，当前并非只最小化总任务时间。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new</m:t>
            </m:r>
          </m:sub>
        </m:sSub>
        <m:r>
          <w:rPr>
            <w:rFonts w:ascii="Cambria Math" w:hAnsi="Cambria Math"/>
            <w:sz w:val="22"/>
          </w:rPr>
          <m:t>=J+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route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rPr>
                <m:scr m:val="double-struck"/>
                <m:sty m:val="p"/>
              </m:rPr>
              <m:t>1</m:t>
            </m:r>
          </m:e>
          <m:sub>
            <m:r>
              <w:rPr>
                <w:rFonts w:ascii="Cambria Math" w:hAnsi="Cambria Math"/>
                <w:sz w:val="22"/>
              </w:rPr>
              <m:t>swap</m:t>
            </m:r>
          </m:sub>
        </m:sSub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swap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1000</m:t>
            </m:r>
          </m:den>
        </m:f>
      </m:oMath>
      <w:r>
        <w:rPr>
          <w:sz w:val="20"/>
        </w:rPr>
        <w:t xml:space="preserve">  (34)</w:t>
      </w:r>
    </w:p>
    <w:p>
      <w:pPr>
        <w:widowControl/>
      </w:pPr>
      <w:r>
        <w:t>同位置同进度、固定气象、无到达时刻相关约束、站点一直可用时，代价更低且电量更多的标签支配另一标签，可以剪枝：</w:t>
      </w:r>
    </w:p>
    <w:p>
      <w:pPr>
        <w:keepLines/>
        <w:spacing w:before="100" w:after="140" w:line="264" w:lineRule="auto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  <m:r>
          <w:rPr>
            <w:rFonts w:ascii="Cambria Math" w:hAnsi="Cambria Math"/>
            <w:sz w:val="22"/>
          </w:rPr>
          <m:t>≤</m:t>
        </m:r>
        <m:sSub>
          <m:e>
            <m:r>
              <w:rPr>
                <w:rFonts w:ascii="Cambria Math" w:hAnsi="Cambria Math"/>
                <w:sz w:val="22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  <m:r>
          <w:rPr>
            <w:rFonts w:ascii="Cambria Math" w:hAnsi="Cambria Math"/>
            <w:sz w:val="22"/>
          </w:rPr>
          <m:t>≥</m:t>
        </m:r>
        <m:sSub>
          <m:e>
            <m:r>
              <w:rPr>
                <w:rFonts w:ascii="Cambria Math" w:hAnsi="Cambria Math"/>
                <w:sz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  <m:r>
          <w:rPr>
            <w:rFonts w:ascii="Cambria Math" w:hAnsi="Cambria Math"/>
            <w:sz w:val="22"/>
          </w:rPr>
          <m:t>⟹</m:t>
        </m:r>
        <m:r>
          <w:rPr>
            <w:rFonts w:ascii="Cambria Math" w:hAnsi="Cambria Math"/>
            <w:sz w:val="22"/>
          </w:rPr>
          <m:t>A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rPr>
            <m:sty m:val="p"/>
          </m:rPr>
          <m:t>dominates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B</m:t>
        </m:r>
      </m:oMath>
      <w:r>
        <w:rPr>
          <w:sz w:val="20"/>
        </w:rPr>
        <w:t xml:space="preserve">  (35)</w:t>
      </w:r>
    </w:p>
    <w:p>
      <w:pPr>
        <w:widowControl/>
      </w:pPr>
      <w:r>
        <w:t>每对节点仅提供综合代价路线与最低能量路线两类候选，未枚举全部折中路径。因此不能宣称整个换电任务在全部网格路径中全局最优。随天气变化的未来决策也未被静态标签论证覆盖。Huang 等论文支持换电站扩展航程，但其原算法与本候选策略不同 [9]。</w:t>
      </w:r>
    </w:p>
    <w:p>
      <w:pPr>
        <w:widowControl/>
      </w:pPr>
      <w:r>
        <w:t>滚动规划使用当前位置的最新快照更新剩余任务，不预知全部未来风场，所以不能证明未知未来扰动下总用时最小。页面总用时与选路综合代价是两个指标。</w:t>
      </w:r>
    </w:p>
    <w:p>
      <w:pPr>
        <w:widowControl/>
      </w:pPr>
      <w:r>
        <w:t>动态天气按任务时间四倍推进：每任务秒增加 4/60 天气分钟；手动阵风生命周期按任务秒计。静态路线比较及默认换电回放关闭动态天气，避免展示加速影响固定输入。</w:t>
      </w:r>
    </w:p>
    <w:p>
      <w:pPr>
        <w:widowControl/>
      </w:pPr>
      <w:r>
        <w:t>未建模站点排队、库存、起降额外能耗、电池老化、备降点与真实空域。站点图标是教学布局，不代表真实设施。Rienecker 等支持城市风场与能量规划研究方向，但其三维固定翼条件不同 [10]。</w:t>
      </w:r>
    </w:p>
    <w:p>
      <w:pPr>
        <w:pStyle w:val="Heading1"/>
        <w:pageBreakBefore/>
      </w:pPr>
      <w:r>
        <w:t>10 手算算例与实际 MATLAB 结果</w:t>
      </w:r>
    </w:p>
    <w:p>
      <w:pPr>
        <w:widowControl/>
      </w:pPr>
      <w:r>
        <w:t>下表固定空速 12 m/s、零载荷、k=0、G=0、距离 6 km。地速来自风三角，功率来自明确的教学函数，参考答案不依赖随机任务输出。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1417"/>
        <w:gridCol w:w="1247"/>
        <w:gridCol w:w="1814"/>
        <w:gridCol w:w="209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算例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风分量 u v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地速 m/s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功率 W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用时 s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耗电 Wh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无风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0 0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690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95.83333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顺风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6 0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834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333.33333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77.22222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逆风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−6 0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834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231.66667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纯侧风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0 6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10.39230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834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577.35027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133.75281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侧风不能补偿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0 12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1266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拒绝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不报告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无前进地速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−12 0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1266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拒绝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不报告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超教学风限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14 0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1474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拒绝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不报告</w:t>
            </w:r>
          </w:p>
        </w:tc>
      </w:tr>
    </w:tbl>
    <w:p>
      <w:pPr>
        <w:spacing w:after="0"/>
      </w:pPr>
    </w:p>
    <w:p>
      <w:pPr>
        <w:widowControl/>
      </w:pPr>
      <w:r>
        <w:t>拒绝案例不能把除以极小数的时间当成可执行任务。闭式检查对拒绝案例以 NaN 表示不报告用时与能量。</w:t>
      </w:r>
    </w:p>
    <w:p>
      <w:pPr>
        <w:widowControl/>
      </w:pPr>
      <w:r>
        <w:t>均匀 k=0.3、无障碍、同一行相距 30 格时，路径长度下界 6 km，直线达到下界。演示代价为 6×[1+8×(0.3/3)²]=6.48；D 题适配代价为 6×[1+200×0.3^1.5]=203.18012070。代码与解析值一致。</w:t>
      </w:r>
    </w:p>
    <w:p>
      <w:pPr>
        <w:widowControl/>
      </w:pPr>
      <w:r>
        <w:t>2026 年 10 月 7 日本机 MATLAB R2024b 实际运行：七个闭式风况、六个标量输出通过；最低功率和 Wh/km 速度导数残差检查通过。闭式结果对未舍入双精度值按约 10⁻⁹ 等级核对，实际阈值见 verify_analytic_cases.m。</w:t>
      </w:r>
    </w:p>
    <w:p>
      <w:pPr>
        <w:widowControl/>
      </w:pPr>
      <w:r>
        <w:t>随机固定输入另通过三组图搜索、九条航路、96 组参数检查，以及 1031 个换电任务点和 240 步等待积分。最大时间差 0.00490706 s，最大能量差 0.00498050 Wh。</w:t>
      </w:r>
    </w:p>
    <w:p>
      <w:pPr>
        <w:widowControl/>
      </w:pPr>
      <w:r>
        <w:t>航路摘要保留两位小数，单次舍入最大误差为 0.005；容差取 0.005001，留小量浮点裕度。四位小数的距离、代价用 0.00005001。容差由舍入决定，不是允许百分之几的真实模型误差。</w:t>
      </w:r>
    </w:p>
    <w:p>
      <w:pPr>
        <w:widowControl/>
      </w:pPr>
      <w:r>
        <w:t>新日志 analytic_verification_report.txt 和解析输出 analytic_wind_verified.csv、analytic_scalar_verified.csv 与原有数值验证记录一同保存。</w:t>
      </w:r>
    </w:p>
    <w:p>
      <w:pPr>
        <w:pStyle w:val="Heading1"/>
        <w:pageBreakBefore/>
      </w:pPr>
      <w:r>
        <w:t>11 公式与代码的对应关系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98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网页实现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AF0F6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MATLAB 检查与覆盖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TKE 波动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seeded-weather.js wind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闭式标量；定义与各向同性代数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气象融合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model.js buildField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导入网格；未独立重写融合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地速风况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weather-physics.js edge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投影地速与局部拒绝算例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功率 Wh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weather-physics.js power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逐段重算与 96 组参数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网格搜索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model.js plan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D 题代价及距离最短路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换电任务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flight-engine.js planMission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一个默认任务的回放账本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等待扣电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flight-engine.js tick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一个大范围阵风案例的逐步积分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总用时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flight-engine.js schedule</w:t>
            </w:r>
          </w:p>
        </w:tc>
        <w:tc>
          <w:tcPr>
            <w:tcW w:type="dxa" w:w="49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飞行等待换电恒等式</w:t>
            </w:r>
          </w:p>
        </w:tc>
      </w:tr>
    </w:tbl>
    <w:p>
      <w:pPr>
        <w:spacing w:after="0"/>
      </w:pPr>
    </w:p>
    <w:p>
      <w:pPr>
        <w:widowControl/>
      </w:pPr>
      <w:r>
        <w:t>搜索使用同一安全边集，但重算权重并独立运行 MATLAB；耗电从航段输入重算，不调用 JavaScript 功率函数。使用同一输入是实验条件一致，不表示输入是真实气象。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92000" cy="3337051"/>
            <wp:docPr id="1" name="Picture 1" descr="图 1 时间与能量独立复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e_energy_agre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33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时间与能量独立复核</w:t>
      </w:r>
    </w:p>
    <w:p>
      <w:pPr>
        <w:widowControl/>
      </w:pPr>
      <w:r>
        <w:t>点靠近 y=x 只作视觉说明，是否通过以逐项误差断言判断。原始复核文件包括 metrics_verified.csv、search_verified.csv、sweep_verified.csv、hold_verified.csv。任何断言失败都应追溯参数、单位、公式与输入，不能只放大容差。</w:t>
      </w:r>
    </w:p>
    <w:p>
      <w:pPr>
        <w:pStyle w:val="Heading1"/>
        <w:pageBreakBefore/>
      </w:pPr>
      <w:r>
        <w:t>12 速度与等待图片的解释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92000" cy="3228331"/>
            <wp:docPr id="2" name="Picture 2" descr="图 2 速度载荷与能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ed_payload_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22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速度载荷与能耗</w:t>
      </w:r>
    </w:p>
    <w:p>
      <w:pPr>
        <w:widowControl/>
      </w:pPr>
      <w:r>
        <w:t>图 2 展示教学模型下的速度、载荷和 TKE 影响；应说“模型中存在时间与单位距离能量的取舍”，不能把极小值说成真实机型最经济速度。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92000" cy="3303000"/>
            <wp:docPr id="3" name="Picture 3" descr="图 3 阵风等待能量积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ust_wait_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3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阵风等待能量积分</w:t>
      </w:r>
    </w:p>
    <w:p>
      <w:pPr>
        <w:widowControl/>
      </w:pPr>
      <w:r>
        <w:t>图 3 本例等待 240 s 耗电 66.808011 Wh，位置不变，结束恢复飞行。保护停演冻结演示，进入模拟等待才计时扣电，二者已由回放核对。默认换电任务用时 909.35+120=1029.35 s，不能挪用于 6 km 手算场景。全部六组图见 matlab/figures/MATLAB_validation_all.pdf。</w:t>
      </w:r>
    </w:p>
    <w:p>
      <w:pPr>
        <w:pStyle w:val="Heading1"/>
        <w:pageBreakBefore/>
      </w:pPr>
      <w:r>
        <w:t>13 标准外部验证和复现方法</w:t>
      </w:r>
    </w:p>
    <w:p>
      <w:pPr>
        <w:widowControl/>
      </w:pPr>
      <w:r>
        <w:t>GB 42590-2023 是现行强制性国家标准，CCAR-92 是实际运行规章 [13][14]。它们不直接认证 A* 最优性，也不替本项目选定 14 m/s 风限或 120 s 服务时间。本演示没有进行标准符合性检测或获得实际运行批准。</w:t>
      </w:r>
    </w:p>
    <w:p>
      <w:pPr>
        <w:widowControl/>
      </w:pPr>
      <w:r>
        <w:t>现实准确性需选定机型，查厂家载荷、速度、风况和返航限制，再使用实测航段验证。记录电压电流、空速地速、三分量风和实际时间；功率取 V(t)I(t)，积分得到 Wh。用一部分数据标定参数，另一部分留出验证，避免在同一批数据上拟合又宣称准确。</w:t>
      </w:r>
    </w:p>
    <w:p>
      <w:pPr>
        <w:widowControl/>
      </w:pPr>
      <w:r>
        <w:t>评价应包含能量 MAE、相对误差、用时误差、任务完成率和最低剩余电量。另需网格间距、时间步长和安全采样的收敛试验；现有 200 m 网格没有连续空间误差界。真实机型的推力倾角约束、顺逆风功率、电池老化、站点排队及起降耗电是后续改进点。</w:t>
      </w:r>
    </w:p>
    <w:p>
      <w:pPr>
        <w:widowControl/>
      </w:pPr>
      <w:r>
        <w:t>报告可写：“在设定合成输入、离散网格和教学功率公式下，我们推导了地速与能量账本，证明距离启发函数一致，并用 MATLAB 独立最短路、积分和闭式算例复核程序。结果支持所测场景的实现正确性，现实性能仍需机型和气象实测标定。”</w:t>
      </w:r>
    </w:p>
    <w:p>
      <w:pPr>
        <w:widowControl/>
      </w:pPr>
      <w:r>
        <w:t>复现时在仓库根目录运行 npm run experiment，再运行 npm run matlab:fixtures。MATLAB 当前文件夹也设为仓库根目录：</w:t>
      </w:r>
    </w:p>
    <w:p>
      <w:pPr>
        <w:spacing w:after="100"/>
      </w:pPr>
      <w:r>
        <w:rPr>
          <w:rFonts w:ascii="Consolas" w:hAnsi="Consolas"/>
          <w:sz w:val="20"/>
        </w:rPr>
        <w:t>addpath('matlab');</w:t>
        <w:br/>
      </w:r>
      <w:r>
        <w:rPr>
          <w:rFonts w:ascii="Consolas" w:hAnsi="Consolas"/>
          <w:sz w:val="20"/>
        </w:rPr>
        <w:t>run_validation;</w:t>
        <w:br/>
      </w:r>
    </w:p>
    <w:p>
      <w:pPr>
        <w:widowControl/>
      </w:pPr>
      <w:r>
        <w:t>只检查闭式算例可运行 verify_analytic_cases。输出图片有 PNG、PDF 和可编辑 FIG；日志保存在 matlab。修改参数后同步参考模型并重新推导期望答案，不要把网页输出直接复制成参考答案。</w:t>
      </w:r>
    </w:p>
    <w:p>
      <w:pPr>
        <w:pStyle w:val="Heading1"/>
        <w:pageBreakBefore/>
      </w:pPr>
      <w:r>
        <w:t>14 可核查参考资料</w:t>
      </w:r>
    </w:p>
    <w:p>
      <w:pPr>
        <w:widowControl/>
      </w:pPr>
      <w:r>
        <w:t>核查日期为 2026 年 10 月 7 日。正式论文、官方技术资料、课程材料与法规标准分别标注；作者开放版本用于阅读公式，不作为另一篇正式论文。</w:t>
      </w:r>
    </w:p>
    <w:p>
      <w:pPr>
        <w:widowControl/>
      </w:pPr>
      <w:r>
        <w:t>[1] NOAA Air Resources Laboratory. Turbulence Equations. 官方技术资料；用于 TKE 定义，不支持城市环境普遍各向同性。</w:t>
      </w:r>
      <w:hyperlink r:id="rId13">
        <w:r>
          <w:rPr>
            <w:color w:val="15558A"/>
          </w:rPr>
          <w:t>官方页面</w:t>
        </w:r>
      </w:hyperlink>
      <w:r>
        <w:t>。</w:t>
      </w:r>
    </w:p>
    <w:p>
      <w:pPr>
        <w:widowControl/>
      </w:pPr>
      <w:r>
        <w:t>[2] MathWorks. Dryden Wind Turbulence Model Continuous. 官方技术文档；速度谱、成形滤波器及冻结湍流限制；本演示尚未采用。</w:t>
      </w:r>
      <w:hyperlink r:id="rId14">
        <w:r>
          <w:rPr>
            <w:color w:val="15558A"/>
          </w:rPr>
          <w:t>官方页面</w:t>
        </w:r>
      </w:hyperlink>
      <w:r>
        <w:t>。</w:t>
      </w:r>
    </w:p>
    <w:p>
      <w:pPr>
        <w:widowControl/>
      </w:pPr>
      <w:r>
        <w:t>[3] FAA. Pilot’s Handbook of Aeronautical Knowledge, Chapter 16 Navigation, Figures 16-19 and 16-20. 官方手册；风三角依据。</w:t>
      </w:r>
      <w:hyperlink r:id="rId15">
        <w:r>
          <w:rPr>
            <w:color w:val="15558A"/>
          </w:rPr>
          <w:t>官方文件</w:t>
        </w:r>
      </w:hyperlink>
      <w:r>
        <w:t>。</w:t>
      </w:r>
    </w:p>
    <w:p>
      <w:pPr>
        <w:widowControl/>
      </w:pPr>
      <w:r>
        <w:t>[4] NASA Glenn Research Center. Propeller Thrust. 官方资料；简化桨盘动量理论。本文悬停质量关系为理想条件下推演，不是 NASA 对本程序的认证。</w:t>
      </w:r>
      <w:hyperlink r:id="rId16">
        <w:r>
          <w:rPr>
            <w:color w:val="15558A"/>
          </w:rPr>
          <w:t>官方页面</w:t>
        </w:r>
      </w:hyperlink>
      <w:r>
        <w:t>。</w:t>
      </w:r>
    </w:p>
    <w:p>
      <w:pPr>
        <w:widowControl/>
      </w:pPr>
      <w:r>
        <w:t>[5] Zeng Y, Xu J, Zhang R. Energy Minimization for Wireless Communication With Rotary-Wing UAV. IEEE Transactions on Wireless Communications, 2019, 18(4): 2329–2345. 正式论文；DOI: 10.1109/TWC.2019.2902559。</w:t>
      </w:r>
      <w:hyperlink r:id="rId17">
        <w:r>
          <w:rPr>
            <w:color w:val="15558A"/>
          </w:rPr>
          <w:t>期刊记录</w:t>
        </w:r>
      </w:hyperlink>
      <w:r>
        <w:t>，</w:t>
      </w:r>
      <w:hyperlink r:id="rId18">
        <w:r>
          <w:rPr>
            <w:color w:val="15558A"/>
          </w:rPr>
          <w:t>作者开放版本</w:t>
        </w:r>
      </w:hyperlink>
      <w:r>
        <w:t>，</w:t>
      </w:r>
      <w:hyperlink r:id="rId19">
        <w:r>
          <w:rPr>
            <w:color w:val="15558A"/>
          </w:rPr>
          <w:t>作者高校书目</w:t>
        </w:r>
      </w:hyperlink>
      <w:r>
        <w:t>。查阅开放版本式 6、7、9；引用结构，不挪用参数或性能结论。</w:t>
      </w:r>
    </w:p>
    <w:p>
      <w:pPr>
        <w:widowControl/>
      </w:pPr>
      <w:r>
        <w:t>[6] Hart P E, Nilsson N J, Raphael B. A Formal Basis for the Heuristic Determination of Minimum Cost Paths. IEEE Transactions on Systems Science and Cybernetics, 1968, 4(2): 100–107. 正式论文；DOI: 10.1109/TSSC.1968.300136。</w:t>
      </w:r>
      <w:hyperlink r:id="rId20">
        <w:r>
          <w:rPr>
            <w:color w:val="15558A"/>
          </w:rPr>
          <w:t>期刊记录</w:t>
        </w:r>
      </w:hyperlink>
      <w:r>
        <w:t>，</w:t>
      </w:r>
      <w:hyperlink r:id="rId21">
        <w:r>
          <w:rPr>
            <w:color w:val="15558A"/>
          </w:rPr>
          <w:t>作者书目</w:t>
        </w:r>
      </w:hyperlink>
      <w:r>
        <w:t>。本文采用一致性条件；不宣称任意启发函数都最优。</w:t>
      </w:r>
    </w:p>
    <w:p>
      <w:pPr>
        <w:widowControl/>
      </w:pPr>
      <w:r>
        <w:t>[7] Dijkstra E W. A note on two problems in connexion with graphs. Numerische Mathematik, 1959, 1: 269–271. 正式论文；DOI: 10.1007/BF01386390。</w:t>
      </w:r>
      <w:hyperlink r:id="rId22">
        <w:r>
          <w:rPr>
            <w:color w:val="15558A"/>
          </w:rPr>
          <w:t>期刊记录</w:t>
        </w:r>
      </w:hyperlink>
      <w:r>
        <w:t>。用于非负权最短路参考算法。</w:t>
      </w:r>
    </w:p>
    <w:p>
      <w:pPr>
        <w:pStyle w:val="Heading1"/>
        <w:pageBreakBefore/>
      </w:pPr>
      <w:r>
        <w:t>15 参考资料续</w:t>
      </w:r>
    </w:p>
    <w:p>
      <w:pPr>
        <w:widowControl/>
      </w:pPr>
      <w:r>
        <w:t>[8] MathWorks. shortestpath. 官方 API 文档；正权方法采用 Dijkstra，本文用 digraph 保留方向。</w:t>
      </w:r>
      <w:hyperlink r:id="rId23">
        <w:r>
          <w:rPr>
            <w:color w:val="15558A"/>
          </w:rPr>
          <w:t>官方页面</w:t>
        </w:r>
      </w:hyperlink>
      <w:r>
        <w:t>。</w:t>
      </w:r>
    </w:p>
    <w:p>
      <w:pPr>
        <w:widowControl/>
      </w:pPr>
      <w:r>
        <w:t>[9] Huang C, Ming Z, Huang H. Drone Stations-Aided Beyond-Battery-Lifetime Flight Planning for Parcel Delivery. IEEE Transactions on Automation Science and Engineering, 2023, 20(4): 2294–2304. 正式论文；DOI: 10.1109/TASE.2022.3213254。</w:t>
      </w:r>
      <w:hyperlink r:id="rId24">
        <w:r>
          <w:rPr>
            <w:color w:val="15558A"/>
          </w:rPr>
          <w:t>高校机构库</w:t>
        </w:r>
      </w:hyperlink>
      <w:r>
        <w:t>。支持换电网络方向，不标定 120 s。</w:t>
      </w:r>
    </w:p>
    <w:p>
      <w:pPr>
        <w:widowControl/>
      </w:pPr>
      <w:r>
        <w:t>[10] Rienecker H, Hildebrand V, Pfifer H. Energy optimal 3D flight path planning for unmanned aerial vehicle in urban environments. CEAS Aeronautical Journal, 2023, 14: 621–636. 正式论文；DOI: 10.1007/s13272-023-00666-x。</w:t>
      </w:r>
      <w:hyperlink r:id="rId25">
        <w:r>
          <w:rPr>
            <w:color w:val="15558A"/>
          </w:rPr>
          <w:t>期刊页面</w:t>
        </w:r>
      </w:hyperlink>
      <w:r>
        <w:t>。三维固定翼条件不同，原结果不是本程序的性能结果。</w:t>
      </w:r>
    </w:p>
    <w:p>
      <w:pPr>
        <w:widowControl/>
      </w:pPr>
      <w:r>
        <w:t>[11] 课程 PDF《D题 低空湍流监测及最优航路规划研究》第 28–29 页。距离加 TKE 幂次惩罚和 α=200、β=1.5 的直接来源。原文件名 D题-低空湍流监测及最优航路规划研究.pdf。未核实正式发表信息，标为课程建模资料。</w:t>
      </w:r>
    </w:p>
    <w:p>
      <w:pPr>
        <w:widowControl/>
      </w:pPr>
      <w:r>
        <w:t>[12] 课程 PDF《D题 基于多源数据融合的低空湍流监测与航路优化》。只作融合思路参考，未声称逐式复现。原文件名 D题-基于多源数据融合的低空湍流监测与航路优化.pdf。未核实正式发表信息。</w:t>
      </w:r>
    </w:p>
    <w:p>
      <w:pPr>
        <w:widowControl/>
      </w:pPr>
      <w:r>
        <w:t>[13] 国家市场监督管理总局 国家标准化管理委员会. GB 42590-2023 民用无人驾驶航空器系统安全要求. 强制性国家标准；官方状态现行，2024 年 6 月 1 日实施。</w:t>
      </w:r>
      <w:hyperlink r:id="rId26">
        <w:r>
          <w:rPr>
            <w:color w:val="15558A"/>
          </w:rPr>
          <w:t>官方标准记录</w:t>
        </w:r>
      </w:hyperlink>
      <w:r>
        <w:t>。本项目未作符合性检测。</w:t>
      </w:r>
    </w:p>
    <w:p>
      <w:pPr>
        <w:widowControl/>
      </w:pPr>
      <w:r>
        <w:t>[14] 中华人民共和国交通运输部. 民用无人驾驶航空器运行安全管理规则 CCAR-92. 交通运输部令 2024 年第 1 号。</w:t>
      </w:r>
      <w:hyperlink r:id="rId27">
        <w:r>
          <w:rPr>
            <w:color w:val="15558A"/>
          </w:rPr>
          <w:t>官方规章</w:t>
        </w:r>
      </w:hyperlink>
      <w:r>
        <w:t>。作为运行安全背景，不认证本演示算法。</w:t>
      </w:r>
    </w:p>
    <w:p>
      <w:pPr>
        <w:widowControl/>
      </w:pPr>
      <w:r>
        <w:t>程序对应当前 model.js、seeded-weather.js、weather-physics.js、flight-engine.js、experiments/compare.cjs 和 matlab 下的验证脚本。模型变更后须重新运行并更新本说明。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arl.noaa.gov/documents/workshop/Spring2006/HTML_Docs/turbeqns.html" TargetMode="External"/><Relationship Id="rId14" Type="http://schemas.openxmlformats.org/officeDocument/2006/relationships/hyperlink" Target="https://www.mathworks.com/help/aeroblks/drydenwindturbulencemodelcontinuous.html" TargetMode="External"/><Relationship Id="rId15" Type="http://schemas.openxmlformats.org/officeDocument/2006/relationships/hyperlink" Target="https://www.faa.gov/sites/faa.gov/files/18_phak_ch16.pdf" TargetMode="External"/><Relationship Id="rId16" Type="http://schemas.openxmlformats.org/officeDocument/2006/relationships/hyperlink" Target="https://www1.grc.nasa.gov/beginners-guide-to-aeronautics/propeller-thrust/" TargetMode="External"/><Relationship Id="rId17" Type="http://schemas.openxmlformats.org/officeDocument/2006/relationships/hyperlink" Target="https://ieeexplore.ieee.org/document/8663615" TargetMode="External"/><Relationship Id="rId18" Type="http://schemas.openxmlformats.org/officeDocument/2006/relationships/hyperlink" Target="https://arxiv.org/abs/1804.02238" TargetMode="External"/><Relationship Id="rId19" Type="http://schemas.openxmlformats.org/officeDocument/2006/relationships/hyperlink" Target="https://ncrl.seu.edu.cn/2020/0508/c17542a327225/page.htm" TargetMode="External"/><Relationship Id="rId20" Type="http://schemas.openxmlformats.org/officeDocument/2006/relationships/hyperlink" Target="https://doi.org/10.1109/TSSC.1968.300136" TargetMode="External"/><Relationship Id="rId21" Type="http://schemas.openxmlformats.org/officeDocument/2006/relationships/hyperlink" Target="https://ai.stanford.edu/~nilsson/publications.html" TargetMode="External"/><Relationship Id="rId22" Type="http://schemas.openxmlformats.org/officeDocument/2006/relationships/hyperlink" Target="https://link.springer.com/article/10.1007/BF01386390" TargetMode="External"/><Relationship Id="rId23" Type="http://schemas.openxmlformats.org/officeDocument/2006/relationships/hyperlink" Target="https://www.mathworks.com/help/matlab/ref/graph.shortestpath.html" TargetMode="External"/><Relationship Id="rId24" Type="http://schemas.openxmlformats.org/officeDocument/2006/relationships/hyperlink" Target="https://ira.lib.polyu.edu.hk/handle/10397/98854?mode=simple" TargetMode="External"/><Relationship Id="rId25" Type="http://schemas.openxmlformats.org/officeDocument/2006/relationships/hyperlink" Target="https://link.springer.com/article/10.1007/s13272-023-00666-x" TargetMode="External"/><Relationship Id="rId26" Type="http://schemas.openxmlformats.org/officeDocument/2006/relationships/hyperlink" Target="https://openstd.samr.gov.cn/bzgk/std/newGbInfo?hcno=0DC41035BA23EF2C5B94E6482492AF1E" TargetMode="External"/><Relationship Id="rId27" Type="http://schemas.openxmlformats.org/officeDocument/2006/relationships/hyperlink" Target="https://xxgk.mot.gov.cn/2020/jigou/fgs/202401/t20240103_398064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低空航路演示数学模型推导与程序正确性验证</dc:title>
  <dc:subject>课程模型推导和有限场景的软件验证</dc:subject>
  <dc:creator>低空经济技术与实践课程项目组</dc:creator>
  <cp:keywords>MATLAB TKE A星 风三角 换电 能量积分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