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国泰君安旗舰店接入指南</w:t>
      </w: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背景介绍</w:t>
      </w:r>
    </w:p>
    <w:p>
      <w:pPr>
        <w:pStyle w:val="7"/>
        <w:ind w:left="78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搭建国泰君安旗舰店客户端，并提供基础数据维护功能，用于非金机构和用户的衍生品交易，并对报价和成交意向进行备案。</w:t>
      </w:r>
    </w:p>
    <w:p>
      <w:pPr>
        <w:pStyle w:val="7"/>
        <w:ind w:left="780"/>
        <w:rPr>
          <w:rFonts w:hint="eastAsia" w:ascii="仿宋_GB2312" w:hAnsi="仿宋_GB2312" w:eastAsia="仿宋_GB2312" w:cs="仿宋_GB2312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功能介绍</w:t>
      </w:r>
    </w:p>
    <w:p>
      <w:pPr>
        <w:pStyle w:val="7"/>
        <w:numPr>
          <w:ilvl w:val="1"/>
          <w:numId w:val="2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客户端提供统一壳子加载旗舰店静态资源。</w:t>
      </w:r>
    </w:p>
    <w:p>
      <w:pPr>
        <w:pStyle w:val="7"/>
        <w:numPr>
          <w:ilvl w:val="1"/>
          <w:numId w:val="2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提供用户单因素认证登录。</w:t>
      </w:r>
    </w:p>
    <w:p>
      <w:pPr>
        <w:pStyle w:val="7"/>
        <w:numPr>
          <w:ilvl w:val="1"/>
          <w:numId w:val="2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场务端机构信息、交易账户信息、用户信息、业务资格、资金账户维护功能。</w:t>
      </w:r>
    </w:p>
    <w:p>
      <w:pPr>
        <w:pStyle w:val="7"/>
        <w:numPr>
          <w:ilvl w:val="1"/>
          <w:numId w:val="2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交易流程接口：报价明细、成交明细、成交单查询。</w:t>
      </w:r>
    </w:p>
    <w:p>
      <w:pPr>
        <w:pStyle w:val="7"/>
        <w:ind w:left="1200" w:firstLine="0" w:firstLineChars="0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ind w:left="570" w:firstLine="480" w:firstLineChars="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新本币交易平台会提供针对上述功能中涉及到的所有接口，国泰君安客户端和后台可以以标准REST接口的方式接入新本币交易平台，完成对应功能，实现用户报价、成交等流程。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流程说明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整体流程</w:t>
      </w:r>
    </w:p>
    <w:p>
      <w:pPr>
        <w:ind w:left="1200"/>
        <w:rPr>
          <w:rFonts w:hint="eastAsia" w:ascii="仿宋_GB2312" w:hAnsi="仿宋_GB2312" w:eastAsia="仿宋_GB2312" w:cs="仿宋_GB2312"/>
          <w:szCs w:val="21"/>
          <w:lang w:eastAsia="zh-CN"/>
        </w:rPr>
      </w:pPr>
      <w:r>
        <w:rPr>
          <w:rFonts w:hint="eastAsia" w:ascii="仿宋_GB2312" w:hAnsi="仿宋_GB2312" w:eastAsia="仿宋_GB2312" w:cs="仿宋_GB2312"/>
          <w:szCs w:val="21"/>
          <w:lang w:eastAsia="zh-CN"/>
        </w:rPr>
        <w:drawing>
          <wp:inline distT="0" distB="0" distL="114300" distR="114300">
            <wp:extent cx="5274310" cy="1499235"/>
            <wp:effectExtent l="0" t="0" r="13970" b="9525"/>
            <wp:docPr id="2" name="图片 2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0"/>
        <w:jc w:val="center"/>
        <w:rPr>
          <w:rFonts w:hint="eastAsia" w:ascii="仿宋_GB2312" w:hAnsi="仿宋_GB2312" w:eastAsia="仿宋_GB2312" w:cs="仿宋_GB2312"/>
          <w:szCs w:val="21"/>
        </w:rPr>
      </w:pPr>
      <w:r>
        <w:rPr>
          <w:rFonts w:hint="eastAsia" w:ascii="仿宋_GB2312" w:hAnsi="仿宋_GB2312" w:eastAsia="仿宋_GB2312" w:cs="仿宋_GB2312"/>
          <w:szCs w:val="21"/>
        </w:rPr>
        <w:t>（图</w:t>
      </w:r>
      <w:r>
        <w:rPr>
          <w:rFonts w:hint="eastAsia" w:ascii="仿宋_GB2312" w:hAnsi="仿宋_GB2312" w:eastAsia="仿宋_GB2312" w:cs="仿宋_GB2312"/>
          <w:szCs w:val="21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szCs w:val="21"/>
        </w:rPr>
        <w:t>）</w:t>
      </w:r>
    </w:p>
    <w:p>
      <w:pPr>
        <w:ind w:left="1200"/>
        <w:rPr>
          <w:rFonts w:hint="eastAsia" w:ascii="仿宋_GB2312" w:hAnsi="仿宋_GB2312" w:eastAsia="仿宋_GB2312" w:cs="仿宋_GB2312"/>
          <w:szCs w:val="21"/>
        </w:rPr>
      </w:pP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用户通过旗舰店登录客户端，并完成报价成交操作需要以下几个步骤：</w:t>
      </w: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1. 国泰君安与新本币交易平台同步客户基础信息。</w:t>
      </w: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2. 国泰君安用户通过旗舰店客户端登录。</w:t>
      </w: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3. 国泰君安后台展示报价信息。</w:t>
      </w: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4. 国泰君安客户进行点击报价。</w:t>
      </w: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5. 国泰君安后台进行报价校验。</w:t>
      </w: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6. 国泰君安发送成交意向至新本币交易平台。</w:t>
      </w: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7. 国泰君安展示成交信息和下载成交单。</w:t>
      </w:r>
    </w:p>
    <w:p>
      <w:pPr>
        <w:ind w:left="1200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ind w:left="1200" w:firstLine="480" w:firstLineChars="2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新本币交易平台会针对上述步骤中涉及到的功能提供对应标准REST接口，对于这些接口，会在文档下发进行详细说明。</w:t>
      </w:r>
    </w:p>
    <w:p>
      <w:pPr>
        <w:ind w:left="1200" w:firstLine="420" w:firstLineChars="200"/>
        <w:rPr>
          <w:rFonts w:hint="eastAsia" w:ascii="仿宋_GB2312" w:hAnsi="仿宋_GB2312" w:eastAsia="仿宋_GB2312" w:cs="仿宋_GB2312"/>
          <w:szCs w:val="21"/>
        </w:rPr>
      </w:pPr>
    </w:p>
    <w:p>
      <w:pPr>
        <w:pStyle w:val="7"/>
        <w:numPr>
          <w:ilvl w:val="1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登录、基数数据</w:t>
      </w:r>
    </w:p>
    <w:p>
      <w:pPr>
        <w:pStyle w:val="7"/>
        <w:ind w:left="1200" w:firstLine="0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以下为用户登录以及基数数据相关接口明细，</w:t>
      </w:r>
    </w:p>
    <w:p>
      <w:pPr>
        <w:pStyle w:val="7"/>
        <w:ind w:left="1200" w:firstLine="0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具体入参出参请见（附件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：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国泰君安接口定义.xlsx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object>
          <v:shape id="_x0000_i1028" o:spt="75" type="#_x0000_t75" style="height:47.6pt;width:52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xcel.Sheet.12" ShapeID="_x0000_i1028" DrawAspect="Icon" ObjectID="_1468075725" r:id="rId5">
            <o:LockedField>false</o:LockedField>
          </o:OLEObject>
        </w:object>
      </w:r>
      <w:bookmarkStart w:id="0" w:name="_GoBack"/>
      <w:bookmarkEnd w:id="0"/>
    </w:p>
    <w:tbl>
      <w:tblPr>
        <w:tblStyle w:val="4"/>
        <w:tblW w:w="924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1558"/>
        <w:gridCol w:w="739"/>
        <w:gridCol w:w="38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应用群组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服务名称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服务代号</w:t>
            </w:r>
          </w:p>
        </w:tc>
        <w:tc>
          <w:tcPr>
            <w:tcW w:w="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3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国君-用户-登录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国泰君安旗舰店客户端用户单因登录接口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国君-用户-登出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国泰君安旗舰店客户端用户登出接口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客户端访问/</w:t>
            </w:r>
          </w:p>
          <w:p>
            <w:pPr>
              <w:widowControl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后台访问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国君-用户-权限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国泰君安旗舰店获取用户权限接口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后台访问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国君-基础数据-同步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国泰君安旗舰店基础数据同步接口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后台访问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国君-用户-验证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国泰君安旗舰店获取用户验证接口</w:t>
            </w:r>
          </w:p>
        </w:tc>
      </w:tr>
    </w:tbl>
    <w:p>
      <w:pPr>
        <w:pStyle w:val="7"/>
        <w:ind w:left="1200" w:firstLine="0" w:firstLineChars="0"/>
        <w:rPr>
          <w:rFonts w:hint="eastAsia" w:ascii="仿宋_GB2312" w:hAnsi="仿宋_GB2312" w:eastAsia="仿宋_GB2312" w:cs="仿宋_GB2312"/>
          <w:szCs w:val="21"/>
        </w:rPr>
      </w:pPr>
    </w:p>
    <w:p>
      <w:pPr>
        <w:pStyle w:val="7"/>
        <w:numPr>
          <w:ilvl w:val="1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报价成交</w:t>
      </w:r>
    </w:p>
    <w:p>
      <w:pPr>
        <w:ind w:left="1080" w:firstLine="12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以下为用户报价和用户成交相关接口明细，</w:t>
      </w:r>
    </w:p>
    <w:p>
      <w:pPr>
        <w:ind w:left="1080" w:firstLine="12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具体入参出参请见（附件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：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国泰君安接口定义.xlsx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object>
          <v:shape id="_x0000_i1027" o:spt="75" alt="" type="#_x0000_t75" style="height:47.6pt;width:52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xcel.Sheet.12" ShapeID="_x0000_i1027" DrawAspect="Icon" ObjectID="_1468075726" r:id="rId7">
            <o:LockedField>false</o:LockedField>
          </o:OLEObject>
        </w:object>
      </w:r>
    </w:p>
    <w:tbl>
      <w:tblPr>
        <w:tblStyle w:val="4"/>
        <w:tblW w:w="924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1558"/>
        <w:gridCol w:w="739"/>
        <w:gridCol w:w="38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应用群组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服务名称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服务代号</w:t>
            </w:r>
          </w:p>
        </w:tc>
        <w:tc>
          <w:tcPr>
            <w:tcW w:w="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3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国君-报价-查询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国泰君安旗舰店客户端报价查询接口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国君-报价-导出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国泰君安旗舰店客户端报价导出接口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国君-报价-点击报价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国泰君安旗舰店用户进行点击报价接口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后台访问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国君-报价-校验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国泰君安旗舰店报价校验接口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后台访问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国君-成交-成交意向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新本币交易平台接收国泰君安旗舰店成交意向接口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国君-成交-查询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国泰君安旗舰店客户端成交查询接口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国君-成交-导出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国泰君安旗舰店客户端成交导出接口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客户端访问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国君-成交单-下载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18"/>
                <w:szCs w:val="18"/>
              </w:rPr>
              <w:t>国泰君安旗舰店客户端成交单下载接口</w:t>
            </w:r>
          </w:p>
        </w:tc>
      </w:tr>
    </w:tbl>
    <w:p>
      <w:pPr>
        <w:pStyle w:val="7"/>
        <w:ind w:left="780" w:firstLine="0" w:firstLineChars="0"/>
        <w:rPr>
          <w:rFonts w:hint="eastAsia" w:ascii="仿宋_GB2312" w:hAnsi="仿宋_GB2312" w:eastAsia="仿宋_GB2312" w:cs="仿宋_GB2312"/>
          <w:szCs w:val="21"/>
        </w:rPr>
      </w:pPr>
    </w:p>
    <w:p>
      <w:pPr>
        <w:pStyle w:val="7"/>
        <w:numPr>
          <w:numId w:val="0"/>
        </w:numPr>
        <w:ind w:left="780" w:leftChars="0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通用规则说明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接口规则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基本信息</w:t>
      </w:r>
    </w:p>
    <w:p>
      <w:pPr>
        <w:ind w:left="1500" w:firstLine="12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新本币交易系统API是遵循RESTful风格设计的HTTP API。</w:t>
      </w:r>
    </w:p>
    <w:p>
      <w:pPr>
        <w:ind w:left="1260" w:firstLine="36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所有的API请求必须使用HTTPS。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仿宋_GB2312" w:hAnsi="仿宋_GB2312" w:eastAsia="仿宋_GB2312" w:cs="仿宋_GB2312"/>
          <w:b/>
          <w:bCs/>
          <w:i/>
          <w:iCs/>
          <w:sz w:val="24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i/>
          <w:i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请求时不应忽略服务器证书验证的错误，避免被恶意劫持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数据格式</w:t>
      </w:r>
    </w:p>
    <w:p>
      <w:pPr>
        <w:ind w:left="162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新本币交易平台API使用JSON作为消息体的数据交换格式。请求须设置HTTP头部：</w:t>
      </w:r>
    </w:p>
    <w:p>
      <w:pPr>
        <w:ind w:left="1500" w:firstLine="12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Content-Type: application/json</w:t>
      </w:r>
    </w:p>
    <w:p>
      <w:pPr>
        <w:ind w:left="1500" w:firstLine="12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Accept: application/json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参数兼容性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请求是否成功，与请求参数的顺序无关。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请求是否成功，与请求JSON中的键值对出现的顺序无关。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处理应答时，不应假设应答JSON中的键值对出现的顺序。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新的API版本可能在请求或应答中加入新的参数或者JSON的键值对。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新的API版本不会去除请求和应答中已经存在的必填参数或者JSON的键值对。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当请求或应答中的JSON键值对的值为空（null）时，可以省略。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字符集</w:t>
      </w:r>
    </w:p>
    <w:p>
      <w:pPr>
        <w:pStyle w:val="7"/>
        <w:ind w:left="1620" w:firstLine="0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新本币交易平台API仅支持UTF-8字符编码的一个子集：使用一至三个字节编码的字符。也就是说，不支持Unicode辅助平面中的四至六字节编码的字符。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日期格式</w:t>
      </w:r>
    </w:p>
    <w:p>
      <w:pPr>
        <w:ind w:left="1200" w:firstLine="42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所有的日期对象，使用ISO 8601所定义的格式。</w:t>
      </w:r>
    </w:p>
    <w:p>
      <w:pPr>
        <w:ind w:left="1200" w:firstLine="42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示例：yyyy-MM-DDTHH:mm:ss.SSSZ</w:t>
      </w:r>
    </w:p>
    <w:p>
      <w:pPr>
        <w:pStyle w:val="7"/>
        <w:ind w:left="1620" w:firstLine="720" w:firstLineChars="3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yyyy-MM-DDTHH:mm:ssZ</w:t>
      </w:r>
    </w:p>
    <w:p>
      <w:pPr>
        <w:pStyle w:val="7"/>
        <w:ind w:left="1620" w:firstLine="720" w:firstLineChars="3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yyyy-MM-DDTHH:mm:ss.SSS+08:00</w:t>
      </w:r>
    </w:p>
    <w:p>
      <w:pPr>
        <w:pStyle w:val="7"/>
        <w:ind w:left="1620" w:firstLine="720" w:firstLineChars="30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yyyy-MM-DDTHH:mm:ss+08:00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请求的唯一标示</w:t>
      </w:r>
    </w:p>
    <w:p>
      <w:pPr>
        <w:pStyle w:val="7"/>
        <w:ind w:left="1620" w:firstLine="0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新本币交易平台给每个接收到的请求分配了一个唯一标示。请求的唯一标示包含在应答的HTTP头Request-ID中。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错误码和错误提示</w:t>
      </w:r>
    </w:p>
    <w:p>
      <w:pPr>
        <w:pStyle w:val="7"/>
        <w:ind w:left="1620" w:firstLine="0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当请求处理失败时，除了HTTP状态码表示错误之外，API将在消息体返回错误相应说明具体的错误原因。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code：详细错误码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message：错误描述，使用易理解的文字表示错误的原因。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field：指示错误参数的位置。当错误参数位于请求body的JSON时，填写指向参数的JSON Pointer。当错误参数位于请求的URL或者querystring时，填写参数的变量名。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value：错误的值</w: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issue：具体错误原因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User Agent</w:t>
      </w:r>
    </w:p>
    <w:p>
      <w:pPr>
        <w:pStyle w:val="7"/>
        <w:ind w:left="1620" w:firstLine="0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HTTP协议要求发起请求的客户端在每一次请求中都使用HTTP头User-Agent来标示自己。微信支付建议调用方选用以下两种方式的一种：</w:t>
      </w:r>
    </w:p>
    <w:p>
      <w:pPr>
        <w:pStyle w:val="7"/>
        <w:numPr>
          <w:ilvl w:val="0"/>
          <w:numId w:val="6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使用HTTP客户端默认的User-Agent。</w:t>
      </w:r>
    </w:p>
    <w:p>
      <w:pPr>
        <w:pStyle w:val="7"/>
        <w:numPr>
          <w:ilvl w:val="0"/>
          <w:numId w:val="6"/>
        </w:numPr>
        <w:ind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遵循HTTP协议，使用自身系统和应用的名称和版本等信息，组成自己独有的User-Agent。</w:t>
      </w:r>
    </w:p>
    <w:p>
      <w:pPr>
        <w:pStyle w:val="7"/>
        <w:ind w:left="1620" w:firstLine="0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新本币交易平台API很可能会拒绝处理无User-Agent的请求。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签名生成</w:t>
      </w:r>
    </w:p>
    <w:p>
      <w:pPr>
        <w:ind w:left="126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国泰君安可以按照下述步骤生成请求的签名。</w:t>
      </w:r>
    </w:p>
    <w:p>
      <w:pPr>
        <w:ind w:left="126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新本币交易平台API对请求要求进行签名。新本币交易平台会在收到请求后进行签名的验证。如果签名验证不通过，新本币交易平台API将会拒绝处理请求，并返回</w:t>
      </w:r>
      <w:r>
        <w:rPr>
          <w:rFonts w:hint="eastAsia" w:ascii="仿宋_GB2312" w:hAnsi="仿宋_GB2312" w:eastAsia="仿宋_GB2312" w:cs="仿宋_GB2312"/>
          <w:i/>
          <w:iCs/>
          <w:sz w:val="24"/>
          <w:szCs w:val="24"/>
          <w:u w:val="single"/>
        </w:rPr>
        <w:t>401 Unauthorized</w:t>
      </w:r>
      <w:r>
        <w:rPr>
          <w:rFonts w:hint="eastAsia" w:ascii="仿宋_GB2312" w:hAnsi="仿宋_GB2312" w:eastAsia="仿宋_GB2312" w:cs="仿宋_GB2312"/>
          <w:sz w:val="24"/>
          <w:szCs w:val="24"/>
        </w:rPr>
        <w:t>。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构造签名串</w:t>
      </w:r>
    </w:p>
    <w:p>
      <w:pPr>
        <w:pStyle w:val="7"/>
        <w:ind w:left="1620" w:firstLine="0" w:firstLineChars="0"/>
        <w:rPr>
          <w:rFonts w:hint="eastAsia" w:ascii="仿宋_GB2312" w:hAnsi="仿宋_GB2312" w:eastAsia="仿宋_GB2312" w:cs="仿宋_GB2312"/>
          <w:szCs w:val="21"/>
        </w:rPr>
      </w:pPr>
      <w:r>
        <w:rPr>
          <w:rFonts w:hint="eastAsia" w:ascii="仿宋_GB2312" w:hAnsi="仿宋_GB2312" w:eastAsia="仿宋_GB2312" w:cs="仿宋_GB2312"/>
          <w:szCs w:val="21"/>
        </w:rPr>
        <w:t>……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计算签名值</w:t>
      </w:r>
    </w:p>
    <w:p>
      <w:pPr>
        <w:ind w:left="1260" w:firstLine="360"/>
        <w:rPr>
          <w:rFonts w:hint="eastAsia" w:ascii="仿宋_GB2312" w:hAnsi="仿宋_GB2312" w:eastAsia="仿宋_GB2312" w:cs="仿宋_GB2312"/>
          <w:szCs w:val="21"/>
        </w:rPr>
      </w:pPr>
      <w:r>
        <w:rPr>
          <w:rFonts w:hint="eastAsia" w:ascii="仿宋_GB2312" w:hAnsi="仿宋_GB2312" w:eastAsia="仿宋_GB2312" w:cs="仿宋_GB2312"/>
          <w:szCs w:val="21"/>
        </w:rPr>
        <w:t>……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设置HTTP头</w:t>
      </w:r>
    </w:p>
    <w:p>
      <w:pPr>
        <w:pStyle w:val="7"/>
        <w:ind w:left="1620" w:firstLine="0" w:firstLineChars="0"/>
        <w:rPr>
          <w:rFonts w:hint="eastAsia" w:ascii="仿宋_GB2312" w:hAnsi="仿宋_GB2312" w:eastAsia="仿宋_GB2312" w:cs="仿宋_GB2312"/>
          <w:szCs w:val="21"/>
        </w:rPr>
      </w:pPr>
      <w:r>
        <w:rPr>
          <w:rFonts w:hint="eastAsia" w:ascii="仿宋_GB2312" w:hAnsi="仿宋_GB2312" w:eastAsia="仿宋_GB2312" w:cs="仿宋_GB2312"/>
          <w:szCs w:val="21"/>
        </w:rPr>
        <w:t>……</w:t>
      </w:r>
    </w:p>
    <w:p>
      <w:pPr>
        <w:pStyle w:val="7"/>
        <w:ind w:left="1620" w:firstLine="0" w:firstLineChars="0"/>
        <w:rPr>
          <w:rFonts w:hint="eastAsia" w:ascii="仿宋_GB2312" w:hAnsi="仿宋_GB2312" w:eastAsia="仿宋_GB2312" w:cs="仿宋_GB2312"/>
          <w:szCs w:val="21"/>
        </w:rPr>
      </w:pPr>
    </w:p>
    <w:p>
      <w:pPr>
        <w:pStyle w:val="7"/>
        <w:numPr>
          <w:ilvl w:val="1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实例演示</w:t>
      </w:r>
    </w:p>
    <w:p>
      <w:pPr>
        <w:pStyle w:val="7"/>
        <w:ind w:left="1200" w:firstLine="0" w:firstLineChars="0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见（附件二）</w:t>
      </w:r>
    </w:p>
    <w:p>
      <w:pPr>
        <w:ind w:left="780"/>
        <w:rPr>
          <w:rFonts w:hint="eastAsia" w:ascii="仿宋_GB2312" w:hAnsi="仿宋_GB2312" w:eastAsia="仿宋_GB2312" w:cs="仿宋_GB2312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76CF"/>
    <w:multiLevelType w:val="multilevel"/>
    <w:tmpl w:val="152676CF"/>
    <w:lvl w:ilvl="0" w:tentative="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6078E5"/>
    <w:multiLevelType w:val="multilevel"/>
    <w:tmpl w:val="346078E5"/>
    <w:lvl w:ilvl="0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00" w:hanging="420"/>
      </w:pPr>
      <w:rPr>
        <w:rFonts w:hint="default" w:ascii="Wingdings" w:hAnsi="Wingdings"/>
      </w:rPr>
    </w:lvl>
  </w:abstractNum>
  <w:abstractNum w:abstractNumId="2">
    <w:nsid w:val="38FF474E"/>
    <w:multiLevelType w:val="multilevel"/>
    <w:tmpl w:val="38FF474E"/>
    <w:lvl w:ilvl="0" w:tentative="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entative="0">
      <w:start w:val="1"/>
      <w:numFmt w:val="chineseCountingThousand"/>
      <w:lvlText w:val="(%2)"/>
      <w:lvlJc w:val="left"/>
      <w:pPr>
        <w:ind w:left="1200" w:hanging="420"/>
      </w:pPr>
    </w:lvl>
    <w:lvl w:ilvl="2" w:tentative="0">
      <w:start w:val="1"/>
      <w:numFmt w:val="decimal"/>
      <w:lvlText w:val="%3.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D35CA7"/>
    <w:multiLevelType w:val="multilevel"/>
    <w:tmpl w:val="4DD35CA7"/>
    <w:lvl w:ilvl="0" w:tentative="0">
      <w:start w:val="1"/>
      <w:numFmt w:val="decimal"/>
      <w:lvlText w:val="%1."/>
      <w:lvlJc w:val="left"/>
      <w:pPr>
        <w:ind w:left="2040" w:hanging="420"/>
      </w:pPr>
    </w:lvl>
    <w:lvl w:ilvl="1" w:tentative="0">
      <w:start w:val="1"/>
      <w:numFmt w:val="lowerLetter"/>
      <w:lvlText w:val="%2)"/>
      <w:lvlJc w:val="left"/>
      <w:pPr>
        <w:ind w:left="2460" w:hanging="420"/>
      </w:pPr>
    </w:lvl>
    <w:lvl w:ilvl="2" w:tentative="0">
      <w:start w:val="1"/>
      <w:numFmt w:val="lowerRoman"/>
      <w:lvlText w:val="%3."/>
      <w:lvlJc w:val="right"/>
      <w:pPr>
        <w:ind w:left="2880" w:hanging="420"/>
      </w:pPr>
    </w:lvl>
    <w:lvl w:ilvl="3" w:tentative="0">
      <w:start w:val="1"/>
      <w:numFmt w:val="decimal"/>
      <w:lvlText w:val="%4."/>
      <w:lvlJc w:val="left"/>
      <w:pPr>
        <w:ind w:left="3300" w:hanging="420"/>
      </w:pPr>
    </w:lvl>
    <w:lvl w:ilvl="4" w:tentative="0">
      <w:start w:val="1"/>
      <w:numFmt w:val="lowerLetter"/>
      <w:lvlText w:val="%5)"/>
      <w:lvlJc w:val="left"/>
      <w:pPr>
        <w:ind w:left="3720" w:hanging="420"/>
      </w:pPr>
    </w:lvl>
    <w:lvl w:ilvl="5" w:tentative="0">
      <w:start w:val="1"/>
      <w:numFmt w:val="lowerRoman"/>
      <w:lvlText w:val="%6."/>
      <w:lvlJc w:val="right"/>
      <w:pPr>
        <w:ind w:left="4140" w:hanging="420"/>
      </w:pPr>
    </w:lvl>
    <w:lvl w:ilvl="6" w:tentative="0">
      <w:start w:val="1"/>
      <w:numFmt w:val="decimal"/>
      <w:lvlText w:val="%7."/>
      <w:lvlJc w:val="left"/>
      <w:pPr>
        <w:ind w:left="4560" w:hanging="420"/>
      </w:pPr>
    </w:lvl>
    <w:lvl w:ilvl="7" w:tentative="0">
      <w:start w:val="1"/>
      <w:numFmt w:val="lowerLetter"/>
      <w:lvlText w:val="%8)"/>
      <w:lvlJc w:val="left"/>
      <w:pPr>
        <w:ind w:left="4980" w:hanging="420"/>
      </w:pPr>
    </w:lvl>
    <w:lvl w:ilvl="8" w:tentative="0">
      <w:start w:val="1"/>
      <w:numFmt w:val="lowerRoman"/>
      <w:lvlText w:val="%9."/>
      <w:lvlJc w:val="right"/>
      <w:pPr>
        <w:ind w:left="5400" w:hanging="420"/>
      </w:pPr>
    </w:lvl>
  </w:abstractNum>
  <w:abstractNum w:abstractNumId="4">
    <w:nsid w:val="50AE6BD8"/>
    <w:multiLevelType w:val="multilevel"/>
    <w:tmpl w:val="50AE6BD8"/>
    <w:lvl w:ilvl="0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00" w:hanging="420"/>
      </w:pPr>
      <w:rPr>
        <w:rFonts w:hint="default" w:ascii="Wingdings" w:hAnsi="Wingdings"/>
      </w:rPr>
    </w:lvl>
  </w:abstractNum>
  <w:abstractNum w:abstractNumId="5">
    <w:nsid w:val="54A4523D"/>
    <w:multiLevelType w:val="multilevel"/>
    <w:tmpl w:val="54A4523D"/>
    <w:lvl w:ilvl="0" w:tentative="0">
      <w:start w:val="1"/>
      <w:numFmt w:val="bullet"/>
      <w:lvlText w:val=""/>
      <w:lvlJc w:val="left"/>
      <w:pPr>
        <w:ind w:left="1980" w:hanging="360"/>
      </w:pPr>
      <w:rPr>
        <w:rFonts w:hint="default" w:ascii="Wingdings" w:hAnsi="Wingdings" w:eastAsia="仿宋" w:cstheme="minorBidi"/>
        <w:color w:val="ED7D31" w:themeColor="accent2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E7"/>
    <w:rsid w:val="00046346"/>
    <w:rsid w:val="00061815"/>
    <w:rsid w:val="000807A8"/>
    <w:rsid w:val="0009304D"/>
    <w:rsid w:val="000B25EA"/>
    <w:rsid w:val="000F0CEC"/>
    <w:rsid w:val="000F4EF2"/>
    <w:rsid w:val="001053B9"/>
    <w:rsid w:val="00117F89"/>
    <w:rsid w:val="00127789"/>
    <w:rsid w:val="001B0CCF"/>
    <w:rsid w:val="0020363F"/>
    <w:rsid w:val="00205B69"/>
    <w:rsid w:val="0022762B"/>
    <w:rsid w:val="0026458D"/>
    <w:rsid w:val="00274E9E"/>
    <w:rsid w:val="00285260"/>
    <w:rsid w:val="002B50E7"/>
    <w:rsid w:val="002F7C56"/>
    <w:rsid w:val="00315E00"/>
    <w:rsid w:val="00334F11"/>
    <w:rsid w:val="003E09B1"/>
    <w:rsid w:val="004017B7"/>
    <w:rsid w:val="00402EB2"/>
    <w:rsid w:val="004E3EA3"/>
    <w:rsid w:val="005804AD"/>
    <w:rsid w:val="005F1957"/>
    <w:rsid w:val="006438B9"/>
    <w:rsid w:val="0067771C"/>
    <w:rsid w:val="00753FAD"/>
    <w:rsid w:val="00776C1E"/>
    <w:rsid w:val="00781B87"/>
    <w:rsid w:val="007949E9"/>
    <w:rsid w:val="007C52CC"/>
    <w:rsid w:val="007C7E93"/>
    <w:rsid w:val="0083418A"/>
    <w:rsid w:val="00893484"/>
    <w:rsid w:val="009202DE"/>
    <w:rsid w:val="009A23B4"/>
    <w:rsid w:val="009D03AA"/>
    <w:rsid w:val="00A66B1B"/>
    <w:rsid w:val="00AB4E2E"/>
    <w:rsid w:val="00AC1224"/>
    <w:rsid w:val="00B4526E"/>
    <w:rsid w:val="00B60240"/>
    <w:rsid w:val="00B709DC"/>
    <w:rsid w:val="00BA255D"/>
    <w:rsid w:val="00BB7EFD"/>
    <w:rsid w:val="00BF08D9"/>
    <w:rsid w:val="00BF46BC"/>
    <w:rsid w:val="00C612DC"/>
    <w:rsid w:val="00C71D87"/>
    <w:rsid w:val="00C94AD0"/>
    <w:rsid w:val="00CE2491"/>
    <w:rsid w:val="00CE7C41"/>
    <w:rsid w:val="00D12822"/>
    <w:rsid w:val="00DC3E3C"/>
    <w:rsid w:val="00E5409D"/>
    <w:rsid w:val="00E84377"/>
    <w:rsid w:val="00F23DDF"/>
    <w:rsid w:val="00F252D6"/>
    <w:rsid w:val="00F424A9"/>
    <w:rsid w:val="00F80398"/>
    <w:rsid w:val="00F81346"/>
    <w:rsid w:val="00F9165A"/>
    <w:rsid w:val="00F96572"/>
    <w:rsid w:val="00FB3704"/>
    <w:rsid w:val="00FC25CD"/>
    <w:rsid w:val="00FC7399"/>
    <w:rsid w:val="0A07795B"/>
    <w:rsid w:val="0CD37DB0"/>
    <w:rsid w:val="0DA1368A"/>
    <w:rsid w:val="1631713B"/>
    <w:rsid w:val="1BAF3A6D"/>
    <w:rsid w:val="1E0109A2"/>
    <w:rsid w:val="26200D57"/>
    <w:rsid w:val="274B7520"/>
    <w:rsid w:val="2B603095"/>
    <w:rsid w:val="323141A5"/>
    <w:rsid w:val="369428E1"/>
    <w:rsid w:val="390A173A"/>
    <w:rsid w:val="39464325"/>
    <w:rsid w:val="3ED553A6"/>
    <w:rsid w:val="49BE277A"/>
    <w:rsid w:val="4ADA3049"/>
    <w:rsid w:val="5D394ED1"/>
    <w:rsid w:val="5FC37B86"/>
    <w:rsid w:val="688A30DC"/>
    <w:rsid w:val="6F2E0FC4"/>
    <w:rsid w:val="7A2A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D8D11-61F6-4587-A8F7-17942C7C2A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352</Words>
  <Characters>2011</Characters>
  <Lines>16</Lines>
  <Paragraphs>4</Paragraphs>
  <TotalTime>0</TotalTime>
  <ScaleCrop>false</ScaleCrop>
  <LinksUpToDate>false</LinksUpToDate>
  <CharactersWithSpaces>2359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2021-01-24T08:51:00Z</dcterms:created>
  <dc:creator>lenovo</dc:creator>
  <cp:lastModifiedBy>diaowangqing</cp:lastModifiedBy>
  <dcterms:modified xsi:type="dcterms:W3CDTF">2021-01-25T07:11:22Z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