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088AF" w14:textId="77777777" w:rsidR="0074074D" w:rsidRPr="00066DB4" w:rsidRDefault="0074074D" w:rsidP="0074074D">
      <w:r w:rsidRPr="00066DB4">
        <w:rPr>
          <w:rFonts w:hint="eastAsia"/>
        </w:rPr>
        <w:t>集中竞价算法的步骤为：</w:t>
      </w:r>
    </w:p>
    <w:p w14:paraId="201850DB" w14:textId="2FF84BA5" w:rsidR="0074074D" w:rsidRPr="00066DB4" w:rsidRDefault="0074074D" w:rsidP="0074074D">
      <w:pPr>
        <w:pStyle w:val="Heading1"/>
        <w:rPr>
          <w:rFonts w:hint="eastAsia"/>
        </w:rPr>
      </w:pPr>
      <w:r w:rsidRPr="0074074D">
        <w:rPr>
          <w:rStyle w:val="Heading1Char"/>
        </w:rPr>
        <w:t>Step 1</w:t>
      </w:r>
      <w:r w:rsidRPr="0074074D">
        <w:rPr>
          <w:rStyle w:val="Heading1Char"/>
          <w:rFonts w:hint="eastAsia"/>
        </w:rPr>
        <w:t>：不考虑黑名单进行第一轮匹配</w:t>
      </w:r>
    </w:p>
    <w:p w14:paraId="5FE2ACA3" w14:textId="77777777" w:rsidR="0074074D" w:rsidRPr="00066DB4" w:rsidRDefault="0074074D" w:rsidP="0074074D">
      <w:r w:rsidRPr="00066DB4">
        <w:rPr>
          <w:rFonts w:hint="eastAsia"/>
        </w:rPr>
        <w:t>具体算法</w:t>
      </w:r>
      <w:r w:rsidRPr="00066DB4">
        <w:t>为：</w:t>
      </w:r>
    </w:p>
    <w:p w14:paraId="1605C335" w14:textId="77777777" w:rsidR="0074074D" w:rsidRPr="00066DB4" w:rsidRDefault="0074074D" w:rsidP="0074074D">
      <w:proofErr w:type="gramStart"/>
      <w:r w:rsidRPr="00066DB4">
        <w:t>A:</w:t>
      </w:r>
      <w:r w:rsidRPr="00066DB4">
        <w:t>将所有报价按照券种</w:t>
      </w:r>
      <w:proofErr w:type="gramEnd"/>
      <w:r w:rsidRPr="00066DB4">
        <w:t>、交易方向分开排序，</w:t>
      </w:r>
      <w:r w:rsidRPr="00066DB4">
        <w:t xml:space="preserve"> </w:t>
      </w:r>
    </w:p>
    <w:p w14:paraId="761E817F" w14:textId="77777777" w:rsidR="0074074D" w:rsidRPr="00066DB4" w:rsidRDefault="0074074D" w:rsidP="0074074D">
      <w:r w:rsidRPr="00066DB4">
        <w:rPr>
          <w:rFonts w:hint="eastAsia"/>
        </w:rPr>
        <w:t>买入报价按净价从高到低排列，卖出报价按从低到高排列，净价相等的，按照报价时间从前到后进行排序（报价修改的按修改时间进行排序），形成买入、卖出两个报价序列。</w:t>
      </w:r>
    </w:p>
    <w:p w14:paraId="0B5ADCA7" w14:textId="77777777" w:rsidR="0074074D" w:rsidRPr="00066DB4" w:rsidRDefault="0074074D" w:rsidP="0074074D">
      <w:r w:rsidRPr="00711AB2">
        <w:t>B</w:t>
      </w:r>
      <w:r w:rsidRPr="00711AB2">
        <w:rPr>
          <w:rFonts w:hint="eastAsia"/>
        </w:rPr>
        <w:t>：计算每个价格档位上的买入卖出量中取最小值确定最大可成交量，并计算未匹配量。</w:t>
      </w:r>
    </w:p>
    <w:p w14:paraId="37CF9B5B" w14:textId="77777777" w:rsidR="0074074D" w:rsidRPr="00066DB4" w:rsidRDefault="0074074D" w:rsidP="0074074D">
      <w:r w:rsidRPr="00711AB2">
        <w:rPr>
          <w:rFonts w:hint="eastAsia"/>
        </w:rPr>
        <w:t>示例：</w:t>
      </w:r>
    </w:p>
    <w:p w14:paraId="3287BDBD" w14:textId="77777777" w:rsidR="0074074D" w:rsidRPr="00066DB4" w:rsidRDefault="0074074D" w:rsidP="0074074D">
      <w:r w:rsidRPr="00711AB2">
        <w:t xml:space="preserve">[1. </w:t>
      </w:r>
      <w:r w:rsidRPr="00066DB4">
        <w:rPr>
          <w:rFonts w:hint="eastAsia"/>
        </w:rPr>
        <w:t>买入、卖出最优报价开始依次两两匹配</w:t>
      </w:r>
      <w:r w:rsidRPr="00066DB4">
        <w:t>]</w:t>
      </w:r>
    </w:p>
    <w:tbl>
      <w:tblPr>
        <w:tblW w:w="5000" w:type="pct"/>
        <w:jc w:val="center"/>
        <w:tblLook w:val="04A0" w:firstRow="1" w:lastRow="0" w:firstColumn="1" w:lastColumn="0" w:noHBand="0" w:noVBand="1"/>
      </w:tblPr>
      <w:tblGrid>
        <w:gridCol w:w="2659"/>
        <w:gridCol w:w="2016"/>
        <w:gridCol w:w="2659"/>
        <w:gridCol w:w="2016"/>
      </w:tblGrid>
      <w:tr w:rsidR="0074074D" w:rsidRPr="00066DB4" w14:paraId="515AB0C5" w14:textId="77777777" w:rsidTr="00405BA7">
        <w:trPr>
          <w:trHeight w:val="270"/>
          <w:jc w:val="center"/>
        </w:trPr>
        <w:tc>
          <w:tcPr>
            <w:tcW w:w="25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C86C0AC" w14:textId="77777777" w:rsidR="0074074D" w:rsidRPr="00066DB4" w:rsidRDefault="0074074D" w:rsidP="00405BA7">
            <w:pPr>
              <w:rPr>
                <w:sz w:val="20"/>
                <w:szCs w:val="20"/>
              </w:rPr>
            </w:pPr>
            <w:r w:rsidRPr="00066DB4">
              <w:rPr>
                <w:rFonts w:hint="eastAsia"/>
                <w:sz w:val="20"/>
                <w:szCs w:val="20"/>
              </w:rPr>
              <w:t>买入报价</w:t>
            </w:r>
          </w:p>
        </w:tc>
        <w:tc>
          <w:tcPr>
            <w:tcW w:w="2500"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789A451F" w14:textId="77777777" w:rsidR="0074074D" w:rsidRPr="00066DB4" w:rsidRDefault="0074074D" w:rsidP="00405BA7">
            <w:pPr>
              <w:rPr>
                <w:sz w:val="20"/>
                <w:szCs w:val="20"/>
              </w:rPr>
            </w:pPr>
            <w:r w:rsidRPr="00066DB4">
              <w:rPr>
                <w:rFonts w:hint="eastAsia"/>
                <w:sz w:val="20"/>
                <w:szCs w:val="20"/>
              </w:rPr>
              <w:t>卖出报价</w:t>
            </w:r>
          </w:p>
        </w:tc>
      </w:tr>
      <w:tr w:rsidR="0074074D" w:rsidRPr="00066DB4" w14:paraId="107D3FA8"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1F3C4ECF" w14:textId="77777777" w:rsidR="0074074D" w:rsidRPr="00066DB4" w:rsidRDefault="0074074D" w:rsidP="00405BA7">
            <w:pPr>
              <w:rPr>
                <w:sz w:val="20"/>
                <w:szCs w:val="20"/>
              </w:rPr>
            </w:pPr>
            <w:r w:rsidRPr="00711AB2">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67A81B7C" w14:textId="77777777" w:rsidR="0074074D" w:rsidRPr="00066DB4" w:rsidRDefault="0074074D" w:rsidP="00405BA7">
            <w:pPr>
              <w:rPr>
                <w:sz w:val="20"/>
                <w:szCs w:val="20"/>
              </w:rPr>
            </w:pPr>
            <w:r w:rsidRPr="00711AB2">
              <w:rPr>
                <w:rFonts w:hint="eastAsia"/>
                <w:sz w:val="20"/>
                <w:szCs w:val="20"/>
              </w:rPr>
              <w:t>报价量（万）</w:t>
            </w:r>
          </w:p>
        </w:tc>
        <w:tc>
          <w:tcPr>
            <w:tcW w:w="1422" w:type="pct"/>
            <w:tcBorders>
              <w:top w:val="nil"/>
              <w:left w:val="nil"/>
              <w:bottom w:val="single" w:sz="4" w:space="0" w:color="auto"/>
              <w:right w:val="single" w:sz="4" w:space="0" w:color="auto"/>
            </w:tcBorders>
            <w:shd w:val="clear" w:color="auto" w:fill="auto"/>
            <w:noWrap/>
            <w:vAlign w:val="center"/>
            <w:hideMark/>
          </w:tcPr>
          <w:p w14:paraId="37335E68" w14:textId="77777777" w:rsidR="0074074D" w:rsidRPr="00066DB4" w:rsidRDefault="0074074D" w:rsidP="00405BA7">
            <w:pPr>
              <w:rPr>
                <w:sz w:val="20"/>
                <w:szCs w:val="20"/>
              </w:rPr>
            </w:pPr>
            <w:r w:rsidRPr="00711AB2">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48B98702" w14:textId="77777777" w:rsidR="0074074D" w:rsidRPr="00066DB4" w:rsidRDefault="0074074D" w:rsidP="00405BA7">
            <w:pPr>
              <w:rPr>
                <w:sz w:val="20"/>
                <w:szCs w:val="20"/>
              </w:rPr>
            </w:pPr>
            <w:r w:rsidRPr="00711AB2">
              <w:rPr>
                <w:rFonts w:hint="eastAsia"/>
                <w:sz w:val="20"/>
                <w:szCs w:val="20"/>
              </w:rPr>
              <w:t>报价量（万）</w:t>
            </w:r>
          </w:p>
        </w:tc>
      </w:tr>
      <w:tr w:rsidR="0074074D" w:rsidRPr="00066DB4" w14:paraId="3E508228"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2FFFC109" w14:textId="77777777" w:rsidR="0074074D" w:rsidRPr="00413114" w:rsidRDefault="0074074D" w:rsidP="00405BA7">
            <w:pPr>
              <w:rPr>
                <w:b/>
                <w:bCs/>
                <w:sz w:val="20"/>
                <w:szCs w:val="20"/>
              </w:rPr>
            </w:pPr>
            <w:r w:rsidRPr="00413114">
              <w:rPr>
                <w:b/>
                <w:bCs/>
                <w:sz w:val="20"/>
                <w:szCs w:val="20"/>
              </w:rPr>
              <w:t>99.30</w:t>
            </w:r>
          </w:p>
        </w:tc>
        <w:tc>
          <w:tcPr>
            <w:tcW w:w="1078" w:type="pct"/>
            <w:tcBorders>
              <w:top w:val="nil"/>
              <w:left w:val="nil"/>
              <w:bottom w:val="single" w:sz="4" w:space="0" w:color="auto"/>
              <w:right w:val="single" w:sz="4" w:space="0" w:color="auto"/>
            </w:tcBorders>
            <w:shd w:val="clear" w:color="auto" w:fill="auto"/>
            <w:noWrap/>
            <w:vAlign w:val="center"/>
            <w:hideMark/>
          </w:tcPr>
          <w:p w14:paraId="019D482C" w14:textId="77777777" w:rsidR="0074074D" w:rsidRPr="00413114" w:rsidRDefault="0074074D" w:rsidP="00405BA7">
            <w:pPr>
              <w:rPr>
                <w:b/>
                <w:bCs/>
                <w:sz w:val="20"/>
                <w:szCs w:val="20"/>
              </w:rPr>
            </w:pPr>
            <w:r w:rsidRPr="00413114">
              <w:rPr>
                <w:b/>
                <w:bCs/>
                <w:sz w:val="20"/>
                <w:szCs w:val="20"/>
              </w:rPr>
              <w:t>70</w:t>
            </w:r>
          </w:p>
        </w:tc>
        <w:tc>
          <w:tcPr>
            <w:tcW w:w="1422" w:type="pct"/>
            <w:tcBorders>
              <w:top w:val="nil"/>
              <w:left w:val="nil"/>
              <w:bottom w:val="single" w:sz="4" w:space="0" w:color="auto"/>
              <w:right w:val="single" w:sz="4" w:space="0" w:color="auto"/>
            </w:tcBorders>
            <w:shd w:val="clear" w:color="auto" w:fill="auto"/>
            <w:noWrap/>
            <w:vAlign w:val="center"/>
            <w:hideMark/>
          </w:tcPr>
          <w:p w14:paraId="09E6618E" w14:textId="77777777" w:rsidR="0074074D" w:rsidRPr="00413114" w:rsidRDefault="0074074D" w:rsidP="00405BA7">
            <w:pPr>
              <w:rPr>
                <w:b/>
                <w:bCs/>
                <w:sz w:val="20"/>
                <w:szCs w:val="20"/>
              </w:rPr>
            </w:pPr>
            <w:r w:rsidRPr="00413114">
              <w:rPr>
                <w:b/>
                <w:bCs/>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66394672" w14:textId="77777777" w:rsidR="0074074D" w:rsidRPr="00413114" w:rsidRDefault="0074074D" w:rsidP="00405BA7">
            <w:pPr>
              <w:rPr>
                <w:b/>
                <w:bCs/>
                <w:sz w:val="20"/>
                <w:szCs w:val="20"/>
              </w:rPr>
            </w:pPr>
            <w:r w:rsidRPr="00413114">
              <w:rPr>
                <w:b/>
                <w:bCs/>
                <w:sz w:val="20"/>
                <w:szCs w:val="20"/>
              </w:rPr>
              <w:t>110</w:t>
            </w:r>
          </w:p>
        </w:tc>
      </w:tr>
      <w:tr w:rsidR="0074074D" w:rsidRPr="00066DB4" w14:paraId="3AD751EB"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319E088E" w14:textId="77777777" w:rsidR="0074074D" w:rsidRPr="00066DB4" w:rsidRDefault="0074074D" w:rsidP="00405BA7">
            <w:pPr>
              <w:rPr>
                <w:sz w:val="20"/>
                <w:szCs w:val="20"/>
              </w:rPr>
            </w:pPr>
            <w:r w:rsidRPr="00711AB2">
              <w:rPr>
                <w:sz w:val="20"/>
                <w:szCs w:val="20"/>
              </w:rPr>
              <w:t>99.29</w:t>
            </w:r>
          </w:p>
        </w:tc>
        <w:tc>
          <w:tcPr>
            <w:tcW w:w="1078" w:type="pct"/>
            <w:tcBorders>
              <w:top w:val="nil"/>
              <w:left w:val="nil"/>
              <w:bottom w:val="single" w:sz="4" w:space="0" w:color="auto"/>
              <w:right w:val="single" w:sz="4" w:space="0" w:color="auto"/>
            </w:tcBorders>
            <w:shd w:val="clear" w:color="auto" w:fill="auto"/>
            <w:noWrap/>
            <w:vAlign w:val="center"/>
            <w:hideMark/>
          </w:tcPr>
          <w:p w14:paraId="16BB0921" w14:textId="77777777" w:rsidR="0074074D" w:rsidRPr="00066DB4" w:rsidRDefault="0074074D" w:rsidP="00405BA7">
            <w:pPr>
              <w:rPr>
                <w:sz w:val="20"/>
                <w:szCs w:val="20"/>
              </w:rPr>
            </w:pPr>
            <w:r w:rsidRPr="00711AB2">
              <w:rPr>
                <w:sz w:val="20"/>
                <w:szCs w:val="20"/>
              </w:rPr>
              <w:t>100</w:t>
            </w:r>
          </w:p>
        </w:tc>
        <w:tc>
          <w:tcPr>
            <w:tcW w:w="1422" w:type="pct"/>
            <w:tcBorders>
              <w:top w:val="nil"/>
              <w:left w:val="nil"/>
              <w:bottom w:val="single" w:sz="4" w:space="0" w:color="auto"/>
              <w:right w:val="single" w:sz="4" w:space="0" w:color="auto"/>
            </w:tcBorders>
            <w:shd w:val="clear" w:color="auto" w:fill="auto"/>
            <w:noWrap/>
            <w:vAlign w:val="center"/>
            <w:hideMark/>
          </w:tcPr>
          <w:p w14:paraId="2059ECCA" w14:textId="77777777" w:rsidR="0074074D" w:rsidRPr="00066DB4" w:rsidRDefault="0074074D" w:rsidP="00405BA7">
            <w:pPr>
              <w:rPr>
                <w:sz w:val="20"/>
                <w:szCs w:val="20"/>
              </w:rPr>
            </w:pPr>
            <w:r w:rsidRPr="00711AB2">
              <w:rPr>
                <w:sz w:val="20"/>
                <w:szCs w:val="20"/>
              </w:rPr>
              <w:t>99.30</w:t>
            </w:r>
          </w:p>
        </w:tc>
        <w:tc>
          <w:tcPr>
            <w:tcW w:w="1078" w:type="pct"/>
            <w:tcBorders>
              <w:top w:val="nil"/>
              <w:left w:val="nil"/>
              <w:bottom w:val="single" w:sz="4" w:space="0" w:color="auto"/>
              <w:right w:val="single" w:sz="4" w:space="0" w:color="auto"/>
            </w:tcBorders>
            <w:shd w:val="clear" w:color="auto" w:fill="auto"/>
            <w:noWrap/>
            <w:vAlign w:val="center"/>
            <w:hideMark/>
          </w:tcPr>
          <w:p w14:paraId="34DDC4E5" w14:textId="77777777" w:rsidR="0074074D" w:rsidRPr="00066DB4" w:rsidRDefault="0074074D" w:rsidP="00405BA7">
            <w:pPr>
              <w:rPr>
                <w:sz w:val="20"/>
                <w:szCs w:val="20"/>
              </w:rPr>
            </w:pPr>
            <w:r w:rsidRPr="00711AB2">
              <w:rPr>
                <w:sz w:val="20"/>
                <w:szCs w:val="20"/>
              </w:rPr>
              <w:t>90</w:t>
            </w:r>
          </w:p>
        </w:tc>
      </w:tr>
      <w:tr w:rsidR="0074074D" w:rsidRPr="00066DB4" w14:paraId="7E9DE690"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716E7E35" w14:textId="77777777" w:rsidR="0074074D" w:rsidRPr="00066DB4" w:rsidRDefault="0074074D" w:rsidP="00405BA7">
            <w:pPr>
              <w:rPr>
                <w:sz w:val="20"/>
                <w:szCs w:val="20"/>
              </w:rPr>
            </w:pPr>
            <w:r w:rsidRPr="00711AB2">
              <w:rPr>
                <w:sz w:val="20"/>
                <w:szCs w:val="20"/>
              </w:rPr>
              <w:t>99.28</w:t>
            </w:r>
          </w:p>
        </w:tc>
        <w:tc>
          <w:tcPr>
            <w:tcW w:w="1078" w:type="pct"/>
            <w:tcBorders>
              <w:top w:val="nil"/>
              <w:left w:val="nil"/>
              <w:bottom w:val="single" w:sz="4" w:space="0" w:color="auto"/>
              <w:right w:val="single" w:sz="4" w:space="0" w:color="auto"/>
            </w:tcBorders>
            <w:shd w:val="clear" w:color="auto" w:fill="auto"/>
            <w:noWrap/>
            <w:vAlign w:val="center"/>
            <w:hideMark/>
          </w:tcPr>
          <w:p w14:paraId="36ECAF4A" w14:textId="77777777" w:rsidR="0074074D" w:rsidRPr="00066DB4" w:rsidRDefault="0074074D" w:rsidP="00405BA7">
            <w:pPr>
              <w:rPr>
                <w:sz w:val="20"/>
                <w:szCs w:val="20"/>
              </w:rPr>
            </w:pPr>
            <w:r w:rsidRPr="00711AB2">
              <w:rPr>
                <w:sz w:val="20"/>
                <w:szCs w:val="20"/>
              </w:rPr>
              <w:t>200</w:t>
            </w:r>
          </w:p>
        </w:tc>
        <w:tc>
          <w:tcPr>
            <w:tcW w:w="1422" w:type="pct"/>
            <w:tcBorders>
              <w:top w:val="nil"/>
              <w:left w:val="nil"/>
              <w:bottom w:val="single" w:sz="4" w:space="0" w:color="auto"/>
              <w:right w:val="single" w:sz="4" w:space="0" w:color="auto"/>
            </w:tcBorders>
            <w:shd w:val="clear" w:color="auto" w:fill="auto"/>
            <w:noWrap/>
            <w:vAlign w:val="center"/>
            <w:hideMark/>
          </w:tcPr>
          <w:p w14:paraId="310D836C" w14:textId="77777777" w:rsidR="0074074D" w:rsidRPr="00066DB4" w:rsidRDefault="0074074D" w:rsidP="00405BA7">
            <w:pPr>
              <w:rPr>
                <w:sz w:val="20"/>
                <w:szCs w:val="20"/>
              </w:rPr>
            </w:pPr>
            <w:r w:rsidRPr="00711AB2">
              <w:rPr>
                <w:sz w:val="20"/>
                <w:szCs w:val="20"/>
              </w:rPr>
              <w:t>99.31</w:t>
            </w:r>
          </w:p>
        </w:tc>
        <w:tc>
          <w:tcPr>
            <w:tcW w:w="1078" w:type="pct"/>
            <w:tcBorders>
              <w:top w:val="nil"/>
              <w:left w:val="nil"/>
              <w:bottom w:val="single" w:sz="4" w:space="0" w:color="auto"/>
              <w:right w:val="single" w:sz="4" w:space="0" w:color="auto"/>
            </w:tcBorders>
            <w:shd w:val="clear" w:color="auto" w:fill="auto"/>
            <w:noWrap/>
            <w:vAlign w:val="center"/>
            <w:hideMark/>
          </w:tcPr>
          <w:p w14:paraId="6E77A265" w14:textId="77777777" w:rsidR="0074074D" w:rsidRPr="00066DB4" w:rsidRDefault="0074074D" w:rsidP="00405BA7">
            <w:pPr>
              <w:rPr>
                <w:sz w:val="20"/>
                <w:szCs w:val="20"/>
              </w:rPr>
            </w:pPr>
            <w:r w:rsidRPr="00711AB2">
              <w:rPr>
                <w:sz w:val="20"/>
                <w:szCs w:val="20"/>
              </w:rPr>
              <w:t>50</w:t>
            </w:r>
          </w:p>
        </w:tc>
      </w:tr>
      <w:tr w:rsidR="0074074D" w:rsidRPr="00066DB4" w14:paraId="66E08676"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AA3157B" w14:textId="77777777" w:rsidR="0074074D" w:rsidRPr="00066DB4" w:rsidRDefault="0074074D" w:rsidP="00405BA7">
            <w:pPr>
              <w:rPr>
                <w:sz w:val="20"/>
                <w:szCs w:val="20"/>
              </w:rPr>
            </w:pPr>
            <w:r w:rsidRPr="00711AB2">
              <w:rPr>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2D7BCA34" w14:textId="77777777" w:rsidR="0074074D" w:rsidRPr="00066DB4" w:rsidRDefault="0074074D" w:rsidP="00405BA7">
            <w:pPr>
              <w:rPr>
                <w:sz w:val="20"/>
                <w:szCs w:val="20"/>
              </w:rPr>
            </w:pPr>
            <w:r w:rsidRPr="00711AB2">
              <w:rPr>
                <w:sz w:val="20"/>
                <w:szCs w:val="20"/>
              </w:rPr>
              <w:t>10</w:t>
            </w:r>
          </w:p>
        </w:tc>
        <w:tc>
          <w:tcPr>
            <w:tcW w:w="1422" w:type="pct"/>
            <w:tcBorders>
              <w:top w:val="nil"/>
              <w:left w:val="nil"/>
              <w:bottom w:val="single" w:sz="4" w:space="0" w:color="auto"/>
              <w:right w:val="single" w:sz="4" w:space="0" w:color="auto"/>
            </w:tcBorders>
            <w:shd w:val="clear" w:color="auto" w:fill="auto"/>
            <w:noWrap/>
            <w:vAlign w:val="center"/>
            <w:hideMark/>
          </w:tcPr>
          <w:p w14:paraId="0109016A" w14:textId="77777777" w:rsidR="0074074D" w:rsidRPr="00066DB4" w:rsidRDefault="0074074D" w:rsidP="00405BA7">
            <w:pPr>
              <w:rPr>
                <w:sz w:val="20"/>
                <w:szCs w:val="20"/>
              </w:rPr>
            </w:pPr>
          </w:p>
        </w:tc>
        <w:tc>
          <w:tcPr>
            <w:tcW w:w="1078" w:type="pct"/>
            <w:tcBorders>
              <w:top w:val="nil"/>
              <w:left w:val="nil"/>
              <w:bottom w:val="single" w:sz="4" w:space="0" w:color="auto"/>
              <w:right w:val="single" w:sz="4" w:space="0" w:color="auto"/>
            </w:tcBorders>
            <w:shd w:val="clear" w:color="auto" w:fill="auto"/>
            <w:noWrap/>
            <w:vAlign w:val="center"/>
            <w:hideMark/>
          </w:tcPr>
          <w:p w14:paraId="5187EEC9" w14:textId="77777777" w:rsidR="0074074D" w:rsidRPr="00066DB4" w:rsidRDefault="0074074D" w:rsidP="00405BA7">
            <w:pPr>
              <w:rPr>
                <w:sz w:val="20"/>
                <w:szCs w:val="20"/>
              </w:rPr>
            </w:pPr>
          </w:p>
        </w:tc>
      </w:tr>
      <w:tr w:rsidR="0074074D" w:rsidRPr="00066DB4" w14:paraId="2E0948AB"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4E934252" w14:textId="77777777" w:rsidR="0074074D" w:rsidRPr="00066DB4" w:rsidRDefault="0074074D" w:rsidP="00405BA7">
            <w:pPr>
              <w:rPr>
                <w:sz w:val="20"/>
                <w:szCs w:val="20"/>
              </w:rPr>
            </w:pPr>
            <w:r w:rsidRPr="00711AB2">
              <w:rPr>
                <w:sz w:val="20"/>
                <w:szCs w:val="20"/>
              </w:rPr>
              <w:t>99.25</w:t>
            </w:r>
          </w:p>
        </w:tc>
        <w:tc>
          <w:tcPr>
            <w:tcW w:w="1078" w:type="pct"/>
            <w:tcBorders>
              <w:top w:val="nil"/>
              <w:left w:val="nil"/>
              <w:bottom w:val="single" w:sz="4" w:space="0" w:color="auto"/>
              <w:right w:val="single" w:sz="4" w:space="0" w:color="auto"/>
            </w:tcBorders>
            <w:shd w:val="clear" w:color="auto" w:fill="auto"/>
            <w:noWrap/>
            <w:vAlign w:val="center"/>
            <w:hideMark/>
          </w:tcPr>
          <w:p w14:paraId="02641B62" w14:textId="77777777" w:rsidR="0074074D" w:rsidRPr="00066DB4" w:rsidRDefault="0074074D" w:rsidP="00405BA7">
            <w:pPr>
              <w:rPr>
                <w:sz w:val="20"/>
                <w:szCs w:val="20"/>
              </w:rPr>
            </w:pPr>
            <w:r w:rsidRPr="00711AB2">
              <w:rPr>
                <w:sz w:val="20"/>
                <w:szCs w:val="20"/>
              </w:rPr>
              <w:t>100</w:t>
            </w:r>
          </w:p>
        </w:tc>
        <w:tc>
          <w:tcPr>
            <w:tcW w:w="1422" w:type="pct"/>
            <w:tcBorders>
              <w:top w:val="nil"/>
              <w:left w:val="nil"/>
              <w:bottom w:val="single" w:sz="4" w:space="0" w:color="auto"/>
              <w:right w:val="single" w:sz="4" w:space="0" w:color="auto"/>
            </w:tcBorders>
            <w:shd w:val="clear" w:color="auto" w:fill="auto"/>
            <w:noWrap/>
            <w:vAlign w:val="center"/>
            <w:hideMark/>
          </w:tcPr>
          <w:p w14:paraId="557B3F0A" w14:textId="77777777" w:rsidR="0074074D" w:rsidRPr="00066DB4" w:rsidRDefault="0074074D" w:rsidP="00405BA7">
            <w:pPr>
              <w:rPr>
                <w:sz w:val="20"/>
                <w:szCs w:val="20"/>
              </w:rPr>
            </w:pPr>
          </w:p>
        </w:tc>
        <w:tc>
          <w:tcPr>
            <w:tcW w:w="1078" w:type="pct"/>
            <w:tcBorders>
              <w:top w:val="nil"/>
              <w:left w:val="nil"/>
              <w:bottom w:val="single" w:sz="4" w:space="0" w:color="auto"/>
              <w:right w:val="single" w:sz="4" w:space="0" w:color="auto"/>
            </w:tcBorders>
            <w:shd w:val="clear" w:color="auto" w:fill="auto"/>
            <w:noWrap/>
            <w:vAlign w:val="center"/>
            <w:hideMark/>
          </w:tcPr>
          <w:p w14:paraId="742E4490" w14:textId="77777777" w:rsidR="0074074D" w:rsidRPr="00066DB4" w:rsidRDefault="0074074D" w:rsidP="00405BA7">
            <w:pPr>
              <w:rPr>
                <w:sz w:val="20"/>
                <w:szCs w:val="20"/>
              </w:rPr>
            </w:pPr>
          </w:p>
        </w:tc>
      </w:tr>
    </w:tbl>
    <w:p w14:paraId="35358171" w14:textId="77777777" w:rsidR="0074074D" w:rsidRPr="00066DB4" w:rsidRDefault="0074074D" w:rsidP="0074074D">
      <w:r w:rsidRPr="00711AB2">
        <w:t xml:space="preserve"> [2. </w:t>
      </w:r>
      <w:r w:rsidRPr="00066DB4">
        <w:rPr>
          <w:rFonts w:hint="eastAsia"/>
        </w:rPr>
        <w:t>交易量不相等的拆分</w:t>
      </w:r>
      <w:r w:rsidRPr="00066DB4">
        <w:t>,</w:t>
      </w:r>
      <w:r w:rsidRPr="00066DB4">
        <w:rPr>
          <w:rFonts w:hint="eastAsia"/>
        </w:rPr>
        <w:t>直到两个</w:t>
      </w:r>
      <w:r w:rsidRPr="00066DB4">
        <w:t>方向订单</w:t>
      </w:r>
      <w:r w:rsidRPr="00066DB4">
        <w:rPr>
          <w:rFonts w:hint="eastAsia"/>
        </w:rPr>
        <w:t>簿</w:t>
      </w:r>
      <w:r w:rsidRPr="00066DB4">
        <w:t>中的</w:t>
      </w:r>
      <w:r w:rsidRPr="00066DB4">
        <w:rPr>
          <w:rFonts w:hint="eastAsia"/>
        </w:rPr>
        <w:t>剩余报价中最高买入报价低于最低卖出报价为止</w:t>
      </w:r>
      <w:r w:rsidRPr="00066DB4">
        <w:t>]</w:t>
      </w:r>
    </w:p>
    <w:tbl>
      <w:tblPr>
        <w:tblW w:w="5000" w:type="pct"/>
        <w:jc w:val="center"/>
        <w:tblLook w:val="04A0" w:firstRow="1" w:lastRow="0" w:firstColumn="1" w:lastColumn="0" w:noHBand="0" w:noVBand="1"/>
      </w:tblPr>
      <w:tblGrid>
        <w:gridCol w:w="2659"/>
        <w:gridCol w:w="2016"/>
        <w:gridCol w:w="2659"/>
        <w:gridCol w:w="2016"/>
      </w:tblGrid>
      <w:tr w:rsidR="0074074D" w:rsidRPr="00066DB4" w14:paraId="35239D68" w14:textId="77777777" w:rsidTr="00405BA7">
        <w:trPr>
          <w:trHeight w:val="270"/>
          <w:jc w:val="center"/>
        </w:trPr>
        <w:tc>
          <w:tcPr>
            <w:tcW w:w="25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0B3A42A" w14:textId="77777777" w:rsidR="0074074D" w:rsidRPr="00066DB4" w:rsidRDefault="0074074D" w:rsidP="00405BA7">
            <w:pPr>
              <w:rPr>
                <w:sz w:val="20"/>
                <w:szCs w:val="20"/>
              </w:rPr>
            </w:pPr>
            <w:r w:rsidRPr="00066DB4">
              <w:rPr>
                <w:rFonts w:hint="eastAsia"/>
                <w:sz w:val="20"/>
                <w:szCs w:val="20"/>
              </w:rPr>
              <w:t>买入报价</w:t>
            </w:r>
          </w:p>
        </w:tc>
        <w:tc>
          <w:tcPr>
            <w:tcW w:w="2500"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66ADD079" w14:textId="77777777" w:rsidR="0074074D" w:rsidRPr="00066DB4" w:rsidRDefault="0074074D" w:rsidP="00405BA7">
            <w:pPr>
              <w:rPr>
                <w:sz w:val="20"/>
                <w:szCs w:val="20"/>
              </w:rPr>
            </w:pPr>
            <w:r w:rsidRPr="00066DB4">
              <w:rPr>
                <w:rFonts w:hint="eastAsia"/>
                <w:sz w:val="20"/>
                <w:szCs w:val="20"/>
              </w:rPr>
              <w:t>卖出报价</w:t>
            </w:r>
          </w:p>
        </w:tc>
      </w:tr>
      <w:tr w:rsidR="0074074D" w:rsidRPr="00066DB4" w14:paraId="70759C06" w14:textId="77777777" w:rsidTr="00405BA7">
        <w:trPr>
          <w:trHeight w:val="341"/>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325A6464" w14:textId="77777777" w:rsidR="0074074D" w:rsidRPr="00066DB4" w:rsidRDefault="0074074D" w:rsidP="00405BA7">
            <w:pPr>
              <w:rPr>
                <w:sz w:val="20"/>
                <w:szCs w:val="20"/>
              </w:rPr>
            </w:pPr>
            <w:r w:rsidRPr="00711AB2">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50CA205A" w14:textId="77777777" w:rsidR="0074074D" w:rsidRPr="00066DB4" w:rsidRDefault="0074074D" w:rsidP="00405BA7">
            <w:pPr>
              <w:rPr>
                <w:sz w:val="20"/>
                <w:szCs w:val="20"/>
              </w:rPr>
            </w:pPr>
            <w:r w:rsidRPr="00711AB2">
              <w:rPr>
                <w:rFonts w:hint="eastAsia"/>
                <w:sz w:val="20"/>
                <w:szCs w:val="20"/>
              </w:rPr>
              <w:t>报价量（万）</w:t>
            </w:r>
          </w:p>
        </w:tc>
        <w:tc>
          <w:tcPr>
            <w:tcW w:w="1422" w:type="pct"/>
            <w:tcBorders>
              <w:top w:val="nil"/>
              <w:left w:val="nil"/>
              <w:bottom w:val="single" w:sz="4" w:space="0" w:color="auto"/>
              <w:right w:val="single" w:sz="4" w:space="0" w:color="auto"/>
            </w:tcBorders>
            <w:shd w:val="clear" w:color="auto" w:fill="auto"/>
            <w:noWrap/>
            <w:vAlign w:val="center"/>
            <w:hideMark/>
          </w:tcPr>
          <w:p w14:paraId="7547F63B" w14:textId="77777777" w:rsidR="0074074D" w:rsidRPr="00066DB4" w:rsidRDefault="0074074D" w:rsidP="00405BA7">
            <w:pPr>
              <w:rPr>
                <w:sz w:val="20"/>
                <w:szCs w:val="20"/>
              </w:rPr>
            </w:pPr>
            <w:r w:rsidRPr="00711AB2">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64BE37F5" w14:textId="77777777" w:rsidR="0074074D" w:rsidRPr="00066DB4" w:rsidRDefault="0074074D" w:rsidP="00405BA7">
            <w:pPr>
              <w:rPr>
                <w:sz w:val="20"/>
                <w:szCs w:val="20"/>
              </w:rPr>
            </w:pPr>
            <w:r w:rsidRPr="00711AB2">
              <w:rPr>
                <w:rFonts w:hint="eastAsia"/>
                <w:sz w:val="20"/>
                <w:szCs w:val="20"/>
              </w:rPr>
              <w:t>报价量（万）</w:t>
            </w:r>
          </w:p>
        </w:tc>
      </w:tr>
      <w:tr w:rsidR="0074074D" w:rsidRPr="00066DB4" w14:paraId="3CD88A10"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6AEF9334" w14:textId="77777777" w:rsidR="0074074D" w:rsidRPr="00066DB4" w:rsidRDefault="0074074D" w:rsidP="00405BA7">
            <w:pPr>
              <w:rPr>
                <w:bCs/>
                <w:sz w:val="20"/>
                <w:szCs w:val="20"/>
              </w:rPr>
            </w:pPr>
            <w:r w:rsidRPr="00711AB2">
              <w:rPr>
                <w:bCs/>
                <w:sz w:val="20"/>
                <w:szCs w:val="20"/>
              </w:rPr>
              <w:t>99.30</w:t>
            </w:r>
          </w:p>
        </w:tc>
        <w:tc>
          <w:tcPr>
            <w:tcW w:w="1078" w:type="pct"/>
            <w:tcBorders>
              <w:top w:val="nil"/>
              <w:left w:val="nil"/>
              <w:bottom w:val="single" w:sz="4" w:space="0" w:color="auto"/>
              <w:right w:val="single" w:sz="4" w:space="0" w:color="auto"/>
            </w:tcBorders>
            <w:shd w:val="clear" w:color="auto" w:fill="auto"/>
            <w:noWrap/>
            <w:vAlign w:val="center"/>
            <w:hideMark/>
          </w:tcPr>
          <w:p w14:paraId="03EF2A01" w14:textId="77777777" w:rsidR="0074074D" w:rsidRPr="00066DB4" w:rsidRDefault="0074074D" w:rsidP="00405BA7">
            <w:pPr>
              <w:rPr>
                <w:bCs/>
                <w:sz w:val="20"/>
                <w:szCs w:val="20"/>
              </w:rPr>
            </w:pPr>
            <w:r w:rsidRPr="00711AB2">
              <w:rPr>
                <w:bCs/>
                <w:sz w:val="20"/>
                <w:szCs w:val="20"/>
              </w:rPr>
              <w:t>70</w:t>
            </w:r>
          </w:p>
        </w:tc>
        <w:tc>
          <w:tcPr>
            <w:tcW w:w="1422" w:type="pct"/>
            <w:tcBorders>
              <w:top w:val="nil"/>
              <w:left w:val="nil"/>
              <w:bottom w:val="single" w:sz="4" w:space="0" w:color="auto"/>
              <w:right w:val="single" w:sz="4" w:space="0" w:color="auto"/>
            </w:tcBorders>
            <w:shd w:val="clear" w:color="auto" w:fill="auto"/>
            <w:noWrap/>
            <w:vAlign w:val="center"/>
            <w:hideMark/>
          </w:tcPr>
          <w:p w14:paraId="092B2270" w14:textId="77777777" w:rsidR="0074074D" w:rsidRPr="00066DB4" w:rsidRDefault="0074074D" w:rsidP="00405BA7">
            <w:pPr>
              <w:rPr>
                <w:bCs/>
                <w:sz w:val="20"/>
                <w:szCs w:val="20"/>
              </w:rPr>
            </w:pPr>
            <w:r w:rsidRPr="00711AB2">
              <w:rPr>
                <w:bCs/>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56D4CD65" w14:textId="77777777" w:rsidR="0074074D" w:rsidRPr="00066DB4" w:rsidRDefault="0074074D" w:rsidP="00405BA7">
            <w:pPr>
              <w:rPr>
                <w:bCs/>
                <w:sz w:val="20"/>
                <w:szCs w:val="20"/>
              </w:rPr>
            </w:pPr>
            <w:r w:rsidRPr="00711AB2">
              <w:rPr>
                <w:bCs/>
                <w:sz w:val="20"/>
                <w:szCs w:val="20"/>
              </w:rPr>
              <w:t>70</w:t>
            </w:r>
          </w:p>
        </w:tc>
      </w:tr>
      <w:tr w:rsidR="0074074D" w:rsidRPr="00066DB4" w14:paraId="0FF44047"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5A3550A4" w14:textId="77777777" w:rsidR="0074074D" w:rsidRPr="00066DB4" w:rsidRDefault="0074074D" w:rsidP="00405BA7">
            <w:pPr>
              <w:rPr>
                <w:sz w:val="20"/>
                <w:szCs w:val="20"/>
              </w:rPr>
            </w:pPr>
            <w:r w:rsidRPr="00711AB2">
              <w:rPr>
                <w:sz w:val="20"/>
                <w:szCs w:val="20"/>
              </w:rPr>
              <w:t>99.29</w:t>
            </w:r>
          </w:p>
        </w:tc>
        <w:tc>
          <w:tcPr>
            <w:tcW w:w="1078" w:type="pct"/>
            <w:tcBorders>
              <w:top w:val="nil"/>
              <w:left w:val="nil"/>
              <w:bottom w:val="single" w:sz="4" w:space="0" w:color="auto"/>
              <w:right w:val="single" w:sz="4" w:space="0" w:color="auto"/>
            </w:tcBorders>
            <w:shd w:val="clear" w:color="auto" w:fill="auto"/>
            <w:noWrap/>
            <w:vAlign w:val="center"/>
            <w:hideMark/>
          </w:tcPr>
          <w:p w14:paraId="4A6392B2" w14:textId="77777777" w:rsidR="0074074D" w:rsidRPr="00066DB4" w:rsidRDefault="0074074D" w:rsidP="00405BA7">
            <w:pPr>
              <w:rPr>
                <w:sz w:val="20"/>
                <w:szCs w:val="20"/>
              </w:rPr>
            </w:pPr>
            <w:r w:rsidRPr="00711AB2">
              <w:rPr>
                <w:sz w:val="20"/>
                <w:szCs w:val="20"/>
              </w:rPr>
              <w:t>40</w:t>
            </w:r>
          </w:p>
        </w:tc>
        <w:tc>
          <w:tcPr>
            <w:tcW w:w="1422" w:type="pct"/>
            <w:tcBorders>
              <w:top w:val="nil"/>
              <w:left w:val="nil"/>
              <w:bottom w:val="single" w:sz="4" w:space="0" w:color="auto"/>
              <w:right w:val="single" w:sz="4" w:space="0" w:color="auto"/>
            </w:tcBorders>
            <w:shd w:val="clear" w:color="auto" w:fill="auto"/>
            <w:noWrap/>
            <w:vAlign w:val="center"/>
            <w:hideMark/>
          </w:tcPr>
          <w:p w14:paraId="68FF9ED0" w14:textId="77777777" w:rsidR="0074074D" w:rsidRPr="00066DB4" w:rsidRDefault="0074074D" w:rsidP="00405BA7">
            <w:pPr>
              <w:rPr>
                <w:sz w:val="20"/>
                <w:szCs w:val="20"/>
              </w:rPr>
            </w:pPr>
            <w:r w:rsidRPr="00711AB2">
              <w:rPr>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317C7DD6" w14:textId="77777777" w:rsidR="0074074D" w:rsidRPr="00066DB4" w:rsidRDefault="0074074D" w:rsidP="00405BA7">
            <w:pPr>
              <w:rPr>
                <w:sz w:val="20"/>
                <w:szCs w:val="20"/>
              </w:rPr>
            </w:pPr>
            <w:r w:rsidRPr="00711AB2">
              <w:rPr>
                <w:sz w:val="20"/>
                <w:szCs w:val="20"/>
              </w:rPr>
              <w:t>40</w:t>
            </w:r>
          </w:p>
        </w:tc>
      </w:tr>
      <w:tr w:rsidR="0074074D" w:rsidRPr="00066DB4" w14:paraId="3EB0DB4D"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tcPr>
          <w:p w14:paraId="2852ACDA" w14:textId="77777777" w:rsidR="0074074D" w:rsidRPr="00413114" w:rsidRDefault="0074074D" w:rsidP="00405BA7">
            <w:pPr>
              <w:rPr>
                <w:b/>
                <w:sz w:val="20"/>
                <w:szCs w:val="20"/>
              </w:rPr>
            </w:pPr>
            <w:r w:rsidRPr="00413114">
              <w:rPr>
                <w:b/>
                <w:sz w:val="20"/>
                <w:szCs w:val="20"/>
              </w:rPr>
              <w:t>99.29</w:t>
            </w:r>
          </w:p>
        </w:tc>
        <w:tc>
          <w:tcPr>
            <w:tcW w:w="1078" w:type="pct"/>
            <w:tcBorders>
              <w:top w:val="nil"/>
              <w:left w:val="nil"/>
              <w:bottom w:val="single" w:sz="4" w:space="0" w:color="auto"/>
              <w:right w:val="single" w:sz="4" w:space="0" w:color="auto"/>
            </w:tcBorders>
            <w:shd w:val="clear" w:color="auto" w:fill="auto"/>
            <w:noWrap/>
            <w:vAlign w:val="center"/>
          </w:tcPr>
          <w:p w14:paraId="06BDDE7F" w14:textId="77777777" w:rsidR="0074074D" w:rsidRPr="00413114" w:rsidRDefault="0074074D" w:rsidP="00405BA7">
            <w:pPr>
              <w:rPr>
                <w:b/>
                <w:sz w:val="20"/>
                <w:szCs w:val="20"/>
              </w:rPr>
            </w:pPr>
            <w:r w:rsidRPr="00413114">
              <w:rPr>
                <w:b/>
                <w:sz w:val="20"/>
                <w:szCs w:val="20"/>
              </w:rPr>
              <w:t>60</w:t>
            </w:r>
          </w:p>
        </w:tc>
        <w:tc>
          <w:tcPr>
            <w:tcW w:w="1422" w:type="pct"/>
            <w:tcBorders>
              <w:top w:val="nil"/>
              <w:left w:val="nil"/>
              <w:bottom w:val="single" w:sz="4" w:space="0" w:color="auto"/>
              <w:right w:val="single" w:sz="4" w:space="0" w:color="auto"/>
            </w:tcBorders>
            <w:shd w:val="clear" w:color="auto" w:fill="auto"/>
            <w:noWrap/>
            <w:vAlign w:val="center"/>
          </w:tcPr>
          <w:p w14:paraId="3D0D6390" w14:textId="77777777" w:rsidR="0074074D" w:rsidRPr="00413114" w:rsidRDefault="0074074D" w:rsidP="00405BA7">
            <w:pPr>
              <w:rPr>
                <w:b/>
                <w:sz w:val="20"/>
                <w:szCs w:val="20"/>
              </w:rPr>
            </w:pPr>
            <w:r w:rsidRPr="00413114">
              <w:rPr>
                <w:b/>
                <w:sz w:val="20"/>
                <w:szCs w:val="20"/>
              </w:rPr>
              <w:t>99.30</w:t>
            </w:r>
          </w:p>
        </w:tc>
        <w:tc>
          <w:tcPr>
            <w:tcW w:w="1078" w:type="pct"/>
            <w:tcBorders>
              <w:top w:val="nil"/>
              <w:left w:val="nil"/>
              <w:bottom w:val="single" w:sz="4" w:space="0" w:color="auto"/>
              <w:right w:val="single" w:sz="4" w:space="0" w:color="auto"/>
            </w:tcBorders>
            <w:shd w:val="clear" w:color="auto" w:fill="auto"/>
            <w:noWrap/>
            <w:vAlign w:val="center"/>
          </w:tcPr>
          <w:p w14:paraId="45B15258" w14:textId="77777777" w:rsidR="0074074D" w:rsidRPr="00413114" w:rsidRDefault="0074074D" w:rsidP="00405BA7">
            <w:pPr>
              <w:rPr>
                <w:b/>
                <w:sz w:val="20"/>
                <w:szCs w:val="20"/>
              </w:rPr>
            </w:pPr>
            <w:r w:rsidRPr="00413114">
              <w:rPr>
                <w:b/>
                <w:sz w:val="20"/>
                <w:szCs w:val="20"/>
              </w:rPr>
              <w:t>90</w:t>
            </w:r>
          </w:p>
        </w:tc>
      </w:tr>
      <w:tr w:rsidR="0074074D" w:rsidRPr="00066DB4" w14:paraId="1040324A"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21D9F0F1" w14:textId="77777777" w:rsidR="0074074D" w:rsidRPr="00066DB4" w:rsidRDefault="0074074D" w:rsidP="00405BA7">
            <w:pPr>
              <w:rPr>
                <w:sz w:val="20"/>
                <w:szCs w:val="20"/>
              </w:rPr>
            </w:pPr>
            <w:r w:rsidRPr="00711AB2">
              <w:rPr>
                <w:sz w:val="20"/>
                <w:szCs w:val="20"/>
              </w:rPr>
              <w:t>99.28</w:t>
            </w:r>
          </w:p>
        </w:tc>
        <w:tc>
          <w:tcPr>
            <w:tcW w:w="1078" w:type="pct"/>
            <w:tcBorders>
              <w:top w:val="nil"/>
              <w:left w:val="nil"/>
              <w:bottom w:val="single" w:sz="4" w:space="0" w:color="auto"/>
              <w:right w:val="single" w:sz="4" w:space="0" w:color="auto"/>
            </w:tcBorders>
            <w:shd w:val="clear" w:color="auto" w:fill="auto"/>
            <w:noWrap/>
            <w:vAlign w:val="center"/>
            <w:hideMark/>
          </w:tcPr>
          <w:p w14:paraId="40FD0A78" w14:textId="77777777" w:rsidR="0074074D" w:rsidRPr="00066DB4" w:rsidRDefault="0074074D" w:rsidP="00405BA7">
            <w:pPr>
              <w:rPr>
                <w:sz w:val="20"/>
                <w:szCs w:val="20"/>
              </w:rPr>
            </w:pPr>
            <w:r w:rsidRPr="00711AB2">
              <w:rPr>
                <w:sz w:val="20"/>
                <w:szCs w:val="20"/>
              </w:rPr>
              <w:t>200</w:t>
            </w:r>
          </w:p>
        </w:tc>
        <w:tc>
          <w:tcPr>
            <w:tcW w:w="1422" w:type="pct"/>
            <w:tcBorders>
              <w:top w:val="nil"/>
              <w:left w:val="nil"/>
              <w:bottom w:val="single" w:sz="4" w:space="0" w:color="auto"/>
              <w:right w:val="single" w:sz="4" w:space="0" w:color="auto"/>
            </w:tcBorders>
            <w:shd w:val="clear" w:color="auto" w:fill="auto"/>
            <w:noWrap/>
            <w:vAlign w:val="center"/>
            <w:hideMark/>
          </w:tcPr>
          <w:p w14:paraId="46876AEB" w14:textId="77777777" w:rsidR="0074074D" w:rsidRPr="00066DB4" w:rsidRDefault="0074074D" w:rsidP="00405BA7">
            <w:pPr>
              <w:rPr>
                <w:sz w:val="20"/>
                <w:szCs w:val="20"/>
              </w:rPr>
            </w:pPr>
            <w:r w:rsidRPr="00711AB2">
              <w:rPr>
                <w:sz w:val="20"/>
                <w:szCs w:val="20"/>
              </w:rPr>
              <w:t>99.31</w:t>
            </w:r>
          </w:p>
        </w:tc>
        <w:tc>
          <w:tcPr>
            <w:tcW w:w="1078" w:type="pct"/>
            <w:tcBorders>
              <w:top w:val="nil"/>
              <w:left w:val="nil"/>
              <w:bottom w:val="single" w:sz="4" w:space="0" w:color="auto"/>
              <w:right w:val="single" w:sz="4" w:space="0" w:color="auto"/>
            </w:tcBorders>
            <w:shd w:val="clear" w:color="auto" w:fill="auto"/>
            <w:noWrap/>
            <w:vAlign w:val="center"/>
            <w:hideMark/>
          </w:tcPr>
          <w:p w14:paraId="541DA498" w14:textId="77777777" w:rsidR="0074074D" w:rsidRPr="00066DB4" w:rsidRDefault="0074074D" w:rsidP="00405BA7">
            <w:pPr>
              <w:rPr>
                <w:sz w:val="20"/>
                <w:szCs w:val="20"/>
              </w:rPr>
            </w:pPr>
            <w:r w:rsidRPr="00711AB2">
              <w:rPr>
                <w:sz w:val="20"/>
                <w:szCs w:val="20"/>
              </w:rPr>
              <w:t>50</w:t>
            </w:r>
          </w:p>
        </w:tc>
      </w:tr>
      <w:tr w:rsidR="0074074D" w:rsidRPr="00066DB4" w14:paraId="78314C38"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9D5F6E9" w14:textId="77777777" w:rsidR="0074074D" w:rsidRPr="00066DB4" w:rsidRDefault="0074074D" w:rsidP="00405BA7">
            <w:pPr>
              <w:rPr>
                <w:sz w:val="20"/>
                <w:szCs w:val="20"/>
              </w:rPr>
            </w:pPr>
            <w:r w:rsidRPr="00711AB2">
              <w:rPr>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706DFAB2" w14:textId="77777777" w:rsidR="0074074D" w:rsidRPr="00066DB4" w:rsidRDefault="0074074D" w:rsidP="00405BA7">
            <w:pPr>
              <w:rPr>
                <w:sz w:val="20"/>
                <w:szCs w:val="20"/>
              </w:rPr>
            </w:pPr>
            <w:r w:rsidRPr="00711AB2">
              <w:rPr>
                <w:sz w:val="20"/>
                <w:szCs w:val="20"/>
              </w:rPr>
              <w:t>10</w:t>
            </w:r>
          </w:p>
        </w:tc>
        <w:tc>
          <w:tcPr>
            <w:tcW w:w="1422" w:type="pct"/>
            <w:tcBorders>
              <w:top w:val="nil"/>
              <w:left w:val="nil"/>
              <w:bottom w:val="single" w:sz="4" w:space="0" w:color="auto"/>
              <w:right w:val="single" w:sz="4" w:space="0" w:color="auto"/>
            </w:tcBorders>
            <w:shd w:val="clear" w:color="auto" w:fill="auto"/>
            <w:noWrap/>
            <w:vAlign w:val="center"/>
            <w:hideMark/>
          </w:tcPr>
          <w:p w14:paraId="46376564" w14:textId="77777777" w:rsidR="0074074D" w:rsidRPr="00066DB4" w:rsidRDefault="0074074D" w:rsidP="00405BA7">
            <w:pPr>
              <w:rPr>
                <w:sz w:val="20"/>
                <w:szCs w:val="20"/>
              </w:rPr>
            </w:pPr>
          </w:p>
        </w:tc>
        <w:tc>
          <w:tcPr>
            <w:tcW w:w="1078" w:type="pct"/>
            <w:tcBorders>
              <w:top w:val="nil"/>
              <w:left w:val="nil"/>
              <w:bottom w:val="single" w:sz="4" w:space="0" w:color="auto"/>
              <w:right w:val="single" w:sz="4" w:space="0" w:color="auto"/>
            </w:tcBorders>
            <w:shd w:val="clear" w:color="auto" w:fill="auto"/>
            <w:noWrap/>
            <w:vAlign w:val="center"/>
            <w:hideMark/>
          </w:tcPr>
          <w:p w14:paraId="5639885D" w14:textId="77777777" w:rsidR="0074074D" w:rsidRPr="00066DB4" w:rsidRDefault="0074074D" w:rsidP="00405BA7">
            <w:pPr>
              <w:rPr>
                <w:sz w:val="20"/>
                <w:szCs w:val="20"/>
              </w:rPr>
            </w:pPr>
          </w:p>
        </w:tc>
      </w:tr>
      <w:tr w:rsidR="0074074D" w:rsidRPr="00066DB4" w14:paraId="07337E1F"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16460AE4" w14:textId="77777777" w:rsidR="0074074D" w:rsidRPr="00066DB4" w:rsidRDefault="0074074D" w:rsidP="00405BA7">
            <w:pPr>
              <w:rPr>
                <w:sz w:val="20"/>
                <w:szCs w:val="20"/>
              </w:rPr>
            </w:pPr>
            <w:r w:rsidRPr="00711AB2">
              <w:rPr>
                <w:sz w:val="20"/>
                <w:szCs w:val="20"/>
              </w:rPr>
              <w:t>99.25</w:t>
            </w:r>
          </w:p>
        </w:tc>
        <w:tc>
          <w:tcPr>
            <w:tcW w:w="1078" w:type="pct"/>
            <w:tcBorders>
              <w:top w:val="nil"/>
              <w:left w:val="nil"/>
              <w:bottom w:val="single" w:sz="4" w:space="0" w:color="auto"/>
              <w:right w:val="single" w:sz="4" w:space="0" w:color="auto"/>
            </w:tcBorders>
            <w:shd w:val="clear" w:color="auto" w:fill="auto"/>
            <w:noWrap/>
            <w:vAlign w:val="center"/>
            <w:hideMark/>
          </w:tcPr>
          <w:p w14:paraId="181C7AC3" w14:textId="77777777" w:rsidR="0074074D" w:rsidRPr="00066DB4" w:rsidRDefault="0074074D" w:rsidP="00405BA7">
            <w:pPr>
              <w:rPr>
                <w:sz w:val="20"/>
                <w:szCs w:val="20"/>
              </w:rPr>
            </w:pPr>
            <w:r w:rsidRPr="00711AB2">
              <w:rPr>
                <w:sz w:val="20"/>
                <w:szCs w:val="20"/>
              </w:rPr>
              <w:t>100</w:t>
            </w:r>
          </w:p>
        </w:tc>
        <w:tc>
          <w:tcPr>
            <w:tcW w:w="1422" w:type="pct"/>
            <w:tcBorders>
              <w:top w:val="nil"/>
              <w:left w:val="nil"/>
              <w:bottom w:val="single" w:sz="4" w:space="0" w:color="auto"/>
              <w:right w:val="single" w:sz="4" w:space="0" w:color="auto"/>
            </w:tcBorders>
            <w:shd w:val="clear" w:color="auto" w:fill="auto"/>
            <w:noWrap/>
            <w:vAlign w:val="center"/>
            <w:hideMark/>
          </w:tcPr>
          <w:p w14:paraId="179E4B95" w14:textId="77777777" w:rsidR="0074074D" w:rsidRPr="00066DB4" w:rsidRDefault="0074074D" w:rsidP="00405BA7">
            <w:pPr>
              <w:rPr>
                <w:sz w:val="20"/>
                <w:szCs w:val="20"/>
              </w:rPr>
            </w:pPr>
          </w:p>
        </w:tc>
        <w:tc>
          <w:tcPr>
            <w:tcW w:w="1078" w:type="pct"/>
            <w:tcBorders>
              <w:top w:val="nil"/>
              <w:left w:val="nil"/>
              <w:bottom w:val="single" w:sz="4" w:space="0" w:color="auto"/>
              <w:right w:val="single" w:sz="4" w:space="0" w:color="auto"/>
            </w:tcBorders>
            <w:shd w:val="clear" w:color="auto" w:fill="auto"/>
            <w:noWrap/>
            <w:vAlign w:val="center"/>
            <w:hideMark/>
          </w:tcPr>
          <w:p w14:paraId="2EC64435" w14:textId="77777777" w:rsidR="0074074D" w:rsidRPr="00066DB4" w:rsidRDefault="0074074D" w:rsidP="00405BA7">
            <w:pPr>
              <w:rPr>
                <w:sz w:val="20"/>
                <w:szCs w:val="20"/>
              </w:rPr>
            </w:pPr>
          </w:p>
        </w:tc>
      </w:tr>
    </w:tbl>
    <w:p w14:paraId="5D7A2F12" w14:textId="77777777" w:rsidR="0074074D" w:rsidRPr="00066DB4" w:rsidRDefault="0074074D" w:rsidP="0074074D"/>
    <w:p w14:paraId="754C29FF" w14:textId="77777777" w:rsidR="0074074D" w:rsidRDefault="0074074D" w:rsidP="0074074D">
      <w:pPr>
        <w:pStyle w:val="Heading1"/>
        <w:rPr>
          <w:rStyle w:val="Heading1Char"/>
        </w:rPr>
      </w:pPr>
      <w:r w:rsidRPr="0074074D">
        <w:rPr>
          <w:rStyle w:val="Heading1Char"/>
        </w:rPr>
        <w:t>Step2</w:t>
      </w:r>
      <w:r w:rsidRPr="0074074D">
        <w:rPr>
          <w:rStyle w:val="Heading1Char"/>
          <w:rFonts w:hint="eastAsia"/>
        </w:rPr>
        <w:t>：确定本交易场次的开盘价</w:t>
      </w:r>
    </w:p>
    <w:p w14:paraId="336CAE24" w14:textId="05F40B49" w:rsidR="0074074D" w:rsidRPr="00066DB4" w:rsidRDefault="0074074D" w:rsidP="0074074D">
      <w:r w:rsidRPr="00066DB4">
        <w:rPr>
          <w:rFonts w:hint="eastAsia"/>
        </w:rPr>
        <w:t>（开盘价确定过程中不考虑黑名单，默认全市场互相之间都可以匹配）</w:t>
      </w:r>
    </w:p>
    <w:p w14:paraId="6B61646E" w14:textId="77777777" w:rsidR="0074074D" w:rsidRPr="00066DB4" w:rsidRDefault="0074074D" w:rsidP="0074074D">
      <w:r w:rsidRPr="00066DB4">
        <w:rPr>
          <w:rFonts w:hint="eastAsia"/>
        </w:rPr>
        <w:t>确定步骤为</w:t>
      </w:r>
      <w:r w:rsidRPr="00711AB2">
        <w:rPr>
          <w:rFonts w:hint="eastAsia"/>
        </w:rPr>
        <w:t>：</w:t>
      </w:r>
    </w:p>
    <w:p w14:paraId="1256C97F" w14:textId="77777777" w:rsidR="0074074D" w:rsidRPr="00066DB4" w:rsidRDefault="0074074D" w:rsidP="0074074D">
      <w:r>
        <w:rPr>
          <w:rFonts w:hint="eastAsia"/>
        </w:rPr>
        <w:t>1</w:t>
      </w:r>
      <w:r>
        <w:rPr>
          <w:rFonts w:hint="eastAsia"/>
        </w:rPr>
        <w:t>）</w:t>
      </w:r>
      <w:r w:rsidRPr="00711AB2">
        <w:rPr>
          <w:rFonts w:hint="eastAsia"/>
        </w:rPr>
        <w:t>按照最后一笔匹配成交的净价作为开盘价；</w:t>
      </w:r>
    </w:p>
    <w:p w14:paraId="267CD897" w14:textId="77777777" w:rsidR="0074074D" w:rsidRPr="00066DB4" w:rsidRDefault="0074074D" w:rsidP="0074074D">
      <w:r>
        <w:rPr>
          <w:rFonts w:hint="eastAsia"/>
        </w:rPr>
        <w:t>2</w:t>
      </w:r>
      <w:r>
        <w:rPr>
          <w:rFonts w:hint="eastAsia"/>
        </w:rPr>
        <w:t>）</w:t>
      </w:r>
      <w:r w:rsidRPr="00711AB2">
        <w:rPr>
          <w:rFonts w:hint="eastAsia"/>
        </w:rPr>
        <w:t>若最后一笔匹配成交中买入报价与卖出报价不等，将买入、卖出报价中净价在最后一笔匹配成交买入、卖出净价所组成的闭区间的价位取出，</w:t>
      </w:r>
      <w:proofErr w:type="gramStart"/>
      <w:r w:rsidRPr="00711AB2">
        <w:rPr>
          <w:rFonts w:hint="eastAsia"/>
        </w:rPr>
        <w:t>依次判断各价位利率是否满足“</w:t>
      </w:r>
      <w:proofErr w:type="gramEnd"/>
      <w:r w:rsidRPr="00711AB2">
        <w:rPr>
          <w:rFonts w:hint="eastAsia"/>
        </w:rPr>
        <w:t>高于该净价的买入报价与低于该净价的卖出报价全部成交；且与该净价相同的买入报价或卖出报价至少有一方全部成交”，</w:t>
      </w:r>
    </w:p>
    <w:p w14:paraId="1E8DEF53" w14:textId="77777777" w:rsidR="0074074D" w:rsidRPr="00066DB4" w:rsidRDefault="0074074D" w:rsidP="0074074D">
      <w:r w:rsidRPr="00711AB2">
        <w:rPr>
          <w:rFonts w:hint="eastAsia"/>
        </w:rPr>
        <w:t>若仅有一个净价满足，则取该净价为开盘价；</w:t>
      </w:r>
    </w:p>
    <w:p w14:paraId="46230E28" w14:textId="77777777" w:rsidR="0074074D" w:rsidRPr="00066DB4" w:rsidRDefault="0074074D" w:rsidP="0074074D">
      <w:r w:rsidRPr="00711AB2">
        <w:rPr>
          <w:rFonts w:hint="eastAsia"/>
        </w:rPr>
        <w:t>若有两个或以上净价满足该条件的，则取相同价位未匹配报价量最小的为开盘价；</w:t>
      </w:r>
    </w:p>
    <w:p w14:paraId="49E2E78D" w14:textId="77777777" w:rsidR="0074074D" w:rsidRDefault="0074074D" w:rsidP="0074074D"/>
    <w:p w14:paraId="20D9EFF4" w14:textId="77777777" w:rsidR="0074074D" w:rsidRPr="00066DB4" w:rsidRDefault="0074074D" w:rsidP="0074074D">
      <w:r>
        <w:rPr>
          <w:rFonts w:hint="eastAsia"/>
        </w:rPr>
        <w:t>若有两个或以上净价满足该条件，且</w:t>
      </w:r>
      <w:r w:rsidRPr="00711AB2">
        <w:rPr>
          <w:rFonts w:hint="eastAsia"/>
        </w:rPr>
        <w:t>相同价位未匹配报价量最小的</w:t>
      </w:r>
      <w:r>
        <w:rPr>
          <w:rFonts w:hint="eastAsia"/>
        </w:rPr>
        <w:t>也有两个或以上的，当满足该要求的价格数有奇数个则取中位数对应的价格作</w:t>
      </w:r>
      <w:r w:rsidRPr="00711AB2">
        <w:rPr>
          <w:rFonts w:hint="eastAsia"/>
        </w:rPr>
        <w:t>为开盘价</w:t>
      </w:r>
      <w:r>
        <w:rPr>
          <w:rFonts w:hint="eastAsia"/>
        </w:rPr>
        <w:t>，当满足要求的价格数有偶数个则取中位数（此时的中位数有</w:t>
      </w:r>
      <w:r>
        <w:rPr>
          <w:rFonts w:hint="eastAsia"/>
        </w:rPr>
        <w:t>2</w:t>
      </w:r>
      <w:r>
        <w:rPr>
          <w:rFonts w:hint="eastAsia"/>
        </w:rPr>
        <w:t>个）的算术平均值作</w:t>
      </w:r>
      <w:r w:rsidRPr="00711AB2">
        <w:rPr>
          <w:rFonts w:hint="eastAsia"/>
        </w:rPr>
        <w:t>为开盘价</w:t>
      </w:r>
      <w:r>
        <w:rPr>
          <w:rFonts w:hint="eastAsia"/>
        </w:rPr>
        <w:t>。</w:t>
      </w:r>
    </w:p>
    <w:p w14:paraId="63D73469" w14:textId="77777777" w:rsidR="0074074D" w:rsidRPr="009C1037" w:rsidRDefault="0074074D" w:rsidP="0074074D"/>
    <w:p w14:paraId="52029901" w14:textId="77777777" w:rsidR="0074074D" w:rsidRPr="00066DB4" w:rsidRDefault="0074074D" w:rsidP="0074074D">
      <w:r w:rsidRPr="00711AB2">
        <w:rPr>
          <w:rFonts w:hint="eastAsia"/>
        </w:rPr>
        <w:t>具体算法为：</w:t>
      </w:r>
    </w:p>
    <w:p w14:paraId="48B494AD" w14:textId="77777777" w:rsidR="0074074D" w:rsidRPr="00066DB4" w:rsidRDefault="0074074D" w:rsidP="0074074D">
      <w:proofErr w:type="gramStart"/>
      <w:r w:rsidRPr="00711AB2">
        <w:t>A:</w:t>
      </w:r>
      <w:r w:rsidRPr="00711AB2">
        <w:rPr>
          <w:rFonts w:hint="eastAsia"/>
        </w:rPr>
        <w:t>将所有报价按照券种</w:t>
      </w:r>
      <w:proofErr w:type="gramEnd"/>
      <w:r w:rsidRPr="00711AB2">
        <w:rPr>
          <w:rFonts w:hint="eastAsia"/>
        </w:rPr>
        <w:t>、交易方向分开排序，买入报价按净价从高到低排列，卖出报价按从低到高排列，净价相等的，按照报价时间从前到后进行排序（报价修改的按修改时间进行排序），形成买入、卖出两个报价序列。</w:t>
      </w:r>
    </w:p>
    <w:p w14:paraId="52B89E78" w14:textId="77777777" w:rsidR="0074074D" w:rsidRPr="00066DB4" w:rsidRDefault="0074074D" w:rsidP="0074074D">
      <w:r w:rsidRPr="00711AB2">
        <w:lastRenderedPageBreak/>
        <w:t>B</w:t>
      </w:r>
      <w:r w:rsidRPr="00711AB2">
        <w:rPr>
          <w:rFonts w:hint="eastAsia"/>
        </w:rPr>
        <w:t>：每一报价券种，从买入、卖出最优报价开始依次两两匹配，即，若价格匹配的交易双方不可交易，则继续扫描订单簿，直到找到可以成交的反向订单；从最优买入报价开始向最优卖出报价匹配，交易量不相等的拆分，直到两个方向订单簿中的剩余报价中最高买入报价低于最低卖出报价为止。</w:t>
      </w:r>
    </w:p>
    <w:p w14:paraId="0FA43178" w14:textId="77777777" w:rsidR="0074074D" w:rsidRPr="00066DB4" w:rsidRDefault="0074074D" w:rsidP="0074074D"/>
    <w:p w14:paraId="290A9433" w14:textId="77777777" w:rsidR="0074074D" w:rsidRPr="00066DB4" w:rsidRDefault="0074074D" w:rsidP="0074074D">
      <w:r w:rsidRPr="00711AB2">
        <w:rPr>
          <w:rFonts w:hint="eastAsia"/>
        </w:rPr>
        <w:t>确定开盘价可参考以下示例：</w:t>
      </w:r>
    </w:p>
    <w:p w14:paraId="15E42692" w14:textId="77777777" w:rsidR="0074074D" w:rsidRPr="00066DB4" w:rsidRDefault="0074074D" w:rsidP="0074074D">
      <w:pPr>
        <w:rPr>
          <w:sz w:val="20"/>
          <w:szCs w:val="20"/>
        </w:rPr>
      </w:pPr>
      <w:r w:rsidRPr="00066DB4">
        <w:rPr>
          <w:rFonts w:hint="eastAsia"/>
          <w:sz w:val="20"/>
          <w:szCs w:val="20"/>
        </w:rPr>
        <w:t>示例</w:t>
      </w:r>
      <w:r w:rsidRPr="00066DB4">
        <w:rPr>
          <w:sz w:val="20"/>
          <w:szCs w:val="20"/>
        </w:rPr>
        <w:t xml:space="preserve">1 - </w:t>
      </w:r>
      <w:r w:rsidRPr="00066DB4">
        <w:rPr>
          <w:rFonts w:hint="eastAsia"/>
          <w:sz w:val="20"/>
        </w:rPr>
        <w:t>买入报价与卖出报价相等</w:t>
      </w:r>
      <w:r w:rsidRPr="00711AB2">
        <w:rPr>
          <w:rFonts w:hint="eastAsia"/>
          <w:sz w:val="20"/>
          <w:szCs w:val="20"/>
        </w:rPr>
        <w:t>：</w:t>
      </w:r>
    </w:p>
    <w:tbl>
      <w:tblPr>
        <w:tblW w:w="5000" w:type="pct"/>
        <w:jc w:val="center"/>
        <w:tblLook w:val="04A0" w:firstRow="1" w:lastRow="0" w:firstColumn="1" w:lastColumn="0" w:noHBand="0" w:noVBand="1"/>
      </w:tblPr>
      <w:tblGrid>
        <w:gridCol w:w="2337"/>
        <w:gridCol w:w="2337"/>
        <w:gridCol w:w="2338"/>
        <w:gridCol w:w="2338"/>
      </w:tblGrid>
      <w:tr w:rsidR="0074074D" w:rsidRPr="00066DB4" w14:paraId="6B5DBC5B" w14:textId="77777777" w:rsidTr="00405BA7">
        <w:trPr>
          <w:trHeight w:val="240"/>
          <w:jc w:val="center"/>
        </w:trPr>
        <w:tc>
          <w:tcPr>
            <w:tcW w:w="249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871CC" w14:textId="77777777" w:rsidR="0074074D" w:rsidRDefault="0074074D" w:rsidP="00405BA7">
            <w:pPr>
              <w:rPr>
                <w:sz w:val="20"/>
                <w:szCs w:val="20"/>
              </w:rPr>
            </w:pPr>
            <w:r w:rsidRPr="00066DB4">
              <w:rPr>
                <w:rFonts w:hint="eastAsia"/>
                <w:sz w:val="20"/>
                <w:szCs w:val="20"/>
              </w:rPr>
              <w:t>买入报价</w:t>
            </w:r>
          </w:p>
        </w:tc>
        <w:tc>
          <w:tcPr>
            <w:tcW w:w="2501" w:type="pct"/>
            <w:gridSpan w:val="2"/>
            <w:tcBorders>
              <w:top w:val="single" w:sz="4" w:space="0" w:color="auto"/>
              <w:left w:val="nil"/>
              <w:bottom w:val="single" w:sz="4" w:space="0" w:color="auto"/>
              <w:right w:val="single" w:sz="4" w:space="0" w:color="auto"/>
            </w:tcBorders>
            <w:shd w:val="clear" w:color="auto" w:fill="auto"/>
            <w:noWrap/>
            <w:vAlign w:val="center"/>
            <w:hideMark/>
          </w:tcPr>
          <w:p w14:paraId="1522993F" w14:textId="77777777" w:rsidR="0074074D" w:rsidRDefault="0074074D" w:rsidP="00405BA7">
            <w:pPr>
              <w:rPr>
                <w:sz w:val="20"/>
                <w:szCs w:val="20"/>
              </w:rPr>
            </w:pPr>
            <w:r w:rsidRPr="00066DB4">
              <w:rPr>
                <w:rFonts w:hint="eastAsia"/>
                <w:sz w:val="20"/>
                <w:szCs w:val="20"/>
              </w:rPr>
              <w:t>卖出报价</w:t>
            </w:r>
          </w:p>
        </w:tc>
      </w:tr>
      <w:tr w:rsidR="0074074D" w:rsidRPr="00066DB4" w14:paraId="0809F0C5"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060FF14A" w14:textId="77777777" w:rsidR="0074074D" w:rsidRDefault="0074074D" w:rsidP="00405BA7">
            <w:pPr>
              <w:rPr>
                <w:sz w:val="20"/>
                <w:szCs w:val="20"/>
              </w:rPr>
            </w:pPr>
            <w:r>
              <w:rPr>
                <w:rFonts w:hint="eastAsia"/>
                <w:sz w:val="20"/>
                <w:szCs w:val="20"/>
              </w:rPr>
              <w:t>净价（元）</w:t>
            </w:r>
          </w:p>
        </w:tc>
        <w:tc>
          <w:tcPr>
            <w:tcW w:w="1250" w:type="pct"/>
            <w:tcBorders>
              <w:top w:val="nil"/>
              <w:left w:val="nil"/>
              <w:bottom w:val="single" w:sz="4" w:space="0" w:color="auto"/>
              <w:right w:val="single" w:sz="4" w:space="0" w:color="auto"/>
            </w:tcBorders>
            <w:shd w:val="clear" w:color="auto" w:fill="auto"/>
            <w:noWrap/>
            <w:vAlign w:val="center"/>
            <w:hideMark/>
          </w:tcPr>
          <w:p w14:paraId="2CA84BAC" w14:textId="77777777" w:rsidR="0074074D" w:rsidRDefault="0074074D" w:rsidP="00405BA7">
            <w:pPr>
              <w:rPr>
                <w:sz w:val="20"/>
                <w:szCs w:val="20"/>
              </w:rPr>
            </w:pPr>
            <w:r>
              <w:rPr>
                <w:rFonts w:hint="eastAsia"/>
                <w:sz w:val="20"/>
                <w:szCs w:val="20"/>
              </w:rPr>
              <w:t>报价量（万）</w:t>
            </w:r>
          </w:p>
        </w:tc>
        <w:tc>
          <w:tcPr>
            <w:tcW w:w="1250" w:type="pct"/>
            <w:tcBorders>
              <w:top w:val="nil"/>
              <w:left w:val="nil"/>
              <w:bottom w:val="single" w:sz="4" w:space="0" w:color="auto"/>
              <w:right w:val="single" w:sz="4" w:space="0" w:color="auto"/>
            </w:tcBorders>
            <w:shd w:val="clear" w:color="auto" w:fill="auto"/>
            <w:noWrap/>
            <w:vAlign w:val="center"/>
            <w:hideMark/>
          </w:tcPr>
          <w:p w14:paraId="4F6BCA45" w14:textId="77777777" w:rsidR="0074074D" w:rsidRDefault="0074074D" w:rsidP="00405BA7">
            <w:pPr>
              <w:rPr>
                <w:sz w:val="20"/>
                <w:szCs w:val="20"/>
              </w:rPr>
            </w:pPr>
            <w:r>
              <w:rPr>
                <w:rFonts w:hint="eastAsia"/>
                <w:sz w:val="20"/>
                <w:szCs w:val="20"/>
              </w:rPr>
              <w:t>净价（元）</w:t>
            </w:r>
          </w:p>
        </w:tc>
        <w:tc>
          <w:tcPr>
            <w:tcW w:w="1250" w:type="pct"/>
            <w:tcBorders>
              <w:top w:val="nil"/>
              <w:left w:val="nil"/>
              <w:bottom w:val="single" w:sz="4" w:space="0" w:color="auto"/>
              <w:right w:val="single" w:sz="4" w:space="0" w:color="auto"/>
            </w:tcBorders>
            <w:shd w:val="clear" w:color="auto" w:fill="auto"/>
            <w:noWrap/>
            <w:vAlign w:val="center"/>
            <w:hideMark/>
          </w:tcPr>
          <w:p w14:paraId="753B8929" w14:textId="77777777" w:rsidR="0074074D" w:rsidRDefault="0074074D" w:rsidP="00405BA7">
            <w:pPr>
              <w:rPr>
                <w:sz w:val="20"/>
                <w:szCs w:val="20"/>
              </w:rPr>
            </w:pPr>
            <w:r>
              <w:rPr>
                <w:rFonts w:hint="eastAsia"/>
                <w:sz w:val="20"/>
                <w:szCs w:val="20"/>
              </w:rPr>
              <w:t>报价量（万）</w:t>
            </w:r>
          </w:p>
        </w:tc>
      </w:tr>
      <w:tr w:rsidR="0074074D" w:rsidRPr="00066DB4" w14:paraId="3A2A13DD"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00666740" w14:textId="77777777" w:rsidR="0074074D" w:rsidRPr="00413114" w:rsidRDefault="0074074D" w:rsidP="00405BA7">
            <w:pPr>
              <w:rPr>
                <w:b/>
                <w:bCs/>
                <w:sz w:val="20"/>
                <w:szCs w:val="20"/>
              </w:rPr>
            </w:pPr>
            <w:r w:rsidRPr="00413114">
              <w:rPr>
                <w:b/>
                <w:bCs/>
                <w:sz w:val="20"/>
                <w:szCs w:val="20"/>
              </w:rPr>
              <w:t>99.30</w:t>
            </w:r>
          </w:p>
        </w:tc>
        <w:tc>
          <w:tcPr>
            <w:tcW w:w="1250" w:type="pct"/>
            <w:tcBorders>
              <w:top w:val="nil"/>
              <w:left w:val="nil"/>
              <w:bottom w:val="single" w:sz="4" w:space="0" w:color="auto"/>
              <w:right w:val="single" w:sz="4" w:space="0" w:color="auto"/>
            </w:tcBorders>
            <w:shd w:val="clear" w:color="auto" w:fill="auto"/>
            <w:noWrap/>
            <w:vAlign w:val="center"/>
            <w:hideMark/>
          </w:tcPr>
          <w:p w14:paraId="73939FC5" w14:textId="77777777" w:rsidR="0074074D" w:rsidRPr="00413114" w:rsidRDefault="0074074D" w:rsidP="00405BA7">
            <w:pPr>
              <w:rPr>
                <w:b/>
                <w:bCs/>
                <w:sz w:val="20"/>
                <w:szCs w:val="20"/>
              </w:rPr>
            </w:pPr>
            <w:r w:rsidRPr="00413114">
              <w:rPr>
                <w:b/>
                <w:bCs/>
                <w:sz w:val="20"/>
                <w:szCs w:val="20"/>
              </w:rPr>
              <w:t>2000</w:t>
            </w:r>
          </w:p>
        </w:tc>
        <w:tc>
          <w:tcPr>
            <w:tcW w:w="1250" w:type="pct"/>
            <w:tcBorders>
              <w:top w:val="nil"/>
              <w:left w:val="nil"/>
              <w:bottom w:val="single" w:sz="4" w:space="0" w:color="auto"/>
              <w:right w:val="single" w:sz="4" w:space="0" w:color="auto"/>
            </w:tcBorders>
            <w:shd w:val="clear" w:color="auto" w:fill="auto"/>
            <w:noWrap/>
            <w:vAlign w:val="center"/>
            <w:hideMark/>
          </w:tcPr>
          <w:p w14:paraId="01653824" w14:textId="77777777" w:rsidR="0074074D" w:rsidRPr="00413114" w:rsidRDefault="0074074D" w:rsidP="00405BA7">
            <w:pPr>
              <w:rPr>
                <w:b/>
                <w:bCs/>
                <w:sz w:val="20"/>
                <w:szCs w:val="20"/>
              </w:rPr>
            </w:pPr>
            <w:r w:rsidRPr="00413114">
              <w:rPr>
                <w:b/>
                <w:bCs/>
                <w:sz w:val="20"/>
                <w:szCs w:val="20"/>
              </w:rPr>
              <w:t>99.26</w:t>
            </w:r>
          </w:p>
        </w:tc>
        <w:tc>
          <w:tcPr>
            <w:tcW w:w="1250" w:type="pct"/>
            <w:tcBorders>
              <w:top w:val="nil"/>
              <w:left w:val="nil"/>
              <w:bottom w:val="single" w:sz="4" w:space="0" w:color="auto"/>
              <w:right w:val="single" w:sz="4" w:space="0" w:color="auto"/>
            </w:tcBorders>
            <w:shd w:val="clear" w:color="auto" w:fill="auto"/>
            <w:noWrap/>
            <w:vAlign w:val="center"/>
            <w:hideMark/>
          </w:tcPr>
          <w:p w14:paraId="23276A69" w14:textId="77777777" w:rsidR="0074074D" w:rsidRPr="00413114" w:rsidRDefault="0074074D" w:rsidP="00405BA7">
            <w:pPr>
              <w:rPr>
                <w:b/>
                <w:bCs/>
                <w:sz w:val="20"/>
                <w:szCs w:val="20"/>
              </w:rPr>
            </w:pPr>
            <w:r w:rsidRPr="00413114">
              <w:rPr>
                <w:b/>
                <w:bCs/>
                <w:sz w:val="20"/>
                <w:szCs w:val="20"/>
              </w:rPr>
              <w:t>1000</w:t>
            </w:r>
          </w:p>
        </w:tc>
      </w:tr>
      <w:tr w:rsidR="0074074D" w:rsidRPr="00066DB4" w14:paraId="72E4F878"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7B48E2D4" w14:textId="77777777" w:rsidR="0074074D" w:rsidRDefault="0074074D" w:rsidP="00405BA7">
            <w:pPr>
              <w:rPr>
                <w:sz w:val="20"/>
                <w:szCs w:val="20"/>
              </w:rPr>
            </w:pPr>
            <w:r>
              <w:rPr>
                <w:sz w:val="20"/>
                <w:szCs w:val="20"/>
              </w:rPr>
              <w:t>99.29</w:t>
            </w:r>
          </w:p>
        </w:tc>
        <w:tc>
          <w:tcPr>
            <w:tcW w:w="1250" w:type="pct"/>
            <w:tcBorders>
              <w:top w:val="nil"/>
              <w:left w:val="nil"/>
              <w:bottom w:val="single" w:sz="4" w:space="0" w:color="auto"/>
              <w:right w:val="single" w:sz="4" w:space="0" w:color="auto"/>
            </w:tcBorders>
            <w:shd w:val="clear" w:color="auto" w:fill="auto"/>
            <w:noWrap/>
            <w:vAlign w:val="center"/>
            <w:hideMark/>
          </w:tcPr>
          <w:p w14:paraId="3632E9EF" w14:textId="77777777" w:rsidR="0074074D" w:rsidRDefault="0074074D" w:rsidP="00405BA7">
            <w:pPr>
              <w:rPr>
                <w:sz w:val="20"/>
                <w:szCs w:val="20"/>
              </w:rPr>
            </w:pPr>
            <w:r>
              <w:rPr>
                <w:sz w:val="20"/>
                <w:szCs w:val="20"/>
              </w:rPr>
              <w:t>1000</w:t>
            </w:r>
          </w:p>
        </w:tc>
        <w:tc>
          <w:tcPr>
            <w:tcW w:w="1250" w:type="pct"/>
            <w:tcBorders>
              <w:top w:val="nil"/>
              <w:left w:val="nil"/>
              <w:bottom w:val="single" w:sz="4" w:space="0" w:color="auto"/>
              <w:right w:val="single" w:sz="4" w:space="0" w:color="auto"/>
            </w:tcBorders>
            <w:shd w:val="clear" w:color="auto" w:fill="auto"/>
            <w:noWrap/>
            <w:vAlign w:val="center"/>
            <w:hideMark/>
          </w:tcPr>
          <w:p w14:paraId="5A4546AC" w14:textId="77777777" w:rsidR="0074074D" w:rsidRPr="00413114" w:rsidRDefault="0074074D" w:rsidP="00405BA7">
            <w:pPr>
              <w:rPr>
                <w:b/>
                <w:bCs/>
                <w:sz w:val="20"/>
                <w:szCs w:val="20"/>
              </w:rPr>
            </w:pPr>
            <w:r w:rsidRPr="00413114">
              <w:rPr>
                <w:b/>
                <w:bCs/>
                <w:sz w:val="20"/>
                <w:szCs w:val="20"/>
              </w:rPr>
              <w:t>99.30</w:t>
            </w:r>
          </w:p>
        </w:tc>
        <w:tc>
          <w:tcPr>
            <w:tcW w:w="1250" w:type="pct"/>
            <w:tcBorders>
              <w:top w:val="nil"/>
              <w:left w:val="nil"/>
              <w:bottom w:val="single" w:sz="4" w:space="0" w:color="auto"/>
              <w:right w:val="single" w:sz="4" w:space="0" w:color="auto"/>
            </w:tcBorders>
            <w:shd w:val="clear" w:color="auto" w:fill="auto"/>
            <w:noWrap/>
            <w:vAlign w:val="center"/>
            <w:hideMark/>
          </w:tcPr>
          <w:p w14:paraId="2EB50DF3" w14:textId="77777777" w:rsidR="0074074D" w:rsidRPr="00413114" w:rsidRDefault="0074074D" w:rsidP="00405BA7">
            <w:pPr>
              <w:rPr>
                <w:b/>
                <w:bCs/>
                <w:sz w:val="20"/>
                <w:szCs w:val="20"/>
              </w:rPr>
            </w:pPr>
            <w:r w:rsidRPr="00413114">
              <w:rPr>
                <w:b/>
                <w:bCs/>
                <w:sz w:val="20"/>
                <w:szCs w:val="20"/>
              </w:rPr>
              <w:t>5000</w:t>
            </w:r>
          </w:p>
        </w:tc>
      </w:tr>
      <w:tr w:rsidR="0074074D" w:rsidRPr="00066DB4" w14:paraId="04DC1D95"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551D0196" w14:textId="77777777" w:rsidR="0074074D" w:rsidRDefault="0074074D" w:rsidP="00405BA7">
            <w:pPr>
              <w:rPr>
                <w:sz w:val="20"/>
                <w:szCs w:val="20"/>
              </w:rPr>
            </w:pPr>
            <w:r>
              <w:rPr>
                <w:sz w:val="20"/>
                <w:szCs w:val="20"/>
              </w:rPr>
              <w:t>99.28</w:t>
            </w:r>
          </w:p>
        </w:tc>
        <w:tc>
          <w:tcPr>
            <w:tcW w:w="1250" w:type="pct"/>
            <w:tcBorders>
              <w:top w:val="nil"/>
              <w:left w:val="nil"/>
              <w:bottom w:val="single" w:sz="4" w:space="0" w:color="auto"/>
              <w:right w:val="single" w:sz="4" w:space="0" w:color="auto"/>
            </w:tcBorders>
            <w:shd w:val="clear" w:color="auto" w:fill="auto"/>
            <w:noWrap/>
            <w:vAlign w:val="center"/>
            <w:hideMark/>
          </w:tcPr>
          <w:p w14:paraId="54D2CA35" w14:textId="77777777" w:rsidR="0074074D" w:rsidRDefault="0074074D" w:rsidP="00405BA7">
            <w:pPr>
              <w:rPr>
                <w:sz w:val="20"/>
                <w:szCs w:val="20"/>
              </w:rPr>
            </w:pPr>
            <w:r>
              <w:rPr>
                <w:sz w:val="20"/>
                <w:szCs w:val="20"/>
              </w:rPr>
              <w:t>1000</w:t>
            </w:r>
          </w:p>
        </w:tc>
        <w:tc>
          <w:tcPr>
            <w:tcW w:w="1250" w:type="pct"/>
            <w:tcBorders>
              <w:top w:val="nil"/>
              <w:left w:val="nil"/>
              <w:bottom w:val="single" w:sz="4" w:space="0" w:color="auto"/>
              <w:right w:val="single" w:sz="4" w:space="0" w:color="auto"/>
            </w:tcBorders>
            <w:shd w:val="clear" w:color="auto" w:fill="auto"/>
            <w:noWrap/>
            <w:vAlign w:val="center"/>
            <w:hideMark/>
          </w:tcPr>
          <w:p w14:paraId="35A4309E" w14:textId="77777777" w:rsidR="0074074D" w:rsidRDefault="0074074D" w:rsidP="00405BA7">
            <w:pPr>
              <w:rPr>
                <w:sz w:val="20"/>
                <w:szCs w:val="20"/>
              </w:rPr>
            </w:pPr>
            <w:r>
              <w:rPr>
                <w:sz w:val="20"/>
                <w:szCs w:val="20"/>
              </w:rPr>
              <w:t>99.31</w:t>
            </w:r>
          </w:p>
        </w:tc>
        <w:tc>
          <w:tcPr>
            <w:tcW w:w="1250" w:type="pct"/>
            <w:tcBorders>
              <w:top w:val="nil"/>
              <w:left w:val="nil"/>
              <w:bottom w:val="single" w:sz="4" w:space="0" w:color="auto"/>
              <w:right w:val="single" w:sz="4" w:space="0" w:color="auto"/>
            </w:tcBorders>
            <w:shd w:val="clear" w:color="auto" w:fill="auto"/>
            <w:noWrap/>
            <w:vAlign w:val="center"/>
            <w:hideMark/>
          </w:tcPr>
          <w:p w14:paraId="76E9DD4F" w14:textId="77777777" w:rsidR="0074074D" w:rsidRDefault="0074074D" w:rsidP="00405BA7">
            <w:pPr>
              <w:rPr>
                <w:sz w:val="20"/>
                <w:szCs w:val="20"/>
              </w:rPr>
            </w:pPr>
            <w:r>
              <w:rPr>
                <w:sz w:val="20"/>
                <w:szCs w:val="20"/>
              </w:rPr>
              <w:t>1000</w:t>
            </w:r>
          </w:p>
        </w:tc>
      </w:tr>
      <w:tr w:rsidR="0074074D" w:rsidRPr="00066DB4" w14:paraId="163307C3"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0B67969A" w14:textId="77777777" w:rsidR="0074074D" w:rsidRDefault="0074074D" w:rsidP="00405BA7">
            <w:pPr>
              <w:rPr>
                <w:sz w:val="20"/>
                <w:szCs w:val="20"/>
              </w:rPr>
            </w:pPr>
            <w:r>
              <w:rPr>
                <w:sz w:val="20"/>
                <w:szCs w:val="20"/>
              </w:rPr>
              <w:t>99.26</w:t>
            </w:r>
          </w:p>
        </w:tc>
        <w:tc>
          <w:tcPr>
            <w:tcW w:w="1250" w:type="pct"/>
            <w:tcBorders>
              <w:top w:val="nil"/>
              <w:left w:val="nil"/>
              <w:bottom w:val="single" w:sz="4" w:space="0" w:color="auto"/>
              <w:right w:val="single" w:sz="4" w:space="0" w:color="auto"/>
            </w:tcBorders>
            <w:shd w:val="clear" w:color="auto" w:fill="auto"/>
            <w:noWrap/>
            <w:vAlign w:val="center"/>
            <w:hideMark/>
          </w:tcPr>
          <w:p w14:paraId="200951A3" w14:textId="77777777" w:rsidR="0074074D" w:rsidRDefault="0074074D" w:rsidP="00405BA7">
            <w:pPr>
              <w:rPr>
                <w:sz w:val="20"/>
                <w:szCs w:val="20"/>
              </w:rPr>
            </w:pPr>
            <w:r>
              <w:rPr>
                <w:sz w:val="20"/>
                <w:szCs w:val="20"/>
              </w:rPr>
              <w:t>1000</w:t>
            </w:r>
          </w:p>
        </w:tc>
        <w:tc>
          <w:tcPr>
            <w:tcW w:w="1250" w:type="pct"/>
            <w:tcBorders>
              <w:top w:val="nil"/>
              <w:left w:val="nil"/>
              <w:bottom w:val="single" w:sz="4" w:space="0" w:color="auto"/>
              <w:right w:val="single" w:sz="4" w:space="0" w:color="auto"/>
            </w:tcBorders>
            <w:shd w:val="clear" w:color="auto" w:fill="auto"/>
            <w:noWrap/>
            <w:vAlign w:val="center"/>
            <w:hideMark/>
          </w:tcPr>
          <w:p w14:paraId="208D9CD4" w14:textId="77777777" w:rsidR="0074074D" w:rsidRDefault="0074074D" w:rsidP="00405BA7">
            <w:pPr>
              <w:rPr>
                <w:sz w:val="20"/>
                <w:szCs w:val="20"/>
              </w:rPr>
            </w:pPr>
          </w:p>
        </w:tc>
        <w:tc>
          <w:tcPr>
            <w:tcW w:w="1250" w:type="pct"/>
            <w:tcBorders>
              <w:top w:val="nil"/>
              <w:left w:val="nil"/>
              <w:bottom w:val="single" w:sz="4" w:space="0" w:color="auto"/>
              <w:right w:val="single" w:sz="4" w:space="0" w:color="auto"/>
            </w:tcBorders>
            <w:shd w:val="clear" w:color="auto" w:fill="auto"/>
            <w:noWrap/>
            <w:vAlign w:val="center"/>
            <w:hideMark/>
          </w:tcPr>
          <w:p w14:paraId="73C636D9" w14:textId="77777777" w:rsidR="0074074D" w:rsidRDefault="0074074D" w:rsidP="00405BA7">
            <w:pPr>
              <w:rPr>
                <w:sz w:val="20"/>
                <w:szCs w:val="20"/>
              </w:rPr>
            </w:pPr>
          </w:p>
        </w:tc>
      </w:tr>
      <w:tr w:rsidR="0074074D" w:rsidRPr="00066DB4" w14:paraId="26C5B5C3"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3EBD9117" w14:textId="77777777" w:rsidR="0074074D" w:rsidRDefault="0074074D" w:rsidP="00405BA7">
            <w:pPr>
              <w:rPr>
                <w:sz w:val="20"/>
                <w:szCs w:val="20"/>
              </w:rPr>
            </w:pPr>
            <w:r>
              <w:rPr>
                <w:sz w:val="20"/>
                <w:szCs w:val="20"/>
              </w:rPr>
              <w:t>99.25</w:t>
            </w:r>
          </w:p>
        </w:tc>
        <w:tc>
          <w:tcPr>
            <w:tcW w:w="1250" w:type="pct"/>
            <w:tcBorders>
              <w:top w:val="nil"/>
              <w:left w:val="nil"/>
              <w:bottom w:val="single" w:sz="4" w:space="0" w:color="auto"/>
              <w:right w:val="single" w:sz="4" w:space="0" w:color="auto"/>
            </w:tcBorders>
            <w:shd w:val="clear" w:color="auto" w:fill="auto"/>
            <w:noWrap/>
            <w:vAlign w:val="center"/>
            <w:hideMark/>
          </w:tcPr>
          <w:p w14:paraId="0974039D" w14:textId="77777777" w:rsidR="0074074D" w:rsidRDefault="0074074D" w:rsidP="00405BA7">
            <w:pPr>
              <w:rPr>
                <w:sz w:val="20"/>
                <w:szCs w:val="20"/>
              </w:rPr>
            </w:pPr>
            <w:r>
              <w:rPr>
                <w:sz w:val="20"/>
                <w:szCs w:val="20"/>
              </w:rPr>
              <w:t>1000</w:t>
            </w:r>
          </w:p>
        </w:tc>
        <w:tc>
          <w:tcPr>
            <w:tcW w:w="1250" w:type="pct"/>
            <w:tcBorders>
              <w:top w:val="nil"/>
              <w:left w:val="nil"/>
              <w:bottom w:val="single" w:sz="4" w:space="0" w:color="auto"/>
              <w:right w:val="single" w:sz="4" w:space="0" w:color="auto"/>
            </w:tcBorders>
            <w:shd w:val="clear" w:color="auto" w:fill="auto"/>
            <w:noWrap/>
            <w:vAlign w:val="center"/>
            <w:hideMark/>
          </w:tcPr>
          <w:p w14:paraId="42BB52DC" w14:textId="77777777" w:rsidR="0074074D" w:rsidRDefault="0074074D" w:rsidP="00405BA7">
            <w:pPr>
              <w:rPr>
                <w:sz w:val="20"/>
                <w:szCs w:val="20"/>
              </w:rPr>
            </w:pPr>
          </w:p>
        </w:tc>
        <w:tc>
          <w:tcPr>
            <w:tcW w:w="1250" w:type="pct"/>
            <w:tcBorders>
              <w:top w:val="nil"/>
              <w:left w:val="nil"/>
              <w:bottom w:val="single" w:sz="4" w:space="0" w:color="auto"/>
              <w:right w:val="single" w:sz="4" w:space="0" w:color="auto"/>
            </w:tcBorders>
            <w:shd w:val="clear" w:color="auto" w:fill="auto"/>
            <w:noWrap/>
            <w:vAlign w:val="center"/>
            <w:hideMark/>
          </w:tcPr>
          <w:p w14:paraId="27669DF0" w14:textId="77777777" w:rsidR="0074074D" w:rsidRDefault="0074074D" w:rsidP="00405BA7">
            <w:pPr>
              <w:rPr>
                <w:sz w:val="20"/>
                <w:szCs w:val="20"/>
              </w:rPr>
            </w:pPr>
          </w:p>
        </w:tc>
      </w:tr>
    </w:tbl>
    <w:p w14:paraId="09DACED0" w14:textId="77777777" w:rsidR="0074074D" w:rsidRPr="00066DB4" w:rsidRDefault="0074074D" w:rsidP="0074074D">
      <w:pPr>
        <w:rPr>
          <w:sz w:val="20"/>
          <w:szCs w:val="20"/>
        </w:rPr>
      </w:pPr>
      <w:r>
        <w:rPr>
          <w:rFonts w:hint="eastAsia"/>
          <w:sz w:val="20"/>
          <w:szCs w:val="20"/>
        </w:rPr>
        <w:t>开盘价选择：开盘价</w:t>
      </w:r>
      <w:r>
        <w:rPr>
          <w:sz w:val="20"/>
          <w:szCs w:val="20"/>
        </w:rPr>
        <w:t>99.30</w:t>
      </w:r>
      <w:r>
        <w:rPr>
          <w:rFonts w:hint="eastAsia"/>
          <w:sz w:val="20"/>
          <w:szCs w:val="20"/>
        </w:rPr>
        <w:t>，成交量</w:t>
      </w:r>
      <w:r>
        <w:rPr>
          <w:sz w:val="20"/>
          <w:szCs w:val="20"/>
        </w:rPr>
        <w:t>2000</w:t>
      </w:r>
      <w:r>
        <w:rPr>
          <w:rFonts w:hint="eastAsia"/>
          <w:sz w:val="20"/>
          <w:szCs w:val="20"/>
        </w:rPr>
        <w:t>，相同价位未匹配报价量</w:t>
      </w:r>
      <w:r>
        <w:rPr>
          <w:sz w:val="20"/>
          <w:szCs w:val="20"/>
        </w:rPr>
        <w:t>4000</w:t>
      </w:r>
      <w:r>
        <w:rPr>
          <w:rFonts w:hint="eastAsia"/>
          <w:sz w:val="20"/>
          <w:szCs w:val="20"/>
        </w:rPr>
        <w:t>。</w:t>
      </w:r>
    </w:p>
    <w:tbl>
      <w:tblPr>
        <w:tblW w:w="5000" w:type="pct"/>
        <w:jc w:val="center"/>
        <w:tblLook w:val="04A0" w:firstRow="1" w:lastRow="0" w:firstColumn="1" w:lastColumn="0" w:noHBand="0" w:noVBand="1"/>
      </w:tblPr>
      <w:tblGrid>
        <w:gridCol w:w="1590"/>
        <w:gridCol w:w="4216"/>
        <w:gridCol w:w="1328"/>
        <w:gridCol w:w="2216"/>
      </w:tblGrid>
      <w:tr w:rsidR="0074074D" w:rsidRPr="00066DB4" w14:paraId="5CB5980B" w14:textId="77777777" w:rsidTr="00405BA7">
        <w:trPr>
          <w:trHeight w:val="240"/>
          <w:jc w:val="center"/>
        </w:trPr>
        <w:tc>
          <w:tcPr>
            <w:tcW w:w="1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CB44A" w14:textId="77777777" w:rsidR="0074074D" w:rsidRDefault="0074074D" w:rsidP="00405BA7">
            <w:pPr>
              <w:rPr>
                <w:sz w:val="20"/>
                <w:szCs w:val="20"/>
              </w:rPr>
            </w:pPr>
            <w:r>
              <w:rPr>
                <w:rFonts w:hint="eastAsia"/>
                <w:sz w:val="20"/>
                <w:szCs w:val="20"/>
              </w:rPr>
              <w:t>价位</w:t>
            </w:r>
          </w:p>
        </w:tc>
        <w:tc>
          <w:tcPr>
            <w:tcW w:w="1753" w:type="pct"/>
            <w:tcBorders>
              <w:top w:val="single" w:sz="4" w:space="0" w:color="auto"/>
              <w:left w:val="nil"/>
              <w:bottom w:val="single" w:sz="4" w:space="0" w:color="auto"/>
              <w:right w:val="single" w:sz="4" w:space="0" w:color="auto"/>
            </w:tcBorders>
            <w:shd w:val="clear" w:color="auto" w:fill="auto"/>
            <w:noWrap/>
            <w:vAlign w:val="center"/>
            <w:hideMark/>
          </w:tcPr>
          <w:p w14:paraId="75DD5398" w14:textId="77777777" w:rsidR="0074074D" w:rsidRDefault="0074074D" w:rsidP="00405BA7">
            <w:pPr>
              <w:rPr>
                <w:sz w:val="20"/>
                <w:szCs w:val="20"/>
              </w:rPr>
            </w:pPr>
            <w:r>
              <w:rPr>
                <w:rFonts w:hint="eastAsia"/>
                <w:sz w:val="20"/>
                <w:szCs w:val="20"/>
              </w:rPr>
              <w:t>是否满足更优报价全成交、同价位单边全成交</w:t>
            </w:r>
          </w:p>
        </w:tc>
        <w:tc>
          <w:tcPr>
            <w:tcW w:w="1048" w:type="pct"/>
            <w:tcBorders>
              <w:top w:val="single" w:sz="4" w:space="0" w:color="auto"/>
              <w:left w:val="nil"/>
              <w:bottom w:val="single" w:sz="4" w:space="0" w:color="auto"/>
              <w:right w:val="single" w:sz="4" w:space="0" w:color="auto"/>
            </w:tcBorders>
            <w:shd w:val="clear" w:color="auto" w:fill="auto"/>
            <w:noWrap/>
            <w:vAlign w:val="center"/>
            <w:hideMark/>
          </w:tcPr>
          <w:p w14:paraId="46DCF0D2" w14:textId="77777777" w:rsidR="0074074D" w:rsidRDefault="0074074D" w:rsidP="00405BA7">
            <w:pPr>
              <w:rPr>
                <w:sz w:val="20"/>
                <w:szCs w:val="20"/>
              </w:rPr>
            </w:pPr>
            <w:r>
              <w:rPr>
                <w:rFonts w:hint="eastAsia"/>
                <w:sz w:val="20"/>
                <w:szCs w:val="20"/>
              </w:rPr>
              <w:t>成交量</w:t>
            </w:r>
          </w:p>
        </w:tc>
        <w:tc>
          <w:tcPr>
            <w:tcW w:w="1010" w:type="pct"/>
            <w:tcBorders>
              <w:top w:val="single" w:sz="4" w:space="0" w:color="auto"/>
              <w:left w:val="nil"/>
              <w:bottom w:val="single" w:sz="4" w:space="0" w:color="auto"/>
              <w:right w:val="single" w:sz="4" w:space="0" w:color="auto"/>
            </w:tcBorders>
            <w:shd w:val="clear" w:color="auto" w:fill="auto"/>
            <w:noWrap/>
            <w:vAlign w:val="center"/>
            <w:hideMark/>
          </w:tcPr>
          <w:p w14:paraId="250F72D8" w14:textId="77777777" w:rsidR="0074074D" w:rsidRDefault="0074074D" w:rsidP="00405BA7">
            <w:pPr>
              <w:rPr>
                <w:sz w:val="20"/>
                <w:szCs w:val="20"/>
              </w:rPr>
            </w:pPr>
            <w:r>
              <w:rPr>
                <w:rFonts w:hint="eastAsia"/>
                <w:sz w:val="20"/>
                <w:szCs w:val="20"/>
              </w:rPr>
              <w:t>相同价位未匹配报价量</w:t>
            </w:r>
          </w:p>
        </w:tc>
      </w:tr>
      <w:tr w:rsidR="0074074D" w:rsidRPr="00066DB4" w14:paraId="36AD6DF6" w14:textId="77777777" w:rsidTr="00405BA7">
        <w:trPr>
          <w:trHeight w:val="270"/>
          <w:jc w:val="center"/>
        </w:trPr>
        <w:tc>
          <w:tcPr>
            <w:tcW w:w="1189" w:type="pct"/>
            <w:tcBorders>
              <w:top w:val="nil"/>
              <w:left w:val="single" w:sz="4" w:space="0" w:color="auto"/>
              <w:bottom w:val="single" w:sz="4" w:space="0" w:color="auto"/>
              <w:right w:val="single" w:sz="4" w:space="0" w:color="auto"/>
            </w:tcBorders>
            <w:shd w:val="clear" w:color="auto" w:fill="auto"/>
            <w:noWrap/>
            <w:vAlign w:val="center"/>
            <w:hideMark/>
          </w:tcPr>
          <w:p w14:paraId="3D96B417" w14:textId="77777777" w:rsidR="0074074D" w:rsidRPr="00413114" w:rsidRDefault="0074074D" w:rsidP="00405BA7">
            <w:pPr>
              <w:rPr>
                <w:b/>
                <w:bCs/>
                <w:sz w:val="20"/>
                <w:szCs w:val="20"/>
              </w:rPr>
            </w:pPr>
            <w:r w:rsidRPr="00413114">
              <w:rPr>
                <w:b/>
                <w:bCs/>
                <w:sz w:val="20"/>
                <w:szCs w:val="20"/>
              </w:rPr>
              <w:t>99.30</w:t>
            </w:r>
          </w:p>
        </w:tc>
        <w:tc>
          <w:tcPr>
            <w:tcW w:w="1753" w:type="pct"/>
            <w:tcBorders>
              <w:top w:val="nil"/>
              <w:left w:val="nil"/>
              <w:bottom w:val="single" w:sz="4" w:space="0" w:color="auto"/>
              <w:right w:val="single" w:sz="4" w:space="0" w:color="auto"/>
            </w:tcBorders>
            <w:shd w:val="clear" w:color="auto" w:fill="auto"/>
            <w:noWrap/>
            <w:vAlign w:val="center"/>
            <w:hideMark/>
          </w:tcPr>
          <w:p w14:paraId="5987A4E1" w14:textId="77777777" w:rsidR="0074074D" w:rsidRDefault="0074074D" w:rsidP="00405BA7">
            <w:pPr>
              <w:rPr>
                <w:sz w:val="20"/>
                <w:szCs w:val="20"/>
              </w:rPr>
            </w:pPr>
            <w:r w:rsidRPr="00066DB4">
              <w:rPr>
                <w:rFonts w:hint="eastAsia"/>
                <w:sz w:val="20"/>
                <w:szCs w:val="20"/>
              </w:rPr>
              <w:t>是</w:t>
            </w:r>
          </w:p>
        </w:tc>
        <w:tc>
          <w:tcPr>
            <w:tcW w:w="1048" w:type="pct"/>
            <w:tcBorders>
              <w:top w:val="nil"/>
              <w:left w:val="nil"/>
              <w:bottom w:val="single" w:sz="4" w:space="0" w:color="auto"/>
              <w:right w:val="single" w:sz="4" w:space="0" w:color="auto"/>
            </w:tcBorders>
            <w:shd w:val="clear" w:color="auto" w:fill="auto"/>
            <w:noWrap/>
            <w:vAlign w:val="center"/>
            <w:hideMark/>
          </w:tcPr>
          <w:p w14:paraId="43CD335D" w14:textId="77777777" w:rsidR="0074074D" w:rsidRDefault="0074074D" w:rsidP="00405BA7">
            <w:pPr>
              <w:rPr>
                <w:sz w:val="20"/>
                <w:szCs w:val="20"/>
              </w:rPr>
            </w:pPr>
            <w:r w:rsidRPr="00066DB4">
              <w:rPr>
                <w:sz w:val="20"/>
                <w:szCs w:val="20"/>
              </w:rPr>
              <w:t>2000</w:t>
            </w:r>
          </w:p>
        </w:tc>
        <w:tc>
          <w:tcPr>
            <w:tcW w:w="1010" w:type="pct"/>
            <w:tcBorders>
              <w:top w:val="nil"/>
              <w:left w:val="nil"/>
              <w:bottom w:val="single" w:sz="4" w:space="0" w:color="auto"/>
              <w:right w:val="single" w:sz="4" w:space="0" w:color="auto"/>
            </w:tcBorders>
            <w:shd w:val="clear" w:color="auto" w:fill="auto"/>
            <w:noWrap/>
            <w:vAlign w:val="center"/>
            <w:hideMark/>
          </w:tcPr>
          <w:p w14:paraId="323858A5" w14:textId="77777777" w:rsidR="0074074D" w:rsidRDefault="0074074D" w:rsidP="00405BA7">
            <w:pPr>
              <w:rPr>
                <w:sz w:val="20"/>
                <w:szCs w:val="20"/>
              </w:rPr>
            </w:pPr>
            <w:r w:rsidRPr="00066DB4">
              <w:rPr>
                <w:sz w:val="20"/>
                <w:szCs w:val="20"/>
              </w:rPr>
              <w:t>4000</w:t>
            </w:r>
          </w:p>
        </w:tc>
      </w:tr>
    </w:tbl>
    <w:p w14:paraId="36603CCD" w14:textId="77777777" w:rsidR="0074074D" w:rsidRDefault="0074074D" w:rsidP="0074074D">
      <w:pPr>
        <w:rPr>
          <w:sz w:val="20"/>
          <w:szCs w:val="20"/>
        </w:rPr>
      </w:pPr>
      <w:r w:rsidRPr="00711AB2">
        <w:rPr>
          <w:rFonts w:hint="eastAsia"/>
          <w:sz w:val="20"/>
          <w:szCs w:val="20"/>
        </w:rPr>
        <w:t>示例</w:t>
      </w:r>
      <w:r w:rsidRPr="00711AB2">
        <w:rPr>
          <w:sz w:val="20"/>
          <w:szCs w:val="20"/>
        </w:rPr>
        <w:t>2</w:t>
      </w:r>
      <w:r w:rsidRPr="00711AB2">
        <w:rPr>
          <w:rFonts w:hint="eastAsia"/>
          <w:sz w:val="20"/>
          <w:szCs w:val="20"/>
        </w:rPr>
        <w:t>：</w:t>
      </w:r>
    </w:p>
    <w:tbl>
      <w:tblPr>
        <w:tblW w:w="5000" w:type="pct"/>
        <w:jc w:val="center"/>
        <w:tblLook w:val="04A0" w:firstRow="1" w:lastRow="0" w:firstColumn="1" w:lastColumn="0" w:noHBand="0" w:noVBand="1"/>
      </w:tblPr>
      <w:tblGrid>
        <w:gridCol w:w="2659"/>
        <w:gridCol w:w="2016"/>
        <w:gridCol w:w="2659"/>
        <w:gridCol w:w="2016"/>
      </w:tblGrid>
      <w:tr w:rsidR="0074074D" w:rsidRPr="00066DB4" w14:paraId="6632101E" w14:textId="77777777" w:rsidTr="00405BA7">
        <w:trPr>
          <w:trHeight w:val="270"/>
          <w:jc w:val="center"/>
        </w:trPr>
        <w:tc>
          <w:tcPr>
            <w:tcW w:w="25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09546C" w14:textId="77777777" w:rsidR="0074074D" w:rsidRDefault="0074074D" w:rsidP="00405BA7">
            <w:pPr>
              <w:rPr>
                <w:sz w:val="20"/>
                <w:szCs w:val="20"/>
              </w:rPr>
            </w:pPr>
            <w:r w:rsidRPr="00066DB4">
              <w:rPr>
                <w:rFonts w:hint="eastAsia"/>
                <w:sz w:val="20"/>
                <w:szCs w:val="20"/>
              </w:rPr>
              <w:t>买入报价</w:t>
            </w:r>
          </w:p>
        </w:tc>
        <w:tc>
          <w:tcPr>
            <w:tcW w:w="2500"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71F885CD" w14:textId="77777777" w:rsidR="0074074D" w:rsidRDefault="0074074D" w:rsidP="00405BA7">
            <w:pPr>
              <w:rPr>
                <w:sz w:val="20"/>
                <w:szCs w:val="20"/>
              </w:rPr>
            </w:pPr>
            <w:r w:rsidRPr="00066DB4">
              <w:rPr>
                <w:rFonts w:hint="eastAsia"/>
                <w:sz w:val="20"/>
                <w:szCs w:val="20"/>
              </w:rPr>
              <w:t>卖出报价</w:t>
            </w:r>
          </w:p>
        </w:tc>
      </w:tr>
      <w:tr w:rsidR="0074074D" w:rsidRPr="00066DB4" w14:paraId="125B477E"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29A13879" w14:textId="77777777" w:rsidR="0074074D" w:rsidRDefault="0074074D" w:rsidP="00405BA7">
            <w:pPr>
              <w:rPr>
                <w:sz w:val="20"/>
                <w:szCs w:val="20"/>
              </w:rPr>
            </w:pPr>
            <w:r>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2900512D" w14:textId="77777777" w:rsidR="0074074D" w:rsidRDefault="0074074D" w:rsidP="00405BA7">
            <w:pPr>
              <w:rPr>
                <w:sz w:val="20"/>
                <w:szCs w:val="20"/>
              </w:rPr>
            </w:pPr>
            <w:r>
              <w:rPr>
                <w:rFonts w:hint="eastAsia"/>
                <w:sz w:val="20"/>
                <w:szCs w:val="20"/>
              </w:rPr>
              <w:t>报价量（万）</w:t>
            </w:r>
          </w:p>
        </w:tc>
        <w:tc>
          <w:tcPr>
            <w:tcW w:w="1422" w:type="pct"/>
            <w:tcBorders>
              <w:top w:val="nil"/>
              <w:left w:val="nil"/>
              <w:bottom w:val="single" w:sz="4" w:space="0" w:color="auto"/>
              <w:right w:val="single" w:sz="4" w:space="0" w:color="auto"/>
            </w:tcBorders>
            <w:shd w:val="clear" w:color="auto" w:fill="auto"/>
            <w:noWrap/>
            <w:vAlign w:val="center"/>
            <w:hideMark/>
          </w:tcPr>
          <w:p w14:paraId="0C36EF50" w14:textId="77777777" w:rsidR="0074074D" w:rsidRDefault="0074074D" w:rsidP="00405BA7">
            <w:pPr>
              <w:rPr>
                <w:sz w:val="20"/>
                <w:szCs w:val="20"/>
              </w:rPr>
            </w:pPr>
            <w:r>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328779E0" w14:textId="77777777" w:rsidR="0074074D" w:rsidRDefault="0074074D" w:rsidP="00405BA7">
            <w:pPr>
              <w:rPr>
                <w:sz w:val="20"/>
                <w:szCs w:val="20"/>
              </w:rPr>
            </w:pPr>
            <w:r>
              <w:rPr>
                <w:rFonts w:hint="eastAsia"/>
                <w:sz w:val="20"/>
                <w:szCs w:val="20"/>
              </w:rPr>
              <w:t>报价量（万）</w:t>
            </w:r>
          </w:p>
        </w:tc>
      </w:tr>
      <w:tr w:rsidR="0074074D" w:rsidRPr="00066DB4" w14:paraId="7F31EC89"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52D25A54" w14:textId="77777777" w:rsidR="0074074D" w:rsidRPr="00413114" w:rsidRDefault="0074074D" w:rsidP="00405BA7">
            <w:pPr>
              <w:rPr>
                <w:b/>
                <w:bCs/>
                <w:sz w:val="20"/>
                <w:szCs w:val="20"/>
              </w:rPr>
            </w:pPr>
            <w:r w:rsidRPr="00413114">
              <w:rPr>
                <w:b/>
                <w:bCs/>
                <w:sz w:val="20"/>
                <w:szCs w:val="20"/>
              </w:rPr>
              <w:t>99.30</w:t>
            </w:r>
          </w:p>
        </w:tc>
        <w:tc>
          <w:tcPr>
            <w:tcW w:w="1078" w:type="pct"/>
            <w:tcBorders>
              <w:top w:val="nil"/>
              <w:left w:val="nil"/>
              <w:bottom w:val="single" w:sz="4" w:space="0" w:color="auto"/>
              <w:right w:val="single" w:sz="4" w:space="0" w:color="auto"/>
            </w:tcBorders>
            <w:shd w:val="clear" w:color="auto" w:fill="auto"/>
            <w:noWrap/>
            <w:vAlign w:val="center"/>
            <w:hideMark/>
          </w:tcPr>
          <w:p w14:paraId="6AE03323" w14:textId="77777777" w:rsidR="0074074D" w:rsidRPr="00413114" w:rsidRDefault="0074074D" w:rsidP="00405BA7">
            <w:pPr>
              <w:rPr>
                <w:b/>
                <w:bCs/>
                <w:sz w:val="20"/>
                <w:szCs w:val="20"/>
              </w:rPr>
            </w:pPr>
            <w:r w:rsidRPr="00413114">
              <w:rPr>
                <w:b/>
                <w:bCs/>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3616B1C3" w14:textId="77777777" w:rsidR="0074074D" w:rsidRPr="00413114" w:rsidRDefault="0074074D" w:rsidP="00405BA7">
            <w:pPr>
              <w:rPr>
                <w:b/>
                <w:bCs/>
                <w:sz w:val="20"/>
                <w:szCs w:val="20"/>
              </w:rPr>
            </w:pPr>
            <w:r w:rsidRPr="00413114">
              <w:rPr>
                <w:b/>
                <w:bCs/>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1FAE5CFC" w14:textId="77777777" w:rsidR="0074074D" w:rsidRPr="00413114" w:rsidRDefault="0074074D" w:rsidP="00405BA7">
            <w:pPr>
              <w:rPr>
                <w:b/>
                <w:bCs/>
                <w:sz w:val="20"/>
                <w:szCs w:val="20"/>
              </w:rPr>
            </w:pPr>
            <w:r w:rsidRPr="00413114">
              <w:rPr>
                <w:b/>
                <w:bCs/>
                <w:sz w:val="20"/>
                <w:szCs w:val="20"/>
              </w:rPr>
              <w:t>1000</w:t>
            </w:r>
          </w:p>
        </w:tc>
      </w:tr>
      <w:tr w:rsidR="0074074D" w:rsidRPr="00066DB4" w14:paraId="035F0AE2"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394C3E6E" w14:textId="77777777" w:rsidR="0074074D" w:rsidRDefault="0074074D" w:rsidP="00405BA7">
            <w:pPr>
              <w:rPr>
                <w:sz w:val="20"/>
                <w:szCs w:val="20"/>
              </w:rPr>
            </w:pPr>
            <w:r>
              <w:rPr>
                <w:sz w:val="20"/>
                <w:szCs w:val="20"/>
              </w:rPr>
              <w:t>99.29</w:t>
            </w:r>
          </w:p>
        </w:tc>
        <w:tc>
          <w:tcPr>
            <w:tcW w:w="1078" w:type="pct"/>
            <w:tcBorders>
              <w:top w:val="nil"/>
              <w:left w:val="nil"/>
              <w:bottom w:val="single" w:sz="4" w:space="0" w:color="auto"/>
              <w:right w:val="single" w:sz="4" w:space="0" w:color="auto"/>
            </w:tcBorders>
            <w:shd w:val="clear" w:color="auto" w:fill="auto"/>
            <w:noWrap/>
            <w:vAlign w:val="center"/>
            <w:hideMark/>
          </w:tcPr>
          <w:p w14:paraId="3D03C2C6"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54540457" w14:textId="77777777" w:rsidR="0074074D" w:rsidRDefault="0074074D" w:rsidP="00405BA7">
            <w:pPr>
              <w:rPr>
                <w:sz w:val="20"/>
                <w:szCs w:val="20"/>
              </w:rPr>
            </w:pPr>
            <w:r>
              <w:rPr>
                <w:sz w:val="20"/>
                <w:szCs w:val="20"/>
              </w:rPr>
              <w:t>99.30</w:t>
            </w:r>
          </w:p>
        </w:tc>
        <w:tc>
          <w:tcPr>
            <w:tcW w:w="1078" w:type="pct"/>
            <w:tcBorders>
              <w:top w:val="nil"/>
              <w:left w:val="nil"/>
              <w:bottom w:val="single" w:sz="4" w:space="0" w:color="auto"/>
              <w:right w:val="single" w:sz="4" w:space="0" w:color="auto"/>
            </w:tcBorders>
            <w:shd w:val="clear" w:color="auto" w:fill="auto"/>
            <w:noWrap/>
            <w:vAlign w:val="center"/>
            <w:hideMark/>
          </w:tcPr>
          <w:p w14:paraId="3637525A" w14:textId="77777777" w:rsidR="0074074D" w:rsidRDefault="0074074D" w:rsidP="00405BA7">
            <w:pPr>
              <w:rPr>
                <w:sz w:val="20"/>
                <w:szCs w:val="20"/>
              </w:rPr>
            </w:pPr>
            <w:r>
              <w:rPr>
                <w:sz w:val="20"/>
                <w:szCs w:val="20"/>
              </w:rPr>
              <w:t>5000</w:t>
            </w:r>
          </w:p>
        </w:tc>
      </w:tr>
      <w:tr w:rsidR="0074074D" w:rsidRPr="00066DB4" w14:paraId="02FE27E1"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70313ED0" w14:textId="77777777" w:rsidR="0074074D" w:rsidRDefault="0074074D" w:rsidP="00405BA7">
            <w:pPr>
              <w:rPr>
                <w:sz w:val="20"/>
                <w:szCs w:val="20"/>
              </w:rPr>
            </w:pPr>
            <w:r>
              <w:rPr>
                <w:sz w:val="20"/>
                <w:szCs w:val="20"/>
              </w:rPr>
              <w:t>99.28</w:t>
            </w:r>
          </w:p>
        </w:tc>
        <w:tc>
          <w:tcPr>
            <w:tcW w:w="1078" w:type="pct"/>
            <w:tcBorders>
              <w:top w:val="nil"/>
              <w:left w:val="nil"/>
              <w:bottom w:val="single" w:sz="4" w:space="0" w:color="auto"/>
              <w:right w:val="single" w:sz="4" w:space="0" w:color="auto"/>
            </w:tcBorders>
            <w:shd w:val="clear" w:color="auto" w:fill="auto"/>
            <w:noWrap/>
            <w:vAlign w:val="center"/>
            <w:hideMark/>
          </w:tcPr>
          <w:p w14:paraId="2C43B30A"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3C385BAD" w14:textId="77777777" w:rsidR="0074074D" w:rsidRDefault="0074074D" w:rsidP="00405BA7">
            <w:pPr>
              <w:rPr>
                <w:sz w:val="20"/>
                <w:szCs w:val="20"/>
              </w:rPr>
            </w:pPr>
            <w:r>
              <w:rPr>
                <w:sz w:val="20"/>
                <w:szCs w:val="20"/>
              </w:rPr>
              <w:t>99.31</w:t>
            </w:r>
          </w:p>
        </w:tc>
        <w:tc>
          <w:tcPr>
            <w:tcW w:w="1078" w:type="pct"/>
            <w:tcBorders>
              <w:top w:val="nil"/>
              <w:left w:val="nil"/>
              <w:bottom w:val="single" w:sz="4" w:space="0" w:color="auto"/>
              <w:right w:val="single" w:sz="4" w:space="0" w:color="auto"/>
            </w:tcBorders>
            <w:shd w:val="clear" w:color="auto" w:fill="auto"/>
            <w:noWrap/>
            <w:vAlign w:val="center"/>
            <w:hideMark/>
          </w:tcPr>
          <w:p w14:paraId="5921DBE8" w14:textId="77777777" w:rsidR="0074074D" w:rsidRDefault="0074074D" w:rsidP="00405BA7">
            <w:pPr>
              <w:rPr>
                <w:sz w:val="20"/>
                <w:szCs w:val="20"/>
              </w:rPr>
            </w:pPr>
            <w:r>
              <w:rPr>
                <w:sz w:val="20"/>
                <w:szCs w:val="20"/>
              </w:rPr>
              <w:t>1000</w:t>
            </w:r>
          </w:p>
        </w:tc>
      </w:tr>
      <w:tr w:rsidR="0074074D" w:rsidRPr="00066DB4" w14:paraId="485E0F8F"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6B4C98FC" w14:textId="77777777" w:rsidR="0074074D" w:rsidRDefault="0074074D" w:rsidP="00405BA7">
            <w:pPr>
              <w:rPr>
                <w:sz w:val="20"/>
                <w:szCs w:val="20"/>
              </w:rPr>
            </w:pPr>
            <w:r>
              <w:rPr>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7495E8DE"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36137E04" w14:textId="77777777" w:rsidR="0074074D" w:rsidRDefault="0074074D" w:rsidP="00405BA7">
            <w:pPr>
              <w:rPr>
                <w:sz w:val="20"/>
                <w:szCs w:val="20"/>
              </w:rPr>
            </w:pPr>
          </w:p>
        </w:tc>
        <w:tc>
          <w:tcPr>
            <w:tcW w:w="1078" w:type="pct"/>
            <w:tcBorders>
              <w:top w:val="nil"/>
              <w:left w:val="nil"/>
              <w:bottom w:val="single" w:sz="4" w:space="0" w:color="auto"/>
              <w:right w:val="single" w:sz="4" w:space="0" w:color="auto"/>
            </w:tcBorders>
            <w:shd w:val="clear" w:color="auto" w:fill="auto"/>
            <w:noWrap/>
            <w:vAlign w:val="center"/>
            <w:hideMark/>
          </w:tcPr>
          <w:p w14:paraId="24D6328D" w14:textId="77777777" w:rsidR="0074074D" w:rsidRDefault="0074074D" w:rsidP="00405BA7">
            <w:pPr>
              <w:rPr>
                <w:sz w:val="20"/>
                <w:szCs w:val="20"/>
              </w:rPr>
            </w:pPr>
          </w:p>
        </w:tc>
      </w:tr>
      <w:tr w:rsidR="0074074D" w:rsidRPr="00066DB4" w14:paraId="15F9E28B" w14:textId="77777777" w:rsidTr="00405BA7">
        <w:trPr>
          <w:trHeight w:val="270"/>
          <w:jc w:val="center"/>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5B87AD99" w14:textId="77777777" w:rsidR="0074074D" w:rsidRDefault="0074074D" w:rsidP="00405BA7">
            <w:pPr>
              <w:rPr>
                <w:sz w:val="20"/>
                <w:szCs w:val="20"/>
              </w:rPr>
            </w:pPr>
            <w:r>
              <w:rPr>
                <w:sz w:val="20"/>
                <w:szCs w:val="20"/>
              </w:rPr>
              <w:t>99.25</w:t>
            </w:r>
          </w:p>
        </w:tc>
        <w:tc>
          <w:tcPr>
            <w:tcW w:w="1078" w:type="pct"/>
            <w:tcBorders>
              <w:top w:val="nil"/>
              <w:left w:val="nil"/>
              <w:bottom w:val="single" w:sz="4" w:space="0" w:color="auto"/>
              <w:right w:val="single" w:sz="4" w:space="0" w:color="auto"/>
            </w:tcBorders>
            <w:shd w:val="clear" w:color="auto" w:fill="auto"/>
            <w:noWrap/>
            <w:vAlign w:val="center"/>
            <w:hideMark/>
          </w:tcPr>
          <w:p w14:paraId="7F1BBFD0"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669A8AB7" w14:textId="77777777" w:rsidR="0074074D" w:rsidRDefault="0074074D" w:rsidP="00405BA7">
            <w:pPr>
              <w:rPr>
                <w:sz w:val="20"/>
                <w:szCs w:val="20"/>
              </w:rPr>
            </w:pPr>
          </w:p>
        </w:tc>
        <w:tc>
          <w:tcPr>
            <w:tcW w:w="1078" w:type="pct"/>
            <w:tcBorders>
              <w:top w:val="nil"/>
              <w:left w:val="nil"/>
              <w:bottom w:val="single" w:sz="4" w:space="0" w:color="auto"/>
              <w:right w:val="single" w:sz="4" w:space="0" w:color="auto"/>
            </w:tcBorders>
            <w:shd w:val="clear" w:color="auto" w:fill="auto"/>
            <w:noWrap/>
            <w:vAlign w:val="center"/>
            <w:hideMark/>
          </w:tcPr>
          <w:p w14:paraId="51C88DEF" w14:textId="77777777" w:rsidR="0074074D" w:rsidRDefault="0074074D" w:rsidP="00405BA7">
            <w:pPr>
              <w:rPr>
                <w:sz w:val="20"/>
                <w:szCs w:val="20"/>
              </w:rPr>
            </w:pPr>
          </w:p>
        </w:tc>
      </w:tr>
    </w:tbl>
    <w:p w14:paraId="2E74A45F" w14:textId="77777777" w:rsidR="0074074D" w:rsidRPr="00066DB4" w:rsidRDefault="0074074D" w:rsidP="0074074D">
      <w:pPr>
        <w:rPr>
          <w:sz w:val="20"/>
          <w:szCs w:val="20"/>
        </w:rPr>
      </w:pPr>
      <w:r>
        <w:rPr>
          <w:rFonts w:hint="eastAsia"/>
          <w:sz w:val="20"/>
          <w:szCs w:val="20"/>
        </w:rPr>
        <w:t>开盘价选择：开盘价</w:t>
      </w:r>
      <w:r>
        <w:rPr>
          <w:sz w:val="20"/>
          <w:szCs w:val="20"/>
        </w:rPr>
        <w:t>99.29</w:t>
      </w:r>
      <w:r>
        <w:rPr>
          <w:rFonts w:hint="eastAsia"/>
          <w:sz w:val="20"/>
          <w:szCs w:val="20"/>
        </w:rPr>
        <w:t>，成交量</w:t>
      </w:r>
      <w:r>
        <w:rPr>
          <w:sz w:val="20"/>
          <w:szCs w:val="20"/>
        </w:rPr>
        <w:t>1000</w:t>
      </w:r>
      <w:r>
        <w:rPr>
          <w:rFonts w:hint="eastAsia"/>
          <w:sz w:val="20"/>
          <w:szCs w:val="20"/>
        </w:rPr>
        <w:t>，相同价位未匹配报价量</w:t>
      </w:r>
      <w:r>
        <w:rPr>
          <w:sz w:val="20"/>
          <w:szCs w:val="20"/>
        </w:rPr>
        <w:t>1000</w:t>
      </w:r>
      <w:r>
        <w:rPr>
          <w:rFonts w:hint="eastAsia"/>
          <w:sz w:val="20"/>
          <w:szCs w:val="20"/>
        </w:rPr>
        <w:t>。</w:t>
      </w:r>
    </w:p>
    <w:tbl>
      <w:tblPr>
        <w:tblW w:w="5000" w:type="pct"/>
        <w:jc w:val="center"/>
        <w:tblLook w:val="04A0" w:firstRow="1" w:lastRow="0" w:firstColumn="1" w:lastColumn="0" w:noHBand="0" w:noVBand="1"/>
      </w:tblPr>
      <w:tblGrid>
        <w:gridCol w:w="1182"/>
        <w:gridCol w:w="4752"/>
        <w:gridCol w:w="920"/>
        <w:gridCol w:w="2496"/>
      </w:tblGrid>
      <w:tr w:rsidR="0074074D" w:rsidRPr="00066DB4" w14:paraId="634F219A" w14:textId="77777777" w:rsidTr="00405BA7">
        <w:trPr>
          <w:trHeight w:val="270"/>
          <w:jc w:val="center"/>
        </w:trPr>
        <w:tc>
          <w:tcPr>
            <w:tcW w:w="6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29AFD" w14:textId="77777777" w:rsidR="0074074D" w:rsidRDefault="0074074D" w:rsidP="00405BA7">
            <w:pPr>
              <w:rPr>
                <w:sz w:val="20"/>
                <w:szCs w:val="20"/>
              </w:rPr>
            </w:pPr>
            <w:r>
              <w:rPr>
                <w:rFonts w:hint="eastAsia"/>
                <w:sz w:val="20"/>
                <w:szCs w:val="20"/>
              </w:rPr>
              <w:t>价位</w:t>
            </w:r>
          </w:p>
        </w:tc>
        <w:tc>
          <w:tcPr>
            <w:tcW w:w="2541" w:type="pct"/>
            <w:tcBorders>
              <w:top w:val="single" w:sz="4" w:space="0" w:color="auto"/>
              <w:left w:val="nil"/>
              <w:bottom w:val="single" w:sz="4" w:space="0" w:color="auto"/>
              <w:right w:val="single" w:sz="4" w:space="0" w:color="auto"/>
            </w:tcBorders>
            <w:shd w:val="clear" w:color="auto" w:fill="auto"/>
            <w:noWrap/>
            <w:vAlign w:val="center"/>
            <w:hideMark/>
          </w:tcPr>
          <w:p w14:paraId="6990CAE0" w14:textId="77777777" w:rsidR="0074074D" w:rsidRDefault="0074074D" w:rsidP="00405BA7">
            <w:pPr>
              <w:rPr>
                <w:sz w:val="20"/>
                <w:szCs w:val="20"/>
              </w:rPr>
            </w:pPr>
            <w:r>
              <w:rPr>
                <w:rFonts w:hint="eastAsia"/>
                <w:sz w:val="20"/>
                <w:szCs w:val="20"/>
              </w:rPr>
              <w:t>是否满足更优报价全成交、同价位单边全成交</w:t>
            </w:r>
          </w:p>
        </w:tc>
        <w:tc>
          <w:tcPr>
            <w:tcW w:w="492" w:type="pct"/>
            <w:tcBorders>
              <w:top w:val="single" w:sz="4" w:space="0" w:color="auto"/>
              <w:left w:val="nil"/>
              <w:bottom w:val="single" w:sz="4" w:space="0" w:color="auto"/>
              <w:right w:val="single" w:sz="4" w:space="0" w:color="auto"/>
            </w:tcBorders>
            <w:shd w:val="clear" w:color="auto" w:fill="auto"/>
            <w:noWrap/>
            <w:vAlign w:val="center"/>
            <w:hideMark/>
          </w:tcPr>
          <w:p w14:paraId="72C3F3F3" w14:textId="77777777" w:rsidR="0074074D" w:rsidRDefault="0074074D" w:rsidP="00405BA7">
            <w:pPr>
              <w:rPr>
                <w:sz w:val="20"/>
                <w:szCs w:val="20"/>
              </w:rPr>
            </w:pPr>
            <w:r>
              <w:rPr>
                <w:rFonts w:hint="eastAsia"/>
                <w:sz w:val="20"/>
                <w:szCs w:val="20"/>
              </w:rPr>
              <w:t>成交量</w:t>
            </w:r>
          </w:p>
        </w:tc>
        <w:tc>
          <w:tcPr>
            <w:tcW w:w="1336" w:type="pct"/>
            <w:tcBorders>
              <w:top w:val="single" w:sz="4" w:space="0" w:color="auto"/>
              <w:left w:val="nil"/>
              <w:bottom w:val="single" w:sz="4" w:space="0" w:color="auto"/>
              <w:right w:val="single" w:sz="4" w:space="0" w:color="auto"/>
            </w:tcBorders>
            <w:shd w:val="clear" w:color="auto" w:fill="auto"/>
            <w:noWrap/>
            <w:vAlign w:val="center"/>
            <w:hideMark/>
          </w:tcPr>
          <w:p w14:paraId="6272A5CA" w14:textId="77777777" w:rsidR="0074074D" w:rsidRDefault="0074074D" w:rsidP="00405BA7">
            <w:pPr>
              <w:rPr>
                <w:sz w:val="20"/>
                <w:szCs w:val="20"/>
              </w:rPr>
            </w:pPr>
            <w:r>
              <w:rPr>
                <w:rFonts w:hint="eastAsia"/>
                <w:sz w:val="20"/>
                <w:szCs w:val="20"/>
              </w:rPr>
              <w:t>相同价位未匹配报价量</w:t>
            </w:r>
          </w:p>
        </w:tc>
      </w:tr>
      <w:tr w:rsidR="0074074D" w:rsidRPr="00066DB4" w14:paraId="6828E1F5" w14:textId="77777777" w:rsidTr="00405BA7">
        <w:trPr>
          <w:trHeight w:val="270"/>
          <w:jc w:val="center"/>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6DC90E5F" w14:textId="77777777" w:rsidR="0074074D" w:rsidRDefault="0074074D" w:rsidP="00405BA7">
            <w:pPr>
              <w:rPr>
                <w:sz w:val="20"/>
                <w:szCs w:val="20"/>
              </w:rPr>
            </w:pPr>
            <w:r>
              <w:rPr>
                <w:sz w:val="20"/>
                <w:szCs w:val="20"/>
              </w:rPr>
              <w:t>99.26</w:t>
            </w:r>
          </w:p>
        </w:tc>
        <w:tc>
          <w:tcPr>
            <w:tcW w:w="2541" w:type="pct"/>
            <w:tcBorders>
              <w:top w:val="nil"/>
              <w:left w:val="nil"/>
              <w:bottom w:val="single" w:sz="4" w:space="0" w:color="auto"/>
              <w:right w:val="single" w:sz="4" w:space="0" w:color="auto"/>
            </w:tcBorders>
            <w:shd w:val="clear" w:color="auto" w:fill="auto"/>
            <w:noWrap/>
            <w:vAlign w:val="center"/>
            <w:hideMark/>
          </w:tcPr>
          <w:p w14:paraId="55395543" w14:textId="77777777" w:rsidR="0074074D" w:rsidRDefault="0074074D" w:rsidP="00405BA7">
            <w:pPr>
              <w:rPr>
                <w:sz w:val="20"/>
                <w:szCs w:val="20"/>
              </w:rPr>
            </w:pPr>
            <w:r>
              <w:rPr>
                <w:rFonts w:hint="eastAsia"/>
                <w:sz w:val="20"/>
                <w:szCs w:val="20"/>
              </w:rPr>
              <w:t>否</w:t>
            </w:r>
          </w:p>
        </w:tc>
        <w:tc>
          <w:tcPr>
            <w:tcW w:w="492" w:type="pct"/>
            <w:tcBorders>
              <w:top w:val="nil"/>
              <w:left w:val="nil"/>
              <w:bottom w:val="single" w:sz="4" w:space="0" w:color="auto"/>
              <w:right w:val="single" w:sz="4" w:space="0" w:color="auto"/>
            </w:tcBorders>
            <w:shd w:val="clear" w:color="auto" w:fill="auto"/>
            <w:noWrap/>
            <w:vAlign w:val="center"/>
            <w:hideMark/>
          </w:tcPr>
          <w:p w14:paraId="1388C3D5" w14:textId="77777777" w:rsidR="0074074D" w:rsidRDefault="0074074D" w:rsidP="00405BA7">
            <w:pPr>
              <w:rPr>
                <w:sz w:val="20"/>
                <w:szCs w:val="20"/>
              </w:rPr>
            </w:pPr>
            <w:r>
              <w:rPr>
                <w:sz w:val="20"/>
                <w:szCs w:val="20"/>
              </w:rPr>
              <w:t>1000</w:t>
            </w:r>
          </w:p>
        </w:tc>
        <w:tc>
          <w:tcPr>
            <w:tcW w:w="1336" w:type="pct"/>
            <w:tcBorders>
              <w:top w:val="nil"/>
              <w:left w:val="nil"/>
              <w:bottom w:val="single" w:sz="4" w:space="0" w:color="auto"/>
              <w:right w:val="single" w:sz="4" w:space="0" w:color="auto"/>
            </w:tcBorders>
            <w:shd w:val="clear" w:color="auto" w:fill="auto"/>
            <w:noWrap/>
            <w:vAlign w:val="center"/>
            <w:hideMark/>
          </w:tcPr>
          <w:p w14:paraId="00CD89B7" w14:textId="77777777" w:rsidR="0074074D" w:rsidRDefault="0074074D" w:rsidP="00405BA7">
            <w:pPr>
              <w:rPr>
                <w:sz w:val="20"/>
                <w:szCs w:val="20"/>
              </w:rPr>
            </w:pPr>
            <w:r>
              <w:rPr>
                <w:sz w:val="20"/>
                <w:szCs w:val="20"/>
              </w:rPr>
              <w:t>3000</w:t>
            </w:r>
          </w:p>
        </w:tc>
      </w:tr>
      <w:tr w:rsidR="0074074D" w:rsidRPr="00066DB4" w14:paraId="4F835296" w14:textId="77777777" w:rsidTr="00405BA7">
        <w:trPr>
          <w:trHeight w:val="270"/>
          <w:jc w:val="center"/>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037161DB" w14:textId="77777777" w:rsidR="0074074D" w:rsidRDefault="0074074D" w:rsidP="00405BA7">
            <w:pPr>
              <w:rPr>
                <w:sz w:val="20"/>
                <w:szCs w:val="20"/>
              </w:rPr>
            </w:pPr>
            <w:r>
              <w:rPr>
                <w:sz w:val="20"/>
                <w:szCs w:val="20"/>
              </w:rPr>
              <w:t>99.28</w:t>
            </w:r>
          </w:p>
        </w:tc>
        <w:tc>
          <w:tcPr>
            <w:tcW w:w="2541" w:type="pct"/>
            <w:tcBorders>
              <w:top w:val="nil"/>
              <w:left w:val="nil"/>
              <w:bottom w:val="single" w:sz="4" w:space="0" w:color="auto"/>
              <w:right w:val="single" w:sz="4" w:space="0" w:color="auto"/>
            </w:tcBorders>
            <w:shd w:val="clear" w:color="auto" w:fill="auto"/>
            <w:noWrap/>
            <w:vAlign w:val="center"/>
            <w:hideMark/>
          </w:tcPr>
          <w:p w14:paraId="2FC3B213" w14:textId="77777777" w:rsidR="0074074D" w:rsidRDefault="0074074D" w:rsidP="00405BA7">
            <w:pPr>
              <w:rPr>
                <w:sz w:val="20"/>
                <w:szCs w:val="20"/>
              </w:rPr>
            </w:pPr>
            <w:r>
              <w:rPr>
                <w:rFonts w:hint="eastAsia"/>
                <w:sz w:val="20"/>
                <w:szCs w:val="20"/>
              </w:rPr>
              <w:t>否</w:t>
            </w:r>
          </w:p>
        </w:tc>
        <w:tc>
          <w:tcPr>
            <w:tcW w:w="492" w:type="pct"/>
            <w:tcBorders>
              <w:top w:val="nil"/>
              <w:left w:val="nil"/>
              <w:bottom w:val="single" w:sz="4" w:space="0" w:color="auto"/>
              <w:right w:val="single" w:sz="4" w:space="0" w:color="auto"/>
            </w:tcBorders>
            <w:shd w:val="clear" w:color="auto" w:fill="auto"/>
            <w:noWrap/>
            <w:vAlign w:val="center"/>
            <w:hideMark/>
          </w:tcPr>
          <w:p w14:paraId="0193607E" w14:textId="77777777" w:rsidR="0074074D" w:rsidRDefault="0074074D" w:rsidP="00405BA7">
            <w:pPr>
              <w:rPr>
                <w:sz w:val="20"/>
                <w:szCs w:val="20"/>
              </w:rPr>
            </w:pPr>
            <w:r>
              <w:rPr>
                <w:sz w:val="20"/>
                <w:szCs w:val="20"/>
              </w:rPr>
              <w:t>1000</w:t>
            </w:r>
          </w:p>
        </w:tc>
        <w:tc>
          <w:tcPr>
            <w:tcW w:w="1336" w:type="pct"/>
            <w:tcBorders>
              <w:top w:val="nil"/>
              <w:left w:val="nil"/>
              <w:bottom w:val="single" w:sz="4" w:space="0" w:color="auto"/>
              <w:right w:val="single" w:sz="4" w:space="0" w:color="auto"/>
            </w:tcBorders>
            <w:shd w:val="clear" w:color="auto" w:fill="auto"/>
            <w:noWrap/>
            <w:vAlign w:val="center"/>
            <w:hideMark/>
          </w:tcPr>
          <w:p w14:paraId="0DE9703B" w14:textId="77777777" w:rsidR="0074074D" w:rsidRDefault="0074074D" w:rsidP="00405BA7">
            <w:pPr>
              <w:rPr>
                <w:sz w:val="20"/>
                <w:szCs w:val="20"/>
              </w:rPr>
            </w:pPr>
            <w:r>
              <w:rPr>
                <w:sz w:val="20"/>
                <w:szCs w:val="20"/>
              </w:rPr>
              <w:t>2000</w:t>
            </w:r>
          </w:p>
        </w:tc>
      </w:tr>
      <w:tr w:rsidR="0074074D" w:rsidRPr="00066DB4" w14:paraId="22802C30" w14:textId="77777777" w:rsidTr="00405BA7">
        <w:trPr>
          <w:trHeight w:val="270"/>
          <w:jc w:val="center"/>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7C0430F3" w14:textId="77777777" w:rsidR="0074074D" w:rsidRPr="00413114" w:rsidRDefault="0074074D" w:rsidP="00405BA7">
            <w:pPr>
              <w:rPr>
                <w:b/>
                <w:bCs/>
                <w:sz w:val="20"/>
                <w:szCs w:val="20"/>
              </w:rPr>
            </w:pPr>
            <w:r w:rsidRPr="00413114">
              <w:rPr>
                <w:b/>
                <w:bCs/>
                <w:sz w:val="20"/>
                <w:szCs w:val="20"/>
              </w:rPr>
              <w:t>99.29</w:t>
            </w:r>
          </w:p>
        </w:tc>
        <w:tc>
          <w:tcPr>
            <w:tcW w:w="2541" w:type="pct"/>
            <w:tcBorders>
              <w:top w:val="nil"/>
              <w:left w:val="nil"/>
              <w:bottom w:val="single" w:sz="4" w:space="0" w:color="auto"/>
              <w:right w:val="single" w:sz="4" w:space="0" w:color="auto"/>
            </w:tcBorders>
            <w:shd w:val="clear" w:color="auto" w:fill="auto"/>
            <w:noWrap/>
            <w:vAlign w:val="center"/>
            <w:hideMark/>
          </w:tcPr>
          <w:p w14:paraId="47D6C460" w14:textId="77777777" w:rsidR="0074074D" w:rsidRPr="00413114" w:rsidRDefault="0074074D" w:rsidP="00405BA7">
            <w:pPr>
              <w:rPr>
                <w:b/>
                <w:bCs/>
                <w:sz w:val="20"/>
                <w:szCs w:val="20"/>
              </w:rPr>
            </w:pPr>
            <w:r w:rsidRPr="00413114">
              <w:rPr>
                <w:rFonts w:hint="eastAsia"/>
                <w:b/>
                <w:bCs/>
                <w:sz w:val="20"/>
                <w:szCs w:val="20"/>
              </w:rPr>
              <w:t>是</w:t>
            </w:r>
          </w:p>
        </w:tc>
        <w:tc>
          <w:tcPr>
            <w:tcW w:w="492" w:type="pct"/>
            <w:tcBorders>
              <w:top w:val="nil"/>
              <w:left w:val="nil"/>
              <w:bottom w:val="single" w:sz="4" w:space="0" w:color="auto"/>
              <w:right w:val="single" w:sz="4" w:space="0" w:color="auto"/>
            </w:tcBorders>
            <w:shd w:val="clear" w:color="auto" w:fill="auto"/>
            <w:noWrap/>
            <w:vAlign w:val="center"/>
            <w:hideMark/>
          </w:tcPr>
          <w:p w14:paraId="15387882" w14:textId="77777777" w:rsidR="0074074D" w:rsidRPr="00413114" w:rsidRDefault="0074074D" w:rsidP="00405BA7">
            <w:pPr>
              <w:rPr>
                <w:b/>
                <w:bCs/>
                <w:sz w:val="20"/>
                <w:szCs w:val="20"/>
              </w:rPr>
            </w:pPr>
            <w:r w:rsidRPr="00413114">
              <w:rPr>
                <w:b/>
                <w:bCs/>
                <w:sz w:val="20"/>
                <w:szCs w:val="20"/>
              </w:rPr>
              <w:t>1000</w:t>
            </w:r>
          </w:p>
        </w:tc>
        <w:tc>
          <w:tcPr>
            <w:tcW w:w="1336" w:type="pct"/>
            <w:tcBorders>
              <w:top w:val="nil"/>
              <w:left w:val="nil"/>
              <w:bottom w:val="single" w:sz="4" w:space="0" w:color="auto"/>
              <w:right w:val="single" w:sz="4" w:space="0" w:color="auto"/>
            </w:tcBorders>
            <w:shd w:val="clear" w:color="auto" w:fill="auto"/>
            <w:noWrap/>
            <w:vAlign w:val="center"/>
            <w:hideMark/>
          </w:tcPr>
          <w:p w14:paraId="3273E0B4" w14:textId="77777777" w:rsidR="0074074D" w:rsidRPr="00413114" w:rsidRDefault="0074074D" w:rsidP="00405BA7">
            <w:pPr>
              <w:rPr>
                <w:b/>
                <w:bCs/>
                <w:sz w:val="20"/>
                <w:szCs w:val="20"/>
              </w:rPr>
            </w:pPr>
            <w:r w:rsidRPr="00413114">
              <w:rPr>
                <w:b/>
                <w:bCs/>
                <w:sz w:val="20"/>
                <w:szCs w:val="20"/>
              </w:rPr>
              <w:t>1000</w:t>
            </w:r>
          </w:p>
        </w:tc>
      </w:tr>
      <w:tr w:rsidR="0074074D" w:rsidRPr="00066DB4" w14:paraId="2B3DE53D" w14:textId="77777777" w:rsidTr="00405BA7">
        <w:trPr>
          <w:trHeight w:val="270"/>
          <w:jc w:val="center"/>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2A2BFC44" w14:textId="77777777" w:rsidR="0074074D" w:rsidRDefault="0074074D" w:rsidP="00405BA7">
            <w:pPr>
              <w:rPr>
                <w:sz w:val="20"/>
                <w:szCs w:val="20"/>
              </w:rPr>
            </w:pPr>
            <w:r>
              <w:rPr>
                <w:sz w:val="20"/>
                <w:szCs w:val="20"/>
              </w:rPr>
              <w:t>99.30</w:t>
            </w:r>
          </w:p>
        </w:tc>
        <w:tc>
          <w:tcPr>
            <w:tcW w:w="2541" w:type="pct"/>
            <w:tcBorders>
              <w:top w:val="nil"/>
              <w:left w:val="nil"/>
              <w:bottom w:val="single" w:sz="4" w:space="0" w:color="auto"/>
              <w:right w:val="single" w:sz="4" w:space="0" w:color="auto"/>
            </w:tcBorders>
            <w:shd w:val="clear" w:color="auto" w:fill="auto"/>
            <w:noWrap/>
            <w:vAlign w:val="center"/>
            <w:hideMark/>
          </w:tcPr>
          <w:p w14:paraId="74797379" w14:textId="77777777" w:rsidR="0074074D" w:rsidRDefault="0074074D" w:rsidP="00405BA7">
            <w:pPr>
              <w:rPr>
                <w:sz w:val="20"/>
                <w:szCs w:val="20"/>
              </w:rPr>
            </w:pPr>
            <w:r>
              <w:rPr>
                <w:rFonts w:hint="eastAsia"/>
                <w:sz w:val="20"/>
                <w:szCs w:val="20"/>
              </w:rPr>
              <w:t>是</w:t>
            </w:r>
          </w:p>
        </w:tc>
        <w:tc>
          <w:tcPr>
            <w:tcW w:w="492" w:type="pct"/>
            <w:tcBorders>
              <w:top w:val="nil"/>
              <w:left w:val="nil"/>
              <w:bottom w:val="single" w:sz="4" w:space="0" w:color="auto"/>
              <w:right w:val="single" w:sz="4" w:space="0" w:color="auto"/>
            </w:tcBorders>
            <w:shd w:val="clear" w:color="auto" w:fill="auto"/>
            <w:noWrap/>
            <w:vAlign w:val="center"/>
            <w:hideMark/>
          </w:tcPr>
          <w:p w14:paraId="724FE0B1" w14:textId="77777777" w:rsidR="0074074D" w:rsidRDefault="0074074D" w:rsidP="00405BA7">
            <w:pPr>
              <w:rPr>
                <w:sz w:val="20"/>
                <w:szCs w:val="20"/>
              </w:rPr>
            </w:pPr>
            <w:r>
              <w:rPr>
                <w:sz w:val="20"/>
                <w:szCs w:val="20"/>
              </w:rPr>
              <w:t>1000</w:t>
            </w:r>
          </w:p>
        </w:tc>
        <w:tc>
          <w:tcPr>
            <w:tcW w:w="1336" w:type="pct"/>
            <w:tcBorders>
              <w:top w:val="nil"/>
              <w:left w:val="nil"/>
              <w:bottom w:val="single" w:sz="4" w:space="0" w:color="auto"/>
              <w:right w:val="single" w:sz="4" w:space="0" w:color="auto"/>
            </w:tcBorders>
            <w:shd w:val="clear" w:color="auto" w:fill="auto"/>
            <w:noWrap/>
            <w:vAlign w:val="center"/>
            <w:hideMark/>
          </w:tcPr>
          <w:p w14:paraId="7D6BCA54" w14:textId="77777777" w:rsidR="0074074D" w:rsidRDefault="0074074D" w:rsidP="00405BA7">
            <w:pPr>
              <w:rPr>
                <w:sz w:val="20"/>
                <w:szCs w:val="20"/>
              </w:rPr>
            </w:pPr>
            <w:r>
              <w:rPr>
                <w:sz w:val="20"/>
                <w:szCs w:val="20"/>
              </w:rPr>
              <w:t>5000</w:t>
            </w:r>
          </w:p>
        </w:tc>
      </w:tr>
    </w:tbl>
    <w:p w14:paraId="00901E38" w14:textId="77777777" w:rsidR="0074074D" w:rsidRDefault="0074074D" w:rsidP="0074074D">
      <w:r w:rsidRPr="00711AB2">
        <w:rPr>
          <w:rFonts w:hint="eastAsia"/>
          <w:sz w:val="20"/>
          <w:szCs w:val="20"/>
        </w:rPr>
        <w:t>示例</w:t>
      </w:r>
      <w:r w:rsidRPr="00711AB2">
        <w:rPr>
          <w:sz w:val="20"/>
          <w:szCs w:val="20"/>
        </w:rPr>
        <w:t xml:space="preserve"> 3</w:t>
      </w:r>
      <w:r w:rsidRPr="00711AB2">
        <w:rPr>
          <w:rFonts w:hint="eastAsia"/>
          <w:sz w:val="20"/>
          <w:szCs w:val="20"/>
        </w:rPr>
        <w:t>：</w:t>
      </w:r>
    </w:p>
    <w:tbl>
      <w:tblPr>
        <w:tblW w:w="5000" w:type="pct"/>
        <w:tblLook w:val="04A0" w:firstRow="1" w:lastRow="0" w:firstColumn="1" w:lastColumn="0" w:noHBand="0" w:noVBand="1"/>
      </w:tblPr>
      <w:tblGrid>
        <w:gridCol w:w="2659"/>
        <w:gridCol w:w="2016"/>
        <w:gridCol w:w="2659"/>
        <w:gridCol w:w="2016"/>
      </w:tblGrid>
      <w:tr w:rsidR="0074074D" w:rsidRPr="00066DB4" w14:paraId="57F004AE" w14:textId="77777777" w:rsidTr="00405BA7">
        <w:trPr>
          <w:trHeight w:val="270"/>
        </w:trPr>
        <w:tc>
          <w:tcPr>
            <w:tcW w:w="25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3E401A4" w14:textId="77777777" w:rsidR="0074074D" w:rsidRDefault="0074074D" w:rsidP="00405BA7">
            <w:pPr>
              <w:rPr>
                <w:sz w:val="20"/>
                <w:szCs w:val="20"/>
              </w:rPr>
            </w:pPr>
            <w:r w:rsidRPr="00066DB4">
              <w:rPr>
                <w:rFonts w:hint="eastAsia"/>
                <w:sz w:val="20"/>
                <w:szCs w:val="20"/>
              </w:rPr>
              <w:t>买入报价</w:t>
            </w:r>
          </w:p>
        </w:tc>
        <w:tc>
          <w:tcPr>
            <w:tcW w:w="2500"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4D1FCC5E" w14:textId="77777777" w:rsidR="0074074D" w:rsidRDefault="0074074D" w:rsidP="00405BA7">
            <w:pPr>
              <w:rPr>
                <w:sz w:val="20"/>
                <w:szCs w:val="20"/>
              </w:rPr>
            </w:pPr>
            <w:r w:rsidRPr="00066DB4">
              <w:rPr>
                <w:rFonts w:hint="eastAsia"/>
                <w:sz w:val="20"/>
                <w:szCs w:val="20"/>
              </w:rPr>
              <w:t>卖出报价</w:t>
            </w:r>
          </w:p>
        </w:tc>
      </w:tr>
      <w:tr w:rsidR="0074074D" w:rsidRPr="00066DB4" w14:paraId="5C17F32A"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2DF07728" w14:textId="77777777" w:rsidR="0074074D" w:rsidRDefault="0074074D" w:rsidP="00405BA7">
            <w:pPr>
              <w:rPr>
                <w:sz w:val="20"/>
                <w:szCs w:val="20"/>
              </w:rPr>
            </w:pPr>
            <w:r>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7D17FB3D" w14:textId="77777777" w:rsidR="0074074D" w:rsidRDefault="0074074D" w:rsidP="00405BA7">
            <w:pPr>
              <w:rPr>
                <w:sz w:val="20"/>
                <w:szCs w:val="20"/>
              </w:rPr>
            </w:pPr>
            <w:r>
              <w:rPr>
                <w:rFonts w:hint="eastAsia"/>
                <w:sz w:val="20"/>
                <w:szCs w:val="20"/>
              </w:rPr>
              <w:t>报价量（万）</w:t>
            </w:r>
          </w:p>
        </w:tc>
        <w:tc>
          <w:tcPr>
            <w:tcW w:w="1422" w:type="pct"/>
            <w:tcBorders>
              <w:top w:val="nil"/>
              <w:left w:val="nil"/>
              <w:bottom w:val="single" w:sz="4" w:space="0" w:color="auto"/>
              <w:right w:val="single" w:sz="4" w:space="0" w:color="auto"/>
            </w:tcBorders>
            <w:shd w:val="clear" w:color="auto" w:fill="auto"/>
            <w:noWrap/>
            <w:vAlign w:val="center"/>
            <w:hideMark/>
          </w:tcPr>
          <w:p w14:paraId="1C0E5ED4" w14:textId="77777777" w:rsidR="0074074D" w:rsidRDefault="0074074D" w:rsidP="00405BA7">
            <w:pPr>
              <w:rPr>
                <w:sz w:val="20"/>
                <w:szCs w:val="20"/>
              </w:rPr>
            </w:pPr>
            <w:r>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6E58B4AB" w14:textId="77777777" w:rsidR="0074074D" w:rsidRDefault="0074074D" w:rsidP="00405BA7">
            <w:pPr>
              <w:rPr>
                <w:sz w:val="20"/>
                <w:szCs w:val="20"/>
              </w:rPr>
            </w:pPr>
            <w:r>
              <w:rPr>
                <w:rFonts w:hint="eastAsia"/>
                <w:sz w:val="20"/>
                <w:szCs w:val="20"/>
              </w:rPr>
              <w:t>报价量（万）</w:t>
            </w:r>
          </w:p>
        </w:tc>
      </w:tr>
      <w:tr w:rsidR="0074074D" w:rsidRPr="00066DB4" w14:paraId="0FF6BF03"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1DD87398" w14:textId="77777777" w:rsidR="0074074D" w:rsidRPr="00413114" w:rsidRDefault="0074074D" w:rsidP="00405BA7">
            <w:pPr>
              <w:rPr>
                <w:b/>
                <w:bCs/>
                <w:sz w:val="20"/>
                <w:szCs w:val="20"/>
              </w:rPr>
            </w:pPr>
            <w:r w:rsidRPr="00413114">
              <w:rPr>
                <w:b/>
                <w:bCs/>
                <w:sz w:val="20"/>
                <w:szCs w:val="20"/>
              </w:rPr>
              <w:t>99.30</w:t>
            </w:r>
          </w:p>
        </w:tc>
        <w:tc>
          <w:tcPr>
            <w:tcW w:w="1078" w:type="pct"/>
            <w:tcBorders>
              <w:top w:val="nil"/>
              <w:left w:val="nil"/>
              <w:bottom w:val="single" w:sz="4" w:space="0" w:color="auto"/>
              <w:right w:val="single" w:sz="4" w:space="0" w:color="auto"/>
            </w:tcBorders>
            <w:shd w:val="clear" w:color="auto" w:fill="auto"/>
            <w:noWrap/>
            <w:vAlign w:val="center"/>
            <w:hideMark/>
          </w:tcPr>
          <w:p w14:paraId="13D73FD3" w14:textId="77777777" w:rsidR="0074074D" w:rsidRPr="00413114" w:rsidRDefault="0074074D" w:rsidP="00405BA7">
            <w:pPr>
              <w:rPr>
                <w:b/>
                <w:bCs/>
                <w:sz w:val="20"/>
                <w:szCs w:val="20"/>
              </w:rPr>
            </w:pPr>
            <w:r w:rsidRPr="00413114">
              <w:rPr>
                <w:b/>
                <w:bCs/>
                <w:sz w:val="20"/>
                <w:szCs w:val="20"/>
              </w:rPr>
              <w:t>3000</w:t>
            </w:r>
          </w:p>
        </w:tc>
        <w:tc>
          <w:tcPr>
            <w:tcW w:w="1422" w:type="pct"/>
            <w:tcBorders>
              <w:top w:val="nil"/>
              <w:left w:val="nil"/>
              <w:bottom w:val="single" w:sz="4" w:space="0" w:color="auto"/>
              <w:right w:val="single" w:sz="4" w:space="0" w:color="auto"/>
            </w:tcBorders>
            <w:shd w:val="clear" w:color="auto" w:fill="auto"/>
            <w:noWrap/>
            <w:vAlign w:val="center"/>
            <w:hideMark/>
          </w:tcPr>
          <w:p w14:paraId="43B83E92" w14:textId="77777777" w:rsidR="0074074D" w:rsidRPr="00413114" w:rsidRDefault="0074074D" w:rsidP="00405BA7">
            <w:pPr>
              <w:rPr>
                <w:b/>
                <w:bCs/>
                <w:sz w:val="20"/>
                <w:szCs w:val="20"/>
              </w:rPr>
            </w:pPr>
            <w:r w:rsidRPr="00413114">
              <w:rPr>
                <w:b/>
                <w:bCs/>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0E45345E" w14:textId="77777777" w:rsidR="0074074D" w:rsidRPr="00413114" w:rsidRDefault="0074074D" w:rsidP="00405BA7">
            <w:pPr>
              <w:rPr>
                <w:b/>
                <w:bCs/>
                <w:sz w:val="20"/>
                <w:szCs w:val="20"/>
              </w:rPr>
            </w:pPr>
            <w:r w:rsidRPr="00413114">
              <w:rPr>
                <w:b/>
                <w:bCs/>
                <w:sz w:val="20"/>
                <w:szCs w:val="20"/>
              </w:rPr>
              <w:t>1000</w:t>
            </w:r>
          </w:p>
        </w:tc>
      </w:tr>
      <w:tr w:rsidR="0074074D" w:rsidRPr="00066DB4" w14:paraId="0BA8D481"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080A86CC" w14:textId="77777777" w:rsidR="0074074D" w:rsidRDefault="0074074D" w:rsidP="00405BA7">
            <w:pPr>
              <w:rPr>
                <w:sz w:val="20"/>
                <w:szCs w:val="20"/>
              </w:rPr>
            </w:pPr>
            <w:r>
              <w:rPr>
                <w:sz w:val="20"/>
                <w:szCs w:val="20"/>
              </w:rPr>
              <w:t>99.29</w:t>
            </w:r>
          </w:p>
        </w:tc>
        <w:tc>
          <w:tcPr>
            <w:tcW w:w="1078" w:type="pct"/>
            <w:tcBorders>
              <w:top w:val="nil"/>
              <w:left w:val="nil"/>
              <w:bottom w:val="single" w:sz="4" w:space="0" w:color="auto"/>
              <w:right w:val="single" w:sz="4" w:space="0" w:color="auto"/>
            </w:tcBorders>
            <w:shd w:val="clear" w:color="auto" w:fill="auto"/>
            <w:noWrap/>
            <w:vAlign w:val="center"/>
            <w:hideMark/>
          </w:tcPr>
          <w:p w14:paraId="16E1F623"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75AC4EC4" w14:textId="77777777" w:rsidR="0074074D" w:rsidRPr="00413114" w:rsidRDefault="0074074D" w:rsidP="00405BA7">
            <w:pPr>
              <w:rPr>
                <w:b/>
                <w:bCs/>
                <w:sz w:val="20"/>
                <w:szCs w:val="20"/>
              </w:rPr>
            </w:pPr>
            <w:r w:rsidRPr="00413114">
              <w:rPr>
                <w:b/>
                <w:bCs/>
                <w:sz w:val="20"/>
                <w:szCs w:val="20"/>
              </w:rPr>
              <w:t>99.28</w:t>
            </w:r>
          </w:p>
        </w:tc>
        <w:tc>
          <w:tcPr>
            <w:tcW w:w="1078" w:type="pct"/>
            <w:tcBorders>
              <w:top w:val="nil"/>
              <w:left w:val="nil"/>
              <w:bottom w:val="single" w:sz="4" w:space="0" w:color="auto"/>
              <w:right w:val="single" w:sz="4" w:space="0" w:color="auto"/>
            </w:tcBorders>
            <w:shd w:val="clear" w:color="auto" w:fill="auto"/>
            <w:noWrap/>
            <w:vAlign w:val="center"/>
            <w:hideMark/>
          </w:tcPr>
          <w:p w14:paraId="6E569BED" w14:textId="77777777" w:rsidR="0074074D" w:rsidRPr="00413114" w:rsidRDefault="0074074D" w:rsidP="00405BA7">
            <w:pPr>
              <w:rPr>
                <w:b/>
                <w:bCs/>
                <w:sz w:val="20"/>
                <w:szCs w:val="20"/>
              </w:rPr>
            </w:pPr>
            <w:r w:rsidRPr="00413114">
              <w:rPr>
                <w:b/>
                <w:bCs/>
                <w:sz w:val="20"/>
                <w:szCs w:val="20"/>
              </w:rPr>
              <w:t>1000</w:t>
            </w:r>
          </w:p>
        </w:tc>
      </w:tr>
      <w:tr w:rsidR="0074074D" w:rsidRPr="00066DB4" w14:paraId="5C2F2529"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66ED00A6" w14:textId="77777777" w:rsidR="0074074D" w:rsidRDefault="0074074D" w:rsidP="00405BA7">
            <w:pPr>
              <w:rPr>
                <w:sz w:val="20"/>
                <w:szCs w:val="20"/>
              </w:rPr>
            </w:pPr>
            <w:r>
              <w:rPr>
                <w:sz w:val="20"/>
                <w:szCs w:val="20"/>
              </w:rPr>
              <w:t>99.28</w:t>
            </w:r>
          </w:p>
        </w:tc>
        <w:tc>
          <w:tcPr>
            <w:tcW w:w="1078" w:type="pct"/>
            <w:tcBorders>
              <w:top w:val="nil"/>
              <w:left w:val="nil"/>
              <w:bottom w:val="single" w:sz="4" w:space="0" w:color="auto"/>
              <w:right w:val="single" w:sz="4" w:space="0" w:color="auto"/>
            </w:tcBorders>
            <w:shd w:val="clear" w:color="auto" w:fill="auto"/>
            <w:noWrap/>
            <w:vAlign w:val="center"/>
            <w:hideMark/>
          </w:tcPr>
          <w:p w14:paraId="2D3ECB74"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5D0FF13D" w14:textId="77777777" w:rsidR="0074074D" w:rsidRDefault="0074074D" w:rsidP="00405BA7">
            <w:pPr>
              <w:rPr>
                <w:sz w:val="20"/>
                <w:szCs w:val="20"/>
              </w:rPr>
            </w:pPr>
            <w:r>
              <w:rPr>
                <w:sz w:val="20"/>
                <w:szCs w:val="20"/>
              </w:rPr>
              <w:t>99.31</w:t>
            </w:r>
          </w:p>
        </w:tc>
        <w:tc>
          <w:tcPr>
            <w:tcW w:w="1078" w:type="pct"/>
            <w:tcBorders>
              <w:top w:val="nil"/>
              <w:left w:val="nil"/>
              <w:bottom w:val="single" w:sz="4" w:space="0" w:color="auto"/>
              <w:right w:val="single" w:sz="4" w:space="0" w:color="auto"/>
            </w:tcBorders>
            <w:shd w:val="clear" w:color="auto" w:fill="auto"/>
            <w:noWrap/>
            <w:vAlign w:val="center"/>
            <w:hideMark/>
          </w:tcPr>
          <w:p w14:paraId="47A691AB" w14:textId="77777777" w:rsidR="0074074D" w:rsidRDefault="0074074D" w:rsidP="00405BA7">
            <w:pPr>
              <w:rPr>
                <w:sz w:val="20"/>
                <w:szCs w:val="20"/>
              </w:rPr>
            </w:pPr>
            <w:r>
              <w:rPr>
                <w:sz w:val="20"/>
                <w:szCs w:val="20"/>
              </w:rPr>
              <w:t>1000</w:t>
            </w:r>
          </w:p>
        </w:tc>
      </w:tr>
      <w:tr w:rsidR="0074074D" w:rsidRPr="00066DB4" w14:paraId="7D3D68FD"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17B18025" w14:textId="77777777" w:rsidR="0074074D" w:rsidRDefault="0074074D" w:rsidP="00405BA7">
            <w:pPr>
              <w:rPr>
                <w:sz w:val="20"/>
                <w:szCs w:val="20"/>
              </w:rPr>
            </w:pPr>
            <w:r>
              <w:rPr>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0F8DD4A6"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4F23A98A" w14:textId="77777777" w:rsidR="0074074D" w:rsidRDefault="0074074D" w:rsidP="00405BA7">
            <w:pPr>
              <w:rPr>
                <w:sz w:val="20"/>
                <w:szCs w:val="20"/>
              </w:rPr>
            </w:pPr>
          </w:p>
        </w:tc>
        <w:tc>
          <w:tcPr>
            <w:tcW w:w="1078" w:type="pct"/>
            <w:tcBorders>
              <w:top w:val="nil"/>
              <w:left w:val="nil"/>
              <w:bottom w:val="single" w:sz="4" w:space="0" w:color="auto"/>
              <w:right w:val="single" w:sz="4" w:space="0" w:color="auto"/>
            </w:tcBorders>
            <w:shd w:val="clear" w:color="auto" w:fill="auto"/>
            <w:noWrap/>
            <w:vAlign w:val="center"/>
            <w:hideMark/>
          </w:tcPr>
          <w:p w14:paraId="262BE6AE" w14:textId="77777777" w:rsidR="0074074D" w:rsidRDefault="0074074D" w:rsidP="00405BA7">
            <w:pPr>
              <w:rPr>
                <w:sz w:val="20"/>
                <w:szCs w:val="20"/>
              </w:rPr>
            </w:pPr>
          </w:p>
        </w:tc>
      </w:tr>
      <w:tr w:rsidR="0074074D" w:rsidRPr="00066DB4" w14:paraId="4081BFCA"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37F1B290" w14:textId="77777777" w:rsidR="0074074D" w:rsidRDefault="0074074D" w:rsidP="00405BA7">
            <w:pPr>
              <w:rPr>
                <w:sz w:val="20"/>
                <w:szCs w:val="20"/>
              </w:rPr>
            </w:pPr>
            <w:r>
              <w:rPr>
                <w:sz w:val="20"/>
                <w:szCs w:val="20"/>
              </w:rPr>
              <w:t>99.25</w:t>
            </w:r>
          </w:p>
        </w:tc>
        <w:tc>
          <w:tcPr>
            <w:tcW w:w="1078" w:type="pct"/>
            <w:tcBorders>
              <w:top w:val="nil"/>
              <w:left w:val="nil"/>
              <w:bottom w:val="single" w:sz="4" w:space="0" w:color="auto"/>
              <w:right w:val="single" w:sz="4" w:space="0" w:color="auto"/>
            </w:tcBorders>
            <w:shd w:val="clear" w:color="auto" w:fill="auto"/>
            <w:noWrap/>
            <w:vAlign w:val="center"/>
            <w:hideMark/>
          </w:tcPr>
          <w:p w14:paraId="4E5C1381"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3D6529DC" w14:textId="77777777" w:rsidR="0074074D" w:rsidRDefault="0074074D" w:rsidP="00405BA7">
            <w:pPr>
              <w:rPr>
                <w:sz w:val="20"/>
                <w:szCs w:val="20"/>
              </w:rPr>
            </w:pPr>
          </w:p>
        </w:tc>
        <w:tc>
          <w:tcPr>
            <w:tcW w:w="1078" w:type="pct"/>
            <w:tcBorders>
              <w:top w:val="nil"/>
              <w:left w:val="nil"/>
              <w:bottom w:val="single" w:sz="4" w:space="0" w:color="auto"/>
              <w:right w:val="single" w:sz="4" w:space="0" w:color="auto"/>
            </w:tcBorders>
            <w:shd w:val="clear" w:color="auto" w:fill="auto"/>
            <w:noWrap/>
            <w:vAlign w:val="center"/>
            <w:hideMark/>
          </w:tcPr>
          <w:p w14:paraId="6D03A945" w14:textId="77777777" w:rsidR="0074074D" w:rsidRDefault="0074074D" w:rsidP="00405BA7">
            <w:pPr>
              <w:rPr>
                <w:sz w:val="20"/>
                <w:szCs w:val="20"/>
              </w:rPr>
            </w:pPr>
          </w:p>
        </w:tc>
      </w:tr>
    </w:tbl>
    <w:p w14:paraId="4CA78ECF" w14:textId="77777777" w:rsidR="0074074D" w:rsidRPr="00066DB4" w:rsidRDefault="0074074D" w:rsidP="0074074D">
      <w:pPr>
        <w:rPr>
          <w:sz w:val="20"/>
          <w:szCs w:val="20"/>
        </w:rPr>
      </w:pPr>
      <w:r>
        <w:rPr>
          <w:rFonts w:hint="eastAsia"/>
          <w:sz w:val="20"/>
          <w:szCs w:val="20"/>
        </w:rPr>
        <w:t>开盘价选择：开盘价</w:t>
      </w:r>
      <w:r>
        <w:rPr>
          <w:sz w:val="20"/>
          <w:szCs w:val="20"/>
        </w:rPr>
        <w:t>99.30</w:t>
      </w:r>
      <w:r>
        <w:rPr>
          <w:rFonts w:hint="eastAsia"/>
          <w:sz w:val="20"/>
          <w:szCs w:val="20"/>
        </w:rPr>
        <w:t>，成交量</w:t>
      </w:r>
      <w:r>
        <w:rPr>
          <w:sz w:val="20"/>
          <w:szCs w:val="20"/>
        </w:rPr>
        <w:t>2000</w:t>
      </w:r>
      <w:r>
        <w:rPr>
          <w:rFonts w:hint="eastAsia"/>
          <w:sz w:val="20"/>
          <w:szCs w:val="20"/>
        </w:rPr>
        <w:t>，相同价位未匹配报价量</w:t>
      </w:r>
      <w:r>
        <w:rPr>
          <w:sz w:val="20"/>
          <w:szCs w:val="20"/>
        </w:rPr>
        <w:t>1000</w:t>
      </w:r>
      <w:r>
        <w:rPr>
          <w:rFonts w:hint="eastAsia"/>
          <w:sz w:val="20"/>
          <w:szCs w:val="20"/>
        </w:rPr>
        <w:t>。</w:t>
      </w:r>
    </w:p>
    <w:tbl>
      <w:tblPr>
        <w:tblW w:w="5000" w:type="pct"/>
        <w:jc w:val="center"/>
        <w:tblLook w:val="04A0" w:firstRow="1" w:lastRow="0" w:firstColumn="1" w:lastColumn="0" w:noHBand="0" w:noVBand="1"/>
      </w:tblPr>
      <w:tblGrid>
        <w:gridCol w:w="1787"/>
        <w:gridCol w:w="4216"/>
        <w:gridCol w:w="994"/>
        <w:gridCol w:w="2353"/>
      </w:tblGrid>
      <w:tr w:rsidR="0074074D" w:rsidRPr="00066DB4" w14:paraId="56EB480E" w14:textId="77777777" w:rsidTr="00405BA7">
        <w:trPr>
          <w:trHeight w:val="270"/>
          <w:jc w:val="center"/>
        </w:trPr>
        <w:tc>
          <w:tcPr>
            <w:tcW w:w="110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E80A7" w14:textId="77777777" w:rsidR="0074074D" w:rsidRPr="00066DB4" w:rsidRDefault="0074074D" w:rsidP="00405BA7">
            <w:pPr>
              <w:rPr>
                <w:sz w:val="20"/>
                <w:szCs w:val="20"/>
              </w:rPr>
            </w:pPr>
            <w:r>
              <w:rPr>
                <w:rFonts w:hint="eastAsia"/>
                <w:sz w:val="20"/>
                <w:szCs w:val="20"/>
              </w:rPr>
              <w:t>价位</w:t>
            </w:r>
          </w:p>
        </w:tc>
        <w:tc>
          <w:tcPr>
            <w:tcW w:w="1795" w:type="pct"/>
            <w:tcBorders>
              <w:top w:val="single" w:sz="4" w:space="0" w:color="auto"/>
              <w:left w:val="nil"/>
              <w:bottom w:val="single" w:sz="4" w:space="0" w:color="auto"/>
              <w:right w:val="single" w:sz="4" w:space="0" w:color="auto"/>
            </w:tcBorders>
            <w:shd w:val="clear" w:color="auto" w:fill="auto"/>
            <w:noWrap/>
            <w:vAlign w:val="center"/>
            <w:hideMark/>
          </w:tcPr>
          <w:p w14:paraId="543A5E42" w14:textId="77777777" w:rsidR="0074074D" w:rsidRPr="00066DB4" w:rsidRDefault="0074074D" w:rsidP="00405BA7">
            <w:pPr>
              <w:rPr>
                <w:sz w:val="20"/>
                <w:szCs w:val="20"/>
              </w:rPr>
            </w:pPr>
            <w:r>
              <w:rPr>
                <w:rFonts w:hint="eastAsia"/>
                <w:sz w:val="20"/>
                <w:szCs w:val="20"/>
              </w:rPr>
              <w:t>是否满足更优报价全成交、同价位单边全成交</w:t>
            </w:r>
          </w:p>
        </w:tc>
        <w:tc>
          <w:tcPr>
            <w:tcW w:w="685" w:type="pct"/>
            <w:tcBorders>
              <w:top w:val="single" w:sz="4" w:space="0" w:color="auto"/>
              <w:left w:val="nil"/>
              <w:bottom w:val="single" w:sz="4" w:space="0" w:color="auto"/>
              <w:right w:val="single" w:sz="4" w:space="0" w:color="auto"/>
            </w:tcBorders>
            <w:shd w:val="clear" w:color="auto" w:fill="auto"/>
            <w:noWrap/>
            <w:vAlign w:val="center"/>
            <w:hideMark/>
          </w:tcPr>
          <w:p w14:paraId="5E3EF0C7" w14:textId="77777777" w:rsidR="0074074D" w:rsidRPr="00066DB4" w:rsidRDefault="0074074D" w:rsidP="00405BA7">
            <w:pPr>
              <w:rPr>
                <w:sz w:val="20"/>
                <w:szCs w:val="20"/>
              </w:rPr>
            </w:pPr>
            <w:r>
              <w:rPr>
                <w:rFonts w:hint="eastAsia"/>
                <w:sz w:val="20"/>
                <w:szCs w:val="20"/>
              </w:rPr>
              <w:t>成交量</w:t>
            </w:r>
          </w:p>
        </w:tc>
        <w:tc>
          <w:tcPr>
            <w:tcW w:w="1411" w:type="pct"/>
            <w:tcBorders>
              <w:top w:val="single" w:sz="4" w:space="0" w:color="auto"/>
              <w:left w:val="nil"/>
              <w:bottom w:val="single" w:sz="4" w:space="0" w:color="auto"/>
              <w:right w:val="single" w:sz="4" w:space="0" w:color="auto"/>
            </w:tcBorders>
            <w:shd w:val="clear" w:color="auto" w:fill="auto"/>
            <w:noWrap/>
            <w:vAlign w:val="center"/>
            <w:hideMark/>
          </w:tcPr>
          <w:p w14:paraId="2FA7E43A" w14:textId="77777777" w:rsidR="0074074D" w:rsidRPr="00066DB4" w:rsidRDefault="0074074D" w:rsidP="00405BA7">
            <w:pPr>
              <w:rPr>
                <w:sz w:val="20"/>
                <w:szCs w:val="20"/>
              </w:rPr>
            </w:pPr>
            <w:r>
              <w:rPr>
                <w:rFonts w:hint="eastAsia"/>
                <w:sz w:val="20"/>
                <w:szCs w:val="20"/>
              </w:rPr>
              <w:t>未匹配报价量</w:t>
            </w:r>
          </w:p>
        </w:tc>
      </w:tr>
      <w:tr w:rsidR="0074074D" w:rsidRPr="00066DB4" w14:paraId="187E3840" w14:textId="77777777" w:rsidTr="00405BA7">
        <w:trPr>
          <w:trHeight w:val="27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1B3829C3" w14:textId="77777777" w:rsidR="0074074D" w:rsidRPr="00413114" w:rsidRDefault="0074074D" w:rsidP="00405BA7">
            <w:pPr>
              <w:rPr>
                <w:b/>
                <w:bCs/>
                <w:sz w:val="20"/>
                <w:szCs w:val="20"/>
              </w:rPr>
            </w:pPr>
            <w:r w:rsidRPr="00413114">
              <w:rPr>
                <w:b/>
                <w:bCs/>
                <w:sz w:val="20"/>
                <w:szCs w:val="20"/>
              </w:rPr>
              <w:t>99.30</w:t>
            </w:r>
          </w:p>
        </w:tc>
        <w:tc>
          <w:tcPr>
            <w:tcW w:w="1795" w:type="pct"/>
            <w:tcBorders>
              <w:top w:val="nil"/>
              <w:left w:val="nil"/>
              <w:bottom w:val="single" w:sz="4" w:space="0" w:color="auto"/>
              <w:right w:val="single" w:sz="4" w:space="0" w:color="auto"/>
            </w:tcBorders>
            <w:shd w:val="clear" w:color="auto" w:fill="auto"/>
            <w:noWrap/>
            <w:vAlign w:val="center"/>
            <w:hideMark/>
          </w:tcPr>
          <w:p w14:paraId="54A6EE29" w14:textId="77777777" w:rsidR="0074074D" w:rsidRPr="00413114" w:rsidRDefault="0074074D" w:rsidP="00405BA7">
            <w:pPr>
              <w:rPr>
                <w:b/>
                <w:bCs/>
                <w:sz w:val="20"/>
                <w:szCs w:val="20"/>
              </w:rPr>
            </w:pPr>
            <w:r w:rsidRPr="00413114">
              <w:rPr>
                <w:rFonts w:hint="eastAsia"/>
                <w:b/>
                <w:bCs/>
                <w:sz w:val="20"/>
                <w:szCs w:val="20"/>
              </w:rPr>
              <w:t>是</w:t>
            </w:r>
          </w:p>
        </w:tc>
        <w:tc>
          <w:tcPr>
            <w:tcW w:w="685" w:type="pct"/>
            <w:tcBorders>
              <w:top w:val="nil"/>
              <w:left w:val="nil"/>
              <w:bottom w:val="single" w:sz="4" w:space="0" w:color="auto"/>
              <w:right w:val="single" w:sz="4" w:space="0" w:color="auto"/>
            </w:tcBorders>
            <w:shd w:val="clear" w:color="auto" w:fill="auto"/>
            <w:noWrap/>
            <w:vAlign w:val="center"/>
            <w:hideMark/>
          </w:tcPr>
          <w:p w14:paraId="230B904F" w14:textId="77777777" w:rsidR="0074074D" w:rsidRPr="00413114" w:rsidRDefault="0074074D" w:rsidP="00405BA7">
            <w:pPr>
              <w:rPr>
                <w:b/>
                <w:bCs/>
                <w:sz w:val="20"/>
                <w:szCs w:val="20"/>
              </w:rPr>
            </w:pPr>
            <w:r w:rsidRPr="00413114">
              <w:rPr>
                <w:b/>
                <w:bCs/>
                <w:sz w:val="20"/>
                <w:szCs w:val="20"/>
              </w:rPr>
              <w:t>2000</w:t>
            </w:r>
          </w:p>
        </w:tc>
        <w:tc>
          <w:tcPr>
            <w:tcW w:w="1411" w:type="pct"/>
            <w:tcBorders>
              <w:top w:val="nil"/>
              <w:left w:val="nil"/>
              <w:bottom w:val="single" w:sz="4" w:space="0" w:color="auto"/>
              <w:right w:val="single" w:sz="4" w:space="0" w:color="auto"/>
            </w:tcBorders>
            <w:shd w:val="clear" w:color="auto" w:fill="auto"/>
            <w:noWrap/>
            <w:vAlign w:val="center"/>
            <w:hideMark/>
          </w:tcPr>
          <w:p w14:paraId="0DABF261" w14:textId="77777777" w:rsidR="0074074D" w:rsidRPr="00413114" w:rsidRDefault="0074074D" w:rsidP="00405BA7">
            <w:pPr>
              <w:rPr>
                <w:b/>
                <w:bCs/>
                <w:sz w:val="20"/>
                <w:szCs w:val="20"/>
              </w:rPr>
            </w:pPr>
            <w:r w:rsidRPr="00413114">
              <w:rPr>
                <w:b/>
                <w:bCs/>
                <w:sz w:val="20"/>
                <w:szCs w:val="20"/>
              </w:rPr>
              <w:t>1000</w:t>
            </w:r>
          </w:p>
        </w:tc>
      </w:tr>
      <w:tr w:rsidR="0074074D" w:rsidRPr="00066DB4" w14:paraId="23751846" w14:textId="77777777" w:rsidTr="00405BA7">
        <w:trPr>
          <w:trHeight w:val="27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3D40ADE4" w14:textId="77777777" w:rsidR="0074074D" w:rsidRDefault="0074074D" w:rsidP="00405BA7">
            <w:pPr>
              <w:rPr>
                <w:sz w:val="20"/>
                <w:szCs w:val="20"/>
              </w:rPr>
            </w:pPr>
            <w:r>
              <w:rPr>
                <w:sz w:val="20"/>
                <w:szCs w:val="20"/>
              </w:rPr>
              <w:t>99.29</w:t>
            </w:r>
          </w:p>
        </w:tc>
        <w:tc>
          <w:tcPr>
            <w:tcW w:w="1795" w:type="pct"/>
            <w:tcBorders>
              <w:top w:val="nil"/>
              <w:left w:val="nil"/>
              <w:bottom w:val="single" w:sz="4" w:space="0" w:color="auto"/>
              <w:right w:val="single" w:sz="4" w:space="0" w:color="auto"/>
            </w:tcBorders>
            <w:shd w:val="clear" w:color="auto" w:fill="auto"/>
            <w:noWrap/>
            <w:vAlign w:val="center"/>
            <w:hideMark/>
          </w:tcPr>
          <w:p w14:paraId="755BD7F8" w14:textId="77777777" w:rsidR="0074074D" w:rsidRDefault="0074074D" w:rsidP="00405BA7">
            <w:pPr>
              <w:rPr>
                <w:sz w:val="20"/>
                <w:szCs w:val="20"/>
              </w:rPr>
            </w:pPr>
            <w:r>
              <w:rPr>
                <w:rFonts w:hint="eastAsia"/>
                <w:sz w:val="20"/>
                <w:szCs w:val="20"/>
              </w:rPr>
              <w:t>否</w:t>
            </w:r>
          </w:p>
        </w:tc>
        <w:tc>
          <w:tcPr>
            <w:tcW w:w="685" w:type="pct"/>
            <w:tcBorders>
              <w:top w:val="nil"/>
              <w:left w:val="nil"/>
              <w:bottom w:val="single" w:sz="4" w:space="0" w:color="auto"/>
              <w:right w:val="single" w:sz="4" w:space="0" w:color="auto"/>
            </w:tcBorders>
            <w:shd w:val="clear" w:color="auto" w:fill="auto"/>
            <w:noWrap/>
            <w:vAlign w:val="center"/>
            <w:hideMark/>
          </w:tcPr>
          <w:p w14:paraId="5F79449F" w14:textId="77777777" w:rsidR="0074074D" w:rsidRDefault="0074074D" w:rsidP="00405BA7">
            <w:pPr>
              <w:rPr>
                <w:sz w:val="20"/>
                <w:szCs w:val="20"/>
              </w:rPr>
            </w:pPr>
            <w:r>
              <w:rPr>
                <w:sz w:val="20"/>
                <w:szCs w:val="20"/>
              </w:rPr>
              <w:t>2000</w:t>
            </w:r>
          </w:p>
        </w:tc>
        <w:tc>
          <w:tcPr>
            <w:tcW w:w="1411" w:type="pct"/>
            <w:tcBorders>
              <w:top w:val="nil"/>
              <w:left w:val="nil"/>
              <w:bottom w:val="single" w:sz="4" w:space="0" w:color="auto"/>
              <w:right w:val="single" w:sz="4" w:space="0" w:color="auto"/>
            </w:tcBorders>
            <w:shd w:val="clear" w:color="auto" w:fill="auto"/>
            <w:noWrap/>
            <w:vAlign w:val="center"/>
            <w:hideMark/>
          </w:tcPr>
          <w:p w14:paraId="4A4A6798" w14:textId="77777777" w:rsidR="0074074D" w:rsidRDefault="0074074D" w:rsidP="00405BA7">
            <w:pPr>
              <w:rPr>
                <w:sz w:val="20"/>
                <w:szCs w:val="20"/>
              </w:rPr>
            </w:pPr>
            <w:r>
              <w:rPr>
                <w:sz w:val="20"/>
                <w:szCs w:val="20"/>
              </w:rPr>
              <w:t>2000</w:t>
            </w:r>
          </w:p>
        </w:tc>
      </w:tr>
      <w:tr w:rsidR="0074074D" w:rsidRPr="00066DB4" w14:paraId="3FE1BCA4" w14:textId="77777777" w:rsidTr="00405BA7">
        <w:trPr>
          <w:trHeight w:val="270"/>
          <w:jc w:val="center"/>
        </w:trPr>
        <w:tc>
          <w:tcPr>
            <w:tcW w:w="1109" w:type="pct"/>
            <w:tcBorders>
              <w:top w:val="nil"/>
              <w:left w:val="single" w:sz="4" w:space="0" w:color="auto"/>
              <w:bottom w:val="single" w:sz="4" w:space="0" w:color="auto"/>
              <w:right w:val="single" w:sz="4" w:space="0" w:color="auto"/>
            </w:tcBorders>
            <w:shd w:val="clear" w:color="auto" w:fill="auto"/>
            <w:noWrap/>
            <w:vAlign w:val="center"/>
            <w:hideMark/>
          </w:tcPr>
          <w:p w14:paraId="5E30F80A" w14:textId="77777777" w:rsidR="0074074D" w:rsidRDefault="0074074D" w:rsidP="00405BA7">
            <w:pPr>
              <w:rPr>
                <w:sz w:val="20"/>
                <w:szCs w:val="20"/>
              </w:rPr>
            </w:pPr>
            <w:r>
              <w:rPr>
                <w:sz w:val="20"/>
                <w:szCs w:val="20"/>
              </w:rPr>
              <w:t>99.28</w:t>
            </w:r>
          </w:p>
        </w:tc>
        <w:tc>
          <w:tcPr>
            <w:tcW w:w="1795" w:type="pct"/>
            <w:tcBorders>
              <w:top w:val="nil"/>
              <w:left w:val="nil"/>
              <w:bottom w:val="single" w:sz="4" w:space="0" w:color="auto"/>
              <w:right w:val="single" w:sz="4" w:space="0" w:color="auto"/>
            </w:tcBorders>
            <w:shd w:val="clear" w:color="auto" w:fill="auto"/>
            <w:noWrap/>
            <w:vAlign w:val="center"/>
            <w:hideMark/>
          </w:tcPr>
          <w:p w14:paraId="17A883D5" w14:textId="77777777" w:rsidR="0074074D" w:rsidRDefault="0074074D" w:rsidP="00405BA7">
            <w:pPr>
              <w:rPr>
                <w:sz w:val="20"/>
                <w:szCs w:val="20"/>
              </w:rPr>
            </w:pPr>
            <w:r>
              <w:rPr>
                <w:rFonts w:hint="eastAsia"/>
                <w:sz w:val="20"/>
                <w:szCs w:val="20"/>
              </w:rPr>
              <w:t>否</w:t>
            </w:r>
          </w:p>
        </w:tc>
        <w:tc>
          <w:tcPr>
            <w:tcW w:w="685" w:type="pct"/>
            <w:tcBorders>
              <w:top w:val="nil"/>
              <w:left w:val="nil"/>
              <w:bottom w:val="single" w:sz="4" w:space="0" w:color="auto"/>
              <w:right w:val="single" w:sz="4" w:space="0" w:color="auto"/>
            </w:tcBorders>
            <w:shd w:val="clear" w:color="auto" w:fill="auto"/>
            <w:noWrap/>
            <w:vAlign w:val="center"/>
            <w:hideMark/>
          </w:tcPr>
          <w:p w14:paraId="36D640F2" w14:textId="77777777" w:rsidR="0074074D" w:rsidRDefault="0074074D" w:rsidP="00405BA7">
            <w:pPr>
              <w:rPr>
                <w:sz w:val="20"/>
                <w:szCs w:val="20"/>
              </w:rPr>
            </w:pPr>
            <w:r>
              <w:rPr>
                <w:sz w:val="20"/>
                <w:szCs w:val="20"/>
              </w:rPr>
              <w:t>2000</w:t>
            </w:r>
          </w:p>
        </w:tc>
        <w:tc>
          <w:tcPr>
            <w:tcW w:w="1411" w:type="pct"/>
            <w:tcBorders>
              <w:top w:val="nil"/>
              <w:left w:val="nil"/>
              <w:bottom w:val="single" w:sz="4" w:space="0" w:color="auto"/>
              <w:right w:val="single" w:sz="4" w:space="0" w:color="auto"/>
            </w:tcBorders>
            <w:shd w:val="clear" w:color="auto" w:fill="auto"/>
            <w:noWrap/>
            <w:vAlign w:val="center"/>
            <w:hideMark/>
          </w:tcPr>
          <w:p w14:paraId="54865117" w14:textId="77777777" w:rsidR="0074074D" w:rsidRDefault="0074074D" w:rsidP="00405BA7">
            <w:pPr>
              <w:rPr>
                <w:sz w:val="20"/>
                <w:szCs w:val="20"/>
              </w:rPr>
            </w:pPr>
            <w:r>
              <w:rPr>
                <w:sz w:val="20"/>
                <w:szCs w:val="20"/>
              </w:rPr>
              <w:t>3000</w:t>
            </w:r>
          </w:p>
        </w:tc>
      </w:tr>
    </w:tbl>
    <w:p w14:paraId="520EBEE3" w14:textId="77777777" w:rsidR="0074074D" w:rsidRDefault="0074074D" w:rsidP="0074074D">
      <w:pPr>
        <w:rPr>
          <w:sz w:val="20"/>
          <w:szCs w:val="20"/>
        </w:rPr>
      </w:pPr>
      <w:r w:rsidRPr="00711AB2">
        <w:rPr>
          <w:rFonts w:hint="eastAsia"/>
          <w:sz w:val="20"/>
          <w:szCs w:val="20"/>
        </w:rPr>
        <w:t>示例</w:t>
      </w:r>
      <w:r w:rsidRPr="00711AB2">
        <w:rPr>
          <w:sz w:val="20"/>
          <w:szCs w:val="20"/>
        </w:rPr>
        <w:t>4</w:t>
      </w:r>
      <w:r w:rsidRPr="00711AB2">
        <w:rPr>
          <w:rFonts w:hint="eastAsia"/>
          <w:sz w:val="20"/>
          <w:szCs w:val="20"/>
        </w:rPr>
        <w:t>：</w:t>
      </w:r>
    </w:p>
    <w:tbl>
      <w:tblPr>
        <w:tblW w:w="5000" w:type="pct"/>
        <w:tblLook w:val="04A0" w:firstRow="1" w:lastRow="0" w:firstColumn="1" w:lastColumn="0" w:noHBand="0" w:noVBand="1"/>
      </w:tblPr>
      <w:tblGrid>
        <w:gridCol w:w="2659"/>
        <w:gridCol w:w="2016"/>
        <w:gridCol w:w="2659"/>
        <w:gridCol w:w="2016"/>
      </w:tblGrid>
      <w:tr w:rsidR="0074074D" w:rsidRPr="00066DB4" w14:paraId="3946517E" w14:textId="77777777" w:rsidTr="00405BA7">
        <w:trPr>
          <w:trHeight w:val="270"/>
        </w:trPr>
        <w:tc>
          <w:tcPr>
            <w:tcW w:w="2500"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ABDE61B" w14:textId="77777777" w:rsidR="0074074D" w:rsidRDefault="0074074D" w:rsidP="00405BA7">
            <w:pPr>
              <w:rPr>
                <w:sz w:val="20"/>
                <w:szCs w:val="20"/>
              </w:rPr>
            </w:pPr>
            <w:r w:rsidRPr="00066DB4">
              <w:rPr>
                <w:rFonts w:hint="eastAsia"/>
                <w:sz w:val="20"/>
                <w:szCs w:val="20"/>
              </w:rPr>
              <w:t>买入报价</w:t>
            </w:r>
          </w:p>
        </w:tc>
        <w:tc>
          <w:tcPr>
            <w:tcW w:w="2500"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23152E8" w14:textId="77777777" w:rsidR="0074074D" w:rsidRDefault="0074074D" w:rsidP="00405BA7">
            <w:pPr>
              <w:rPr>
                <w:sz w:val="20"/>
                <w:szCs w:val="20"/>
              </w:rPr>
            </w:pPr>
            <w:r w:rsidRPr="00066DB4">
              <w:rPr>
                <w:rFonts w:hint="eastAsia"/>
                <w:sz w:val="20"/>
                <w:szCs w:val="20"/>
              </w:rPr>
              <w:t>卖出报价</w:t>
            </w:r>
          </w:p>
        </w:tc>
      </w:tr>
      <w:tr w:rsidR="0074074D" w:rsidRPr="00066DB4" w14:paraId="47F73E14"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59B125FE" w14:textId="77777777" w:rsidR="0074074D" w:rsidRDefault="0074074D" w:rsidP="00405BA7">
            <w:pPr>
              <w:rPr>
                <w:sz w:val="20"/>
                <w:szCs w:val="20"/>
              </w:rPr>
            </w:pPr>
            <w:r>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7C0B5C3C" w14:textId="77777777" w:rsidR="0074074D" w:rsidRDefault="0074074D" w:rsidP="00405BA7">
            <w:pPr>
              <w:rPr>
                <w:sz w:val="20"/>
                <w:szCs w:val="20"/>
              </w:rPr>
            </w:pPr>
            <w:r>
              <w:rPr>
                <w:rFonts w:hint="eastAsia"/>
                <w:sz w:val="20"/>
                <w:szCs w:val="20"/>
              </w:rPr>
              <w:t>报价量（万）</w:t>
            </w:r>
          </w:p>
        </w:tc>
        <w:tc>
          <w:tcPr>
            <w:tcW w:w="1422" w:type="pct"/>
            <w:tcBorders>
              <w:top w:val="nil"/>
              <w:left w:val="nil"/>
              <w:bottom w:val="single" w:sz="4" w:space="0" w:color="auto"/>
              <w:right w:val="single" w:sz="4" w:space="0" w:color="auto"/>
            </w:tcBorders>
            <w:shd w:val="clear" w:color="auto" w:fill="auto"/>
            <w:noWrap/>
            <w:vAlign w:val="center"/>
            <w:hideMark/>
          </w:tcPr>
          <w:p w14:paraId="5ADE5744" w14:textId="77777777" w:rsidR="0074074D" w:rsidRDefault="0074074D" w:rsidP="00405BA7">
            <w:pPr>
              <w:rPr>
                <w:sz w:val="20"/>
                <w:szCs w:val="20"/>
              </w:rPr>
            </w:pPr>
            <w:r>
              <w:rPr>
                <w:rFonts w:hint="eastAsia"/>
                <w:sz w:val="20"/>
                <w:szCs w:val="20"/>
              </w:rPr>
              <w:t>净价（元）</w:t>
            </w:r>
          </w:p>
        </w:tc>
        <w:tc>
          <w:tcPr>
            <w:tcW w:w="1078" w:type="pct"/>
            <w:tcBorders>
              <w:top w:val="nil"/>
              <w:left w:val="nil"/>
              <w:bottom w:val="single" w:sz="4" w:space="0" w:color="auto"/>
              <w:right w:val="single" w:sz="4" w:space="0" w:color="auto"/>
            </w:tcBorders>
            <w:shd w:val="clear" w:color="auto" w:fill="auto"/>
            <w:noWrap/>
            <w:vAlign w:val="center"/>
            <w:hideMark/>
          </w:tcPr>
          <w:p w14:paraId="1EC6B415" w14:textId="77777777" w:rsidR="0074074D" w:rsidRDefault="0074074D" w:rsidP="00405BA7">
            <w:pPr>
              <w:rPr>
                <w:sz w:val="20"/>
                <w:szCs w:val="20"/>
              </w:rPr>
            </w:pPr>
            <w:r>
              <w:rPr>
                <w:rFonts w:hint="eastAsia"/>
                <w:sz w:val="20"/>
                <w:szCs w:val="20"/>
              </w:rPr>
              <w:t>报价量（万）</w:t>
            </w:r>
          </w:p>
        </w:tc>
      </w:tr>
      <w:tr w:rsidR="0074074D" w:rsidRPr="00066DB4" w14:paraId="7B379490"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731564CC" w14:textId="77777777" w:rsidR="0074074D" w:rsidRPr="00413114" w:rsidRDefault="0074074D" w:rsidP="00405BA7">
            <w:pPr>
              <w:rPr>
                <w:b/>
                <w:bCs/>
                <w:sz w:val="20"/>
                <w:szCs w:val="20"/>
              </w:rPr>
            </w:pPr>
            <w:r w:rsidRPr="00413114">
              <w:rPr>
                <w:b/>
                <w:bCs/>
                <w:sz w:val="20"/>
                <w:szCs w:val="20"/>
              </w:rPr>
              <w:lastRenderedPageBreak/>
              <w:t>99.31</w:t>
            </w:r>
          </w:p>
        </w:tc>
        <w:tc>
          <w:tcPr>
            <w:tcW w:w="1078" w:type="pct"/>
            <w:tcBorders>
              <w:top w:val="nil"/>
              <w:left w:val="nil"/>
              <w:bottom w:val="single" w:sz="4" w:space="0" w:color="auto"/>
              <w:right w:val="single" w:sz="4" w:space="0" w:color="auto"/>
            </w:tcBorders>
            <w:shd w:val="clear" w:color="auto" w:fill="auto"/>
            <w:noWrap/>
            <w:vAlign w:val="center"/>
            <w:hideMark/>
          </w:tcPr>
          <w:p w14:paraId="16C8D6A8" w14:textId="77777777" w:rsidR="0074074D" w:rsidRPr="00413114" w:rsidRDefault="0074074D" w:rsidP="00405BA7">
            <w:pPr>
              <w:rPr>
                <w:b/>
                <w:bCs/>
                <w:sz w:val="20"/>
                <w:szCs w:val="20"/>
              </w:rPr>
            </w:pPr>
            <w:r w:rsidRPr="00413114">
              <w:rPr>
                <w:b/>
                <w:bCs/>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31DF97EA" w14:textId="77777777" w:rsidR="0074074D" w:rsidRPr="00413114" w:rsidRDefault="0074074D" w:rsidP="00405BA7">
            <w:pPr>
              <w:rPr>
                <w:b/>
                <w:bCs/>
                <w:sz w:val="20"/>
                <w:szCs w:val="20"/>
              </w:rPr>
            </w:pPr>
            <w:r w:rsidRPr="00413114">
              <w:rPr>
                <w:b/>
                <w:bCs/>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69D3BE47" w14:textId="77777777" w:rsidR="0074074D" w:rsidRPr="00413114" w:rsidRDefault="0074074D" w:rsidP="00405BA7">
            <w:pPr>
              <w:rPr>
                <w:b/>
                <w:bCs/>
                <w:sz w:val="20"/>
                <w:szCs w:val="20"/>
              </w:rPr>
            </w:pPr>
            <w:r w:rsidRPr="00413114">
              <w:rPr>
                <w:b/>
                <w:bCs/>
                <w:sz w:val="20"/>
                <w:szCs w:val="20"/>
              </w:rPr>
              <w:t>1000</w:t>
            </w:r>
          </w:p>
        </w:tc>
      </w:tr>
      <w:tr w:rsidR="0074074D" w:rsidRPr="00066DB4" w14:paraId="38CEDAD6"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1E4B524C" w14:textId="77777777" w:rsidR="0074074D" w:rsidRDefault="0074074D" w:rsidP="00405BA7">
            <w:pPr>
              <w:rPr>
                <w:sz w:val="20"/>
                <w:szCs w:val="20"/>
              </w:rPr>
            </w:pPr>
            <w:r>
              <w:rPr>
                <w:sz w:val="20"/>
                <w:szCs w:val="20"/>
              </w:rPr>
              <w:t>99.26</w:t>
            </w:r>
          </w:p>
        </w:tc>
        <w:tc>
          <w:tcPr>
            <w:tcW w:w="1078" w:type="pct"/>
            <w:tcBorders>
              <w:top w:val="nil"/>
              <w:left w:val="nil"/>
              <w:bottom w:val="single" w:sz="4" w:space="0" w:color="auto"/>
              <w:right w:val="single" w:sz="4" w:space="0" w:color="auto"/>
            </w:tcBorders>
            <w:shd w:val="clear" w:color="auto" w:fill="auto"/>
            <w:noWrap/>
            <w:vAlign w:val="center"/>
            <w:hideMark/>
          </w:tcPr>
          <w:p w14:paraId="4AA0FC5C"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1CFE2B98" w14:textId="77777777" w:rsidR="0074074D" w:rsidRDefault="0074074D" w:rsidP="00405BA7">
            <w:pPr>
              <w:rPr>
                <w:sz w:val="20"/>
                <w:szCs w:val="20"/>
              </w:rPr>
            </w:pPr>
            <w:r>
              <w:rPr>
                <w:sz w:val="20"/>
                <w:szCs w:val="20"/>
              </w:rPr>
              <w:t>99.31</w:t>
            </w:r>
          </w:p>
        </w:tc>
        <w:tc>
          <w:tcPr>
            <w:tcW w:w="1078" w:type="pct"/>
            <w:tcBorders>
              <w:top w:val="nil"/>
              <w:left w:val="nil"/>
              <w:bottom w:val="single" w:sz="4" w:space="0" w:color="auto"/>
              <w:right w:val="single" w:sz="4" w:space="0" w:color="auto"/>
            </w:tcBorders>
            <w:shd w:val="clear" w:color="auto" w:fill="auto"/>
            <w:noWrap/>
            <w:vAlign w:val="center"/>
            <w:hideMark/>
          </w:tcPr>
          <w:p w14:paraId="5DDB1559" w14:textId="77777777" w:rsidR="0074074D" w:rsidRDefault="0074074D" w:rsidP="00405BA7">
            <w:pPr>
              <w:rPr>
                <w:sz w:val="20"/>
                <w:szCs w:val="20"/>
              </w:rPr>
            </w:pPr>
            <w:r>
              <w:rPr>
                <w:sz w:val="20"/>
                <w:szCs w:val="20"/>
              </w:rPr>
              <w:t>1000</w:t>
            </w:r>
          </w:p>
        </w:tc>
      </w:tr>
      <w:tr w:rsidR="0074074D" w:rsidRPr="00066DB4" w14:paraId="066C7574" w14:textId="77777777" w:rsidTr="00405BA7">
        <w:trPr>
          <w:trHeight w:val="270"/>
        </w:trPr>
        <w:tc>
          <w:tcPr>
            <w:tcW w:w="1422" w:type="pct"/>
            <w:tcBorders>
              <w:top w:val="nil"/>
              <w:left w:val="single" w:sz="4" w:space="0" w:color="auto"/>
              <w:bottom w:val="single" w:sz="4" w:space="0" w:color="auto"/>
              <w:right w:val="single" w:sz="4" w:space="0" w:color="auto"/>
            </w:tcBorders>
            <w:shd w:val="clear" w:color="auto" w:fill="auto"/>
            <w:noWrap/>
            <w:vAlign w:val="center"/>
            <w:hideMark/>
          </w:tcPr>
          <w:p w14:paraId="72AE25F8" w14:textId="77777777" w:rsidR="0074074D" w:rsidRDefault="0074074D" w:rsidP="00405BA7">
            <w:pPr>
              <w:rPr>
                <w:sz w:val="20"/>
                <w:szCs w:val="20"/>
              </w:rPr>
            </w:pPr>
            <w:r>
              <w:rPr>
                <w:sz w:val="20"/>
                <w:szCs w:val="20"/>
              </w:rPr>
              <w:t>99.25</w:t>
            </w:r>
          </w:p>
        </w:tc>
        <w:tc>
          <w:tcPr>
            <w:tcW w:w="1078" w:type="pct"/>
            <w:tcBorders>
              <w:top w:val="nil"/>
              <w:left w:val="nil"/>
              <w:bottom w:val="single" w:sz="4" w:space="0" w:color="auto"/>
              <w:right w:val="single" w:sz="4" w:space="0" w:color="auto"/>
            </w:tcBorders>
            <w:shd w:val="clear" w:color="auto" w:fill="auto"/>
            <w:noWrap/>
            <w:vAlign w:val="center"/>
            <w:hideMark/>
          </w:tcPr>
          <w:p w14:paraId="1DF3A052" w14:textId="77777777" w:rsidR="0074074D" w:rsidRDefault="0074074D" w:rsidP="00405BA7">
            <w:pPr>
              <w:rPr>
                <w:sz w:val="20"/>
                <w:szCs w:val="20"/>
              </w:rPr>
            </w:pPr>
            <w:r>
              <w:rPr>
                <w:sz w:val="20"/>
                <w:szCs w:val="20"/>
              </w:rPr>
              <w:t>1000</w:t>
            </w:r>
          </w:p>
        </w:tc>
        <w:tc>
          <w:tcPr>
            <w:tcW w:w="1422" w:type="pct"/>
            <w:tcBorders>
              <w:top w:val="nil"/>
              <w:left w:val="nil"/>
              <w:bottom w:val="single" w:sz="4" w:space="0" w:color="auto"/>
              <w:right w:val="single" w:sz="4" w:space="0" w:color="auto"/>
            </w:tcBorders>
            <w:shd w:val="clear" w:color="auto" w:fill="auto"/>
            <w:noWrap/>
            <w:vAlign w:val="center"/>
            <w:hideMark/>
          </w:tcPr>
          <w:p w14:paraId="265A1BC5" w14:textId="77777777" w:rsidR="0074074D" w:rsidRDefault="0074074D" w:rsidP="00405BA7">
            <w:pPr>
              <w:rPr>
                <w:sz w:val="20"/>
                <w:szCs w:val="20"/>
              </w:rPr>
            </w:pPr>
          </w:p>
        </w:tc>
        <w:tc>
          <w:tcPr>
            <w:tcW w:w="1078" w:type="pct"/>
            <w:tcBorders>
              <w:top w:val="nil"/>
              <w:left w:val="nil"/>
              <w:bottom w:val="single" w:sz="4" w:space="0" w:color="auto"/>
              <w:right w:val="single" w:sz="4" w:space="0" w:color="auto"/>
            </w:tcBorders>
            <w:shd w:val="clear" w:color="auto" w:fill="auto"/>
            <w:noWrap/>
            <w:vAlign w:val="center"/>
            <w:hideMark/>
          </w:tcPr>
          <w:p w14:paraId="69E80DF6" w14:textId="77777777" w:rsidR="0074074D" w:rsidRDefault="0074074D" w:rsidP="00405BA7">
            <w:pPr>
              <w:rPr>
                <w:sz w:val="20"/>
                <w:szCs w:val="20"/>
              </w:rPr>
            </w:pPr>
          </w:p>
        </w:tc>
      </w:tr>
    </w:tbl>
    <w:p w14:paraId="09E2A9E0" w14:textId="77777777" w:rsidR="0074074D" w:rsidRPr="00066DB4" w:rsidRDefault="0074074D" w:rsidP="0074074D">
      <w:pPr>
        <w:rPr>
          <w:sz w:val="20"/>
          <w:szCs w:val="20"/>
        </w:rPr>
      </w:pPr>
      <w:r w:rsidRPr="00711AB2">
        <w:rPr>
          <w:rFonts w:hint="eastAsia"/>
          <w:sz w:val="20"/>
          <w:szCs w:val="20"/>
        </w:rPr>
        <w:t>开盘价选择</w:t>
      </w:r>
      <w:r w:rsidRPr="00066DB4">
        <w:rPr>
          <w:rFonts w:hint="eastAsia"/>
          <w:sz w:val="20"/>
          <w:szCs w:val="20"/>
        </w:rPr>
        <w:t>：如果有两个或者多个价位的成交量和未匹配报价量相同：</w:t>
      </w:r>
    </w:p>
    <w:p w14:paraId="579BBBD5" w14:textId="77777777" w:rsidR="0074074D" w:rsidRPr="00066DB4" w:rsidRDefault="0074074D" w:rsidP="0074074D">
      <w:pPr>
        <w:rPr>
          <w:sz w:val="20"/>
          <w:szCs w:val="20"/>
        </w:rPr>
      </w:pPr>
      <w:r w:rsidRPr="00066DB4">
        <w:rPr>
          <w:sz w:val="20"/>
          <w:szCs w:val="20"/>
        </w:rPr>
        <w:t>1</w:t>
      </w:r>
      <w:r w:rsidRPr="00066DB4">
        <w:rPr>
          <w:rFonts w:hint="eastAsia"/>
          <w:sz w:val="20"/>
          <w:szCs w:val="20"/>
        </w:rPr>
        <w:t>.</w:t>
      </w:r>
      <w:r w:rsidRPr="00066DB4">
        <w:rPr>
          <w:rFonts w:hint="eastAsia"/>
          <w:sz w:val="20"/>
          <w:szCs w:val="20"/>
        </w:rPr>
        <w:t>如果没有前加权平均净价，则取</w:t>
      </w:r>
      <w:r>
        <w:rPr>
          <w:sz w:val="20"/>
          <w:szCs w:val="20"/>
        </w:rPr>
        <w:t>P</w:t>
      </w:r>
      <w:proofErr w:type="gramStart"/>
      <w:r>
        <w:rPr>
          <w:sz w:val="20"/>
          <w:szCs w:val="20"/>
        </w:rPr>
        <w:t>1,P2</w:t>
      </w:r>
      <w:r>
        <w:rPr>
          <w:rFonts w:hint="eastAsia"/>
          <w:sz w:val="20"/>
          <w:szCs w:val="20"/>
        </w:rPr>
        <w:t>的算术平均作为开盘价。如果成交量和未匹配量都相等的净价超过两笔</w:t>
      </w:r>
      <w:proofErr w:type="gramEnd"/>
      <w:r>
        <w:rPr>
          <w:rFonts w:hint="eastAsia"/>
          <w:sz w:val="20"/>
          <w:szCs w:val="20"/>
        </w:rPr>
        <w:t>，取中位数作为开盘价（在一共有偶数个价格的情况下，取两个中位数对应价格的算术平均【算出的数值保留</w:t>
      </w:r>
      <w:r>
        <w:rPr>
          <w:rFonts w:hint="eastAsia"/>
          <w:sz w:val="20"/>
          <w:szCs w:val="20"/>
        </w:rPr>
        <w:t>4</w:t>
      </w:r>
      <w:r>
        <w:rPr>
          <w:rFonts w:hint="eastAsia"/>
          <w:sz w:val="20"/>
          <w:szCs w:val="20"/>
        </w:rPr>
        <w:t>位精度，支持四舍五入】）。</w:t>
      </w:r>
    </w:p>
    <w:tbl>
      <w:tblPr>
        <w:tblW w:w="5000" w:type="pct"/>
        <w:jc w:val="center"/>
        <w:tblLook w:val="04A0" w:firstRow="1" w:lastRow="0" w:firstColumn="1" w:lastColumn="0" w:noHBand="0" w:noVBand="1"/>
      </w:tblPr>
      <w:tblGrid>
        <w:gridCol w:w="1481"/>
        <w:gridCol w:w="4216"/>
        <w:gridCol w:w="1437"/>
        <w:gridCol w:w="2216"/>
      </w:tblGrid>
      <w:tr w:rsidR="0074074D" w:rsidRPr="00066DB4" w14:paraId="753F0571" w14:textId="77777777" w:rsidTr="00405BA7">
        <w:trPr>
          <w:trHeight w:val="270"/>
          <w:jc w:val="center"/>
        </w:trPr>
        <w:tc>
          <w:tcPr>
            <w:tcW w:w="10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1C2D5" w14:textId="77777777" w:rsidR="0074074D" w:rsidRDefault="0074074D" w:rsidP="00405BA7">
            <w:pPr>
              <w:rPr>
                <w:sz w:val="20"/>
                <w:szCs w:val="20"/>
              </w:rPr>
            </w:pPr>
            <w:r>
              <w:rPr>
                <w:rFonts w:hint="eastAsia"/>
                <w:sz w:val="20"/>
                <w:szCs w:val="20"/>
              </w:rPr>
              <w:t>价位</w:t>
            </w:r>
          </w:p>
        </w:tc>
        <w:tc>
          <w:tcPr>
            <w:tcW w:w="1761" w:type="pct"/>
            <w:tcBorders>
              <w:top w:val="single" w:sz="4" w:space="0" w:color="auto"/>
              <w:left w:val="nil"/>
              <w:bottom w:val="single" w:sz="4" w:space="0" w:color="auto"/>
              <w:right w:val="single" w:sz="4" w:space="0" w:color="auto"/>
            </w:tcBorders>
            <w:shd w:val="clear" w:color="auto" w:fill="auto"/>
            <w:noWrap/>
            <w:vAlign w:val="center"/>
            <w:hideMark/>
          </w:tcPr>
          <w:p w14:paraId="691C20CB" w14:textId="77777777" w:rsidR="0074074D" w:rsidRDefault="0074074D" w:rsidP="00405BA7">
            <w:pPr>
              <w:rPr>
                <w:sz w:val="20"/>
                <w:szCs w:val="20"/>
              </w:rPr>
            </w:pPr>
            <w:r>
              <w:rPr>
                <w:rFonts w:hint="eastAsia"/>
                <w:sz w:val="20"/>
                <w:szCs w:val="20"/>
              </w:rPr>
              <w:t>是否满足更优报价全成交、同价位单边全成交</w:t>
            </w:r>
          </w:p>
        </w:tc>
        <w:tc>
          <w:tcPr>
            <w:tcW w:w="1063" w:type="pct"/>
            <w:tcBorders>
              <w:top w:val="single" w:sz="4" w:space="0" w:color="auto"/>
              <w:left w:val="nil"/>
              <w:bottom w:val="single" w:sz="4" w:space="0" w:color="auto"/>
              <w:right w:val="single" w:sz="4" w:space="0" w:color="auto"/>
            </w:tcBorders>
            <w:shd w:val="clear" w:color="auto" w:fill="auto"/>
            <w:noWrap/>
            <w:vAlign w:val="center"/>
            <w:hideMark/>
          </w:tcPr>
          <w:p w14:paraId="77230D85" w14:textId="77777777" w:rsidR="0074074D" w:rsidRDefault="0074074D" w:rsidP="00405BA7">
            <w:pPr>
              <w:rPr>
                <w:sz w:val="20"/>
                <w:szCs w:val="20"/>
              </w:rPr>
            </w:pPr>
            <w:r>
              <w:rPr>
                <w:rFonts w:hint="eastAsia"/>
                <w:sz w:val="20"/>
                <w:szCs w:val="20"/>
              </w:rPr>
              <w:t>成交量</w:t>
            </w:r>
          </w:p>
        </w:tc>
        <w:tc>
          <w:tcPr>
            <w:tcW w:w="1090" w:type="pct"/>
            <w:tcBorders>
              <w:top w:val="single" w:sz="4" w:space="0" w:color="auto"/>
              <w:left w:val="nil"/>
              <w:bottom w:val="single" w:sz="4" w:space="0" w:color="auto"/>
              <w:right w:val="single" w:sz="4" w:space="0" w:color="auto"/>
            </w:tcBorders>
            <w:shd w:val="clear" w:color="auto" w:fill="auto"/>
            <w:noWrap/>
            <w:vAlign w:val="center"/>
            <w:hideMark/>
          </w:tcPr>
          <w:p w14:paraId="16CA983C" w14:textId="77777777" w:rsidR="0074074D" w:rsidRDefault="0074074D" w:rsidP="00405BA7">
            <w:pPr>
              <w:rPr>
                <w:sz w:val="20"/>
                <w:szCs w:val="20"/>
              </w:rPr>
            </w:pPr>
            <w:r>
              <w:rPr>
                <w:rFonts w:hint="eastAsia"/>
                <w:sz w:val="20"/>
                <w:szCs w:val="20"/>
              </w:rPr>
              <w:t>相同价位未匹配报价量</w:t>
            </w:r>
          </w:p>
        </w:tc>
      </w:tr>
      <w:tr w:rsidR="0074074D" w:rsidRPr="00066DB4" w14:paraId="4C483809" w14:textId="77777777" w:rsidTr="00405BA7">
        <w:trPr>
          <w:trHeight w:val="270"/>
          <w:jc w:val="center"/>
        </w:trPr>
        <w:tc>
          <w:tcPr>
            <w:tcW w:w="1087" w:type="pct"/>
            <w:tcBorders>
              <w:top w:val="nil"/>
              <w:left w:val="single" w:sz="4" w:space="0" w:color="auto"/>
              <w:bottom w:val="single" w:sz="4" w:space="0" w:color="auto"/>
              <w:right w:val="single" w:sz="4" w:space="0" w:color="auto"/>
            </w:tcBorders>
            <w:shd w:val="clear" w:color="auto" w:fill="auto"/>
            <w:noWrap/>
            <w:vAlign w:val="center"/>
            <w:hideMark/>
          </w:tcPr>
          <w:p w14:paraId="0DC0C37A" w14:textId="77777777" w:rsidR="0074074D" w:rsidRDefault="0074074D" w:rsidP="00405BA7">
            <w:pPr>
              <w:rPr>
                <w:sz w:val="20"/>
                <w:szCs w:val="20"/>
              </w:rPr>
            </w:pPr>
            <w:r>
              <w:rPr>
                <w:sz w:val="20"/>
                <w:szCs w:val="20"/>
              </w:rPr>
              <w:t>99.31</w:t>
            </w:r>
          </w:p>
        </w:tc>
        <w:tc>
          <w:tcPr>
            <w:tcW w:w="1761" w:type="pct"/>
            <w:tcBorders>
              <w:top w:val="nil"/>
              <w:left w:val="nil"/>
              <w:bottom w:val="single" w:sz="4" w:space="0" w:color="auto"/>
              <w:right w:val="single" w:sz="4" w:space="0" w:color="auto"/>
            </w:tcBorders>
            <w:shd w:val="clear" w:color="auto" w:fill="auto"/>
            <w:noWrap/>
            <w:vAlign w:val="center"/>
            <w:hideMark/>
          </w:tcPr>
          <w:p w14:paraId="3717E9E0" w14:textId="77777777" w:rsidR="0074074D" w:rsidRDefault="0074074D" w:rsidP="00405BA7">
            <w:pPr>
              <w:rPr>
                <w:sz w:val="20"/>
                <w:szCs w:val="20"/>
              </w:rPr>
            </w:pPr>
            <w:r>
              <w:rPr>
                <w:rFonts w:hint="eastAsia"/>
                <w:sz w:val="20"/>
                <w:szCs w:val="20"/>
              </w:rPr>
              <w:t>是</w:t>
            </w:r>
          </w:p>
        </w:tc>
        <w:tc>
          <w:tcPr>
            <w:tcW w:w="1063" w:type="pct"/>
            <w:tcBorders>
              <w:top w:val="nil"/>
              <w:left w:val="nil"/>
              <w:bottom w:val="single" w:sz="4" w:space="0" w:color="auto"/>
              <w:right w:val="single" w:sz="4" w:space="0" w:color="auto"/>
            </w:tcBorders>
            <w:shd w:val="clear" w:color="auto" w:fill="auto"/>
            <w:noWrap/>
            <w:vAlign w:val="center"/>
            <w:hideMark/>
          </w:tcPr>
          <w:p w14:paraId="2B7405F3" w14:textId="77777777" w:rsidR="0074074D" w:rsidRDefault="0074074D" w:rsidP="00405BA7">
            <w:pPr>
              <w:rPr>
                <w:sz w:val="20"/>
                <w:szCs w:val="20"/>
              </w:rPr>
            </w:pPr>
            <w:r>
              <w:rPr>
                <w:sz w:val="20"/>
                <w:szCs w:val="20"/>
              </w:rPr>
              <w:t>1000</w:t>
            </w:r>
          </w:p>
        </w:tc>
        <w:tc>
          <w:tcPr>
            <w:tcW w:w="1090" w:type="pct"/>
            <w:tcBorders>
              <w:top w:val="nil"/>
              <w:left w:val="nil"/>
              <w:bottom w:val="single" w:sz="4" w:space="0" w:color="auto"/>
              <w:right w:val="single" w:sz="4" w:space="0" w:color="auto"/>
            </w:tcBorders>
            <w:shd w:val="clear" w:color="auto" w:fill="auto"/>
            <w:noWrap/>
            <w:vAlign w:val="center"/>
            <w:hideMark/>
          </w:tcPr>
          <w:p w14:paraId="1D15115F" w14:textId="77777777" w:rsidR="0074074D" w:rsidRDefault="0074074D" w:rsidP="00405BA7">
            <w:pPr>
              <w:rPr>
                <w:sz w:val="20"/>
                <w:szCs w:val="20"/>
              </w:rPr>
            </w:pPr>
            <w:r>
              <w:rPr>
                <w:sz w:val="20"/>
                <w:szCs w:val="20"/>
              </w:rPr>
              <w:t>1000</w:t>
            </w:r>
          </w:p>
        </w:tc>
      </w:tr>
      <w:tr w:rsidR="0074074D" w:rsidRPr="00066DB4" w14:paraId="7A92F073" w14:textId="77777777" w:rsidTr="00405BA7">
        <w:trPr>
          <w:trHeight w:val="270"/>
          <w:jc w:val="center"/>
        </w:trPr>
        <w:tc>
          <w:tcPr>
            <w:tcW w:w="1087" w:type="pct"/>
            <w:tcBorders>
              <w:top w:val="nil"/>
              <w:left w:val="single" w:sz="4" w:space="0" w:color="auto"/>
              <w:bottom w:val="single" w:sz="4" w:space="0" w:color="auto"/>
              <w:right w:val="single" w:sz="4" w:space="0" w:color="auto"/>
            </w:tcBorders>
            <w:shd w:val="clear" w:color="auto" w:fill="auto"/>
            <w:noWrap/>
            <w:vAlign w:val="center"/>
            <w:hideMark/>
          </w:tcPr>
          <w:p w14:paraId="099A98E6" w14:textId="77777777" w:rsidR="0074074D" w:rsidRDefault="0074074D" w:rsidP="00405BA7">
            <w:pPr>
              <w:rPr>
                <w:sz w:val="20"/>
                <w:szCs w:val="20"/>
              </w:rPr>
            </w:pPr>
            <w:r>
              <w:rPr>
                <w:sz w:val="20"/>
                <w:szCs w:val="20"/>
              </w:rPr>
              <w:t>99.26</w:t>
            </w:r>
          </w:p>
        </w:tc>
        <w:tc>
          <w:tcPr>
            <w:tcW w:w="1761" w:type="pct"/>
            <w:tcBorders>
              <w:top w:val="nil"/>
              <w:left w:val="nil"/>
              <w:bottom w:val="single" w:sz="4" w:space="0" w:color="auto"/>
              <w:right w:val="single" w:sz="4" w:space="0" w:color="auto"/>
            </w:tcBorders>
            <w:shd w:val="clear" w:color="auto" w:fill="auto"/>
            <w:noWrap/>
            <w:vAlign w:val="center"/>
            <w:hideMark/>
          </w:tcPr>
          <w:p w14:paraId="0AE86B0D" w14:textId="77777777" w:rsidR="0074074D" w:rsidRDefault="0074074D" w:rsidP="00405BA7">
            <w:pPr>
              <w:rPr>
                <w:sz w:val="20"/>
                <w:szCs w:val="20"/>
              </w:rPr>
            </w:pPr>
            <w:r>
              <w:rPr>
                <w:rFonts w:hint="eastAsia"/>
                <w:sz w:val="20"/>
                <w:szCs w:val="20"/>
              </w:rPr>
              <w:t>是</w:t>
            </w:r>
          </w:p>
        </w:tc>
        <w:tc>
          <w:tcPr>
            <w:tcW w:w="1063" w:type="pct"/>
            <w:tcBorders>
              <w:top w:val="nil"/>
              <w:left w:val="nil"/>
              <w:bottom w:val="single" w:sz="4" w:space="0" w:color="auto"/>
              <w:right w:val="single" w:sz="4" w:space="0" w:color="auto"/>
            </w:tcBorders>
            <w:shd w:val="clear" w:color="auto" w:fill="auto"/>
            <w:noWrap/>
            <w:vAlign w:val="center"/>
            <w:hideMark/>
          </w:tcPr>
          <w:p w14:paraId="115F8DBE" w14:textId="77777777" w:rsidR="0074074D" w:rsidRDefault="0074074D" w:rsidP="00405BA7">
            <w:pPr>
              <w:rPr>
                <w:sz w:val="20"/>
                <w:szCs w:val="20"/>
              </w:rPr>
            </w:pPr>
            <w:r>
              <w:rPr>
                <w:sz w:val="20"/>
                <w:szCs w:val="20"/>
              </w:rPr>
              <w:t>1000</w:t>
            </w:r>
          </w:p>
        </w:tc>
        <w:tc>
          <w:tcPr>
            <w:tcW w:w="1090" w:type="pct"/>
            <w:tcBorders>
              <w:top w:val="nil"/>
              <w:left w:val="nil"/>
              <w:bottom w:val="single" w:sz="4" w:space="0" w:color="auto"/>
              <w:right w:val="single" w:sz="4" w:space="0" w:color="auto"/>
            </w:tcBorders>
            <w:shd w:val="clear" w:color="auto" w:fill="auto"/>
            <w:noWrap/>
            <w:vAlign w:val="center"/>
            <w:hideMark/>
          </w:tcPr>
          <w:p w14:paraId="19CD7875" w14:textId="77777777" w:rsidR="0074074D" w:rsidRDefault="0074074D" w:rsidP="00405BA7">
            <w:pPr>
              <w:rPr>
                <w:sz w:val="20"/>
                <w:szCs w:val="20"/>
              </w:rPr>
            </w:pPr>
            <w:r>
              <w:rPr>
                <w:sz w:val="20"/>
                <w:szCs w:val="20"/>
              </w:rPr>
              <w:t>1000</w:t>
            </w:r>
          </w:p>
        </w:tc>
      </w:tr>
    </w:tbl>
    <w:p w14:paraId="721F64B5" w14:textId="77777777" w:rsidR="0074074D" w:rsidRPr="00066DB4" w:rsidRDefault="0074074D" w:rsidP="0074074D">
      <w:pPr>
        <w:rPr>
          <w:sz w:val="20"/>
          <w:szCs w:val="20"/>
        </w:rPr>
      </w:pPr>
    </w:p>
    <w:p w14:paraId="39677A8D" w14:textId="77777777" w:rsidR="0074074D" w:rsidRDefault="0074074D" w:rsidP="0074074D">
      <w:pPr>
        <w:pStyle w:val="Heading1"/>
      </w:pPr>
      <w:r w:rsidRPr="00711AB2">
        <w:rPr>
          <w:sz w:val="22"/>
        </w:rPr>
        <w:t>Step 3</w:t>
      </w:r>
      <w:r w:rsidRPr="00711AB2">
        <w:rPr>
          <w:rFonts w:hint="eastAsia"/>
          <w:sz w:val="22"/>
        </w:rPr>
        <w:t>：</w:t>
      </w:r>
      <w:r w:rsidRPr="00066DB4">
        <w:rPr>
          <w:rFonts w:hint="eastAsia"/>
        </w:rPr>
        <w:t>根据各</w:t>
      </w:r>
      <w:r w:rsidRPr="00066DB4">
        <w:t>机构分别设置的黑名单</w:t>
      </w:r>
      <w:r w:rsidRPr="00066DB4">
        <w:rPr>
          <w:rFonts w:hint="eastAsia"/>
        </w:rPr>
        <w:t>和开盘价</w:t>
      </w:r>
      <w:r w:rsidRPr="00066DB4">
        <w:t>，</w:t>
      </w:r>
      <w:r>
        <w:rPr>
          <w:rFonts w:hint="eastAsia"/>
        </w:rPr>
        <w:t>以及主从机构关系，</w:t>
      </w:r>
      <w:r w:rsidRPr="00066DB4">
        <w:rPr>
          <w:rFonts w:hint="eastAsia"/>
        </w:rPr>
        <w:t>重新</w:t>
      </w:r>
      <w:r w:rsidRPr="00066DB4">
        <w:t>进行匹配</w:t>
      </w:r>
      <w:r>
        <w:rPr>
          <w:rFonts w:hint="eastAsia"/>
        </w:rPr>
        <w:t>；</w:t>
      </w:r>
      <w:bookmarkStart w:id="0" w:name="_GoBack"/>
      <w:bookmarkEnd w:id="0"/>
    </w:p>
    <w:p w14:paraId="51D5445F" w14:textId="77777777" w:rsidR="0074074D" w:rsidRDefault="0074074D" w:rsidP="0074074D">
      <w:r>
        <w:rPr>
          <w:rFonts w:hint="eastAsia"/>
        </w:rPr>
        <w:t>在确定开盘价格以后，系统需要通过连续匹配的方式，为订单簿中的全部订单寻找可成交的对手方。（实际匹配过程在</w:t>
      </w:r>
      <w:r>
        <w:t>T1-T2</w:t>
      </w:r>
      <w:r>
        <w:rPr>
          <w:rFonts w:hint="eastAsia"/>
        </w:rPr>
        <w:t>进行）</w:t>
      </w:r>
    </w:p>
    <w:p w14:paraId="7DACBF7C" w14:textId="77777777" w:rsidR="0074074D" w:rsidRDefault="0074074D" w:rsidP="0074074D"/>
    <w:p w14:paraId="673AE31E" w14:textId="77777777" w:rsidR="0074074D" w:rsidRDefault="0074074D" w:rsidP="0074074D">
      <w:r>
        <w:rPr>
          <w:rFonts w:hint="eastAsia"/>
        </w:rPr>
        <w:t>订单簿的排列顺序为按照逐笔订单</w:t>
      </w:r>
      <w:r w:rsidRPr="00066DB4">
        <w:t>排列，其中</w:t>
      </w:r>
      <w:r w:rsidRPr="00066DB4">
        <w:rPr>
          <w:rFonts w:hint="eastAsia"/>
        </w:rPr>
        <w:t>买入报价按净价从高到低排列，卖出报价按从低到高排列，净价相等的，按照报价时间从前到后进行排序（</w:t>
      </w:r>
      <w:r w:rsidRPr="00711AB2">
        <w:rPr>
          <w:rFonts w:hint="eastAsia"/>
        </w:rPr>
        <w:t>报价修改的按修改时间进行排序</w:t>
      </w:r>
      <w:r w:rsidRPr="00066DB4">
        <w:rPr>
          <w:rFonts w:hint="eastAsia"/>
        </w:rPr>
        <w:t>），形成买入、卖出两个报价序列</w:t>
      </w:r>
    </w:p>
    <w:p w14:paraId="5927E577" w14:textId="77777777" w:rsidR="0074074D" w:rsidRDefault="0074074D" w:rsidP="0074074D">
      <w:r w:rsidRPr="00066DB4">
        <w:rPr>
          <w:rFonts w:hint="eastAsia"/>
        </w:rPr>
        <w:t>匹配过程始终以买方向的订单逐笔在卖方向选择成交对手方。</w:t>
      </w:r>
    </w:p>
    <w:p w14:paraId="6A9AF1D3" w14:textId="77777777" w:rsidR="0074074D" w:rsidRDefault="0074074D" w:rsidP="0074074D">
      <w:r w:rsidRPr="00066DB4">
        <w:t>如果</w:t>
      </w:r>
      <w:r>
        <w:rPr>
          <w:rFonts w:hint="eastAsia"/>
        </w:rPr>
        <w:t>订单簿中第一档的买方向和卖方向订单对手方在黑名单机构对中或两订单主机构相同不能成交，则首先为第一档买方向</w:t>
      </w:r>
      <w:r w:rsidRPr="00066DB4">
        <w:rPr>
          <w:rFonts w:hint="eastAsia"/>
        </w:rPr>
        <w:t>的订单寻找下一个在开盘价上可成交的对手方，完全匹配之后，再为</w:t>
      </w:r>
      <w:r w:rsidRPr="00711AB2">
        <w:rPr>
          <w:rFonts w:hint="eastAsia"/>
        </w:rPr>
        <w:t>第二档买方向</w:t>
      </w:r>
      <w:r w:rsidRPr="00066DB4">
        <w:rPr>
          <w:rFonts w:hint="eastAsia"/>
        </w:rPr>
        <w:t>的订单寻找下一个在开盘价上可成交的对手方。</w:t>
      </w:r>
    </w:p>
    <w:p w14:paraId="553C258F" w14:textId="77777777" w:rsidR="0074074D" w:rsidRPr="00066DB4" w:rsidRDefault="0074074D" w:rsidP="0074074D">
      <w:pPr>
        <w:rPr>
          <w:sz w:val="20"/>
          <w:szCs w:val="20"/>
        </w:rPr>
      </w:pPr>
    </w:p>
    <w:p w14:paraId="7F79CD17" w14:textId="77777777" w:rsidR="0074074D" w:rsidRDefault="0074074D" w:rsidP="0074074D">
      <w:pPr>
        <w:rPr>
          <w:sz w:val="20"/>
          <w:szCs w:val="20"/>
        </w:rPr>
      </w:pPr>
      <w:r w:rsidRPr="00711AB2">
        <w:rPr>
          <w:rFonts w:hint="eastAsia"/>
          <w:sz w:val="20"/>
          <w:szCs w:val="20"/>
        </w:rPr>
        <w:t>示例</w:t>
      </w:r>
      <w:r w:rsidRPr="00711AB2">
        <w:rPr>
          <w:sz w:val="20"/>
          <w:szCs w:val="20"/>
        </w:rPr>
        <w:t xml:space="preserve">1 - </w:t>
      </w:r>
      <w:r w:rsidRPr="00066DB4">
        <w:rPr>
          <w:rFonts w:hint="eastAsia"/>
          <w:sz w:val="20"/>
        </w:rPr>
        <w:t>买入报价与卖出报价相等</w:t>
      </w:r>
      <w:r w:rsidRPr="00711AB2">
        <w:rPr>
          <w:rFonts w:hint="eastAsia"/>
          <w:sz w:val="20"/>
          <w:szCs w:val="20"/>
        </w:rPr>
        <w:t>：</w:t>
      </w:r>
    </w:p>
    <w:tbl>
      <w:tblPr>
        <w:tblW w:w="5000" w:type="pct"/>
        <w:jc w:val="center"/>
        <w:tblLook w:val="04A0" w:firstRow="1" w:lastRow="0" w:firstColumn="1" w:lastColumn="0" w:noHBand="0" w:noVBand="1"/>
      </w:tblPr>
      <w:tblGrid>
        <w:gridCol w:w="2337"/>
        <w:gridCol w:w="2337"/>
        <w:gridCol w:w="2338"/>
        <w:gridCol w:w="2338"/>
      </w:tblGrid>
      <w:tr w:rsidR="0074074D" w:rsidRPr="00066DB4" w14:paraId="30356E71" w14:textId="77777777" w:rsidTr="00405BA7">
        <w:trPr>
          <w:trHeight w:val="240"/>
          <w:jc w:val="center"/>
        </w:trPr>
        <w:tc>
          <w:tcPr>
            <w:tcW w:w="249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BDEC01" w14:textId="77777777" w:rsidR="0074074D" w:rsidRDefault="0074074D" w:rsidP="00405BA7">
            <w:pPr>
              <w:rPr>
                <w:sz w:val="20"/>
                <w:szCs w:val="20"/>
              </w:rPr>
            </w:pPr>
            <w:r w:rsidRPr="00066DB4">
              <w:rPr>
                <w:rFonts w:hint="eastAsia"/>
                <w:sz w:val="20"/>
                <w:szCs w:val="20"/>
              </w:rPr>
              <w:t>买入报价</w:t>
            </w:r>
          </w:p>
        </w:tc>
        <w:tc>
          <w:tcPr>
            <w:tcW w:w="250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713DDEB" w14:textId="77777777" w:rsidR="0074074D" w:rsidRDefault="0074074D" w:rsidP="00405BA7">
            <w:pPr>
              <w:rPr>
                <w:sz w:val="20"/>
                <w:szCs w:val="20"/>
              </w:rPr>
            </w:pPr>
            <w:r w:rsidRPr="00066DB4">
              <w:rPr>
                <w:rFonts w:hint="eastAsia"/>
                <w:sz w:val="20"/>
                <w:szCs w:val="20"/>
              </w:rPr>
              <w:t>卖出报价</w:t>
            </w:r>
          </w:p>
        </w:tc>
      </w:tr>
      <w:tr w:rsidR="0074074D" w:rsidRPr="00066DB4" w14:paraId="0F8EB1BD"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0CDAB860" w14:textId="77777777" w:rsidR="0074074D" w:rsidRDefault="0074074D" w:rsidP="00405BA7">
            <w:pPr>
              <w:rPr>
                <w:sz w:val="20"/>
                <w:szCs w:val="20"/>
              </w:rPr>
            </w:pPr>
            <w:r>
              <w:rPr>
                <w:rFonts w:hint="eastAsia"/>
                <w:sz w:val="20"/>
                <w:szCs w:val="20"/>
              </w:rPr>
              <w:t>净价（元）</w:t>
            </w:r>
          </w:p>
        </w:tc>
        <w:tc>
          <w:tcPr>
            <w:tcW w:w="1250" w:type="pct"/>
            <w:tcBorders>
              <w:top w:val="nil"/>
              <w:left w:val="nil"/>
              <w:bottom w:val="single" w:sz="4" w:space="0" w:color="auto"/>
              <w:right w:val="single" w:sz="4" w:space="0" w:color="auto"/>
            </w:tcBorders>
            <w:shd w:val="clear" w:color="auto" w:fill="auto"/>
            <w:noWrap/>
            <w:vAlign w:val="center"/>
            <w:hideMark/>
          </w:tcPr>
          <w:p w14:paraId="3DDFEDC0" w14:textId="77777777" w:rsidR="0074074D" w:rsidRDefault="0074074D" w:rsidP="00405BA7">
            <w:pPr>
              <w:rPr>
                <w:sz w:val="20"/>
                <w:szCs w:val="20"/>
              </w:rPr>
            </w:pPr>
            <w:r>
              <w:rPr>
                <w:rFonts w:hint="eastAsia"/>
                <w:sz w:val="20"/>
                <w:szCs w:val="20"/>
              </w:rPr>
              <w:t>报价量（万）</w:t>
            </w:r>
          </w:p>
        </w:tc>
        <w:tc>
          <w:tcPr>
            <w:tcW w:w="1250" w:type="pct"/>
            <w:tcBorders>
              <w:top w:val="nil"/>
              <w:left w:val="nil"/>
              <w:bottom w:val="single" w:sz="4" w:space="0" w:color="auto"/>
              <w:right w:val="single" w:sz="4" w:space="0" w:color="auto"/>
            </w:tcBorders>
            <w:shd w:val="clear" w:color="auto" w:fill="auto"/>
            <w:noWrap/>
            <w:vAlign w:val="center"/>
            <w:hideMark/>
          </w:tcPr>
          <w:p w14:paraId="52B0C567" w14:textId="77777777" w:rsidR="0074074D" w:rsidRDefault="0074074D" w:rsidP="00405BA7">
            <w:pPr>
              <w:rPr>
                <w:sz w:val="20"/>
                <w:szCs w:val="20"/>
              </w:rPr>
            </w:pPr>
            <w:r>
              <w:rPr>
                <w:rFonts w:hint="eastAsia"/>
                <w:sz w:val="20"/>
                <w:szCs w:val="20"/>
              </w:rPr>
              <w:t>净价（元）</w:t>
            </w:r>
          </w:p>
        </w:tc>
        <w:tc>
          <w:tcPr>
            <w:tcW w:w="1250" w:type="pct"/>
            <w:tcBorders>
              <w:top w:val="nil"/>
              <w:left w:val="nil"/>
              <w:bottom w:val="single" w:sz="4" w:space="0" w:color="auto"/>
              <w:right w:val="single" w:sz="4" w:space="0" w:color="auto"/>
            </w:tcBorders>
            <w:shd w:val="clear" w:color="auto" w:fill="auto"/>
            <w:noWrap/>
            <w:vAlign w:val="center"/>
            <w:hideMark/>
          </w:tcPr>
          <w:p w14:paraId="6291D469" w14:textId="77777777" w:rsidR="0074074D" w:rsidRDefault="0074074D" w:rsidP="00405BA7">
            <w:pPr>
              <w:rPr>
                <w:sz w:val="20"/>
                <w:szCs w:val="20"/>
              </w:rPr>
            </w:pPr>
            <w:r>
              <w:rPr>
                <w:rFonts w:hint="eastAsia"/>
                <w:sz w:val="20"/>
                <w:szCs w:val="20"/>
              </w:rPr>
              <w:t>报价量（万）</w:t>
            </w:r>
          </w:p>
        </w:tc>
      </w:tr>
      <w:tr w:rsidR="0074074D" w:rsidRPr="00066DB4" w14:paraId="25EB406D"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70456138" w14:textId="77777777" w:rsidR="0074074D" w:rsidRPr="00413114" w:rsidRDefault="0074074D" w:rsidP="00405BA7">
            <w:pPr>
              <w:rPr>
                <w:b/>
                <w:bCs/>
                <w:sz w:val="20"/>
                <w:szCs w:val="20"/>
              </w:rPr>
            </w:pPr>
            <w:r w:rsidRPr="00413114">
              <w:rPr>
                <w:b/>
                <w:bCs/>
                <w:sz w:val="20"/>
                <w:szCs w:val="20"/>
              </w:rPr>
              <w:t>99.30</w:t>
            </w:r>
          </w:p>
        </w:tc>
        <w:tc>
          <w:tcPr>
            <w:tcW w:w="1250" w:type="pct"/>
            <w:tcBorders>
              <w:top w:val="nil"/>
              <w:left w:val="nil"/>
              <w:bottom w:val="single" w:sz="4" w:space="0" w:color="auto"/>
              <w:right w:val="single" w:sz="4" w:space="0" w:color="auto"/>
            </w:tcBorders>
            <w:shd w:val="clear" w:color="auto" w:fill="auto"/>
            <w:noWrap/>
            <w:vAlign w:val="center"/>
            <w:hideMark/>
          </w:tcPr>
          <w:p w14:paraId="30AF9F13" w14:textId="77777777" w:rsidR="0074074D" w:rsidRPr="00413114" w:rsidRDefault="0074074D" w:rsidP="00405BA7">
            <w:pPr>
              <w:rPr>
                <w:b/>
                <w:bCs/>
                <w:sz w:val="20"/>
                <w:szCs w:val="20"/>
              </w:rPr>
            </w:pPr>
            <w:r w:rsidRPr="00413114">
              <w:rPr>
                <w:b/>
                <w:bCs/>
                <w:sz w:val="20"/>
                <w:szCs w:val="20"/>
              </w:rPr>
              <w:t>2000</w:t>
            </w:r>
          </w:p>
        </w:tc>
        <w:tc>
          <w:tcPr>
            <w:tcW w:w="1250" w:type="pct"/>
            <w:tcBorders>
              <w:top w:val="nil"/>
              <w:left w:val="nil"/>
              <w:bottom w:val="single" w:sz="4" w:space="0" w:color="auto"/>
              <w:right w:val="single" w:sz="4" w:space="0" w:color="auto"/>
            </w:tcBorders>
            <w:shd w:val="clear" w:color="auto" w:fill="auto"/>
            <w:noWrap/>
            <w:vAlign w:val="center"/>
            <w:hideMark/>
          </w:tcPr>
          <w:p w14:paraId="5C766DF3" w14:textId="77777777" w:rsidR="0074074D" w:rsidRPr="00413114" w:rsidRDefault="0074074D" w:rsidP="00405BA7">
            <w:pPr>
              <w:rPr>
                <w:b/>
                <w:bCs/>
                <w:sz w:val="20"/>
                <w:szCs w:val="20"/>
              </w:rPr>
            </w:pPr>
            <w:r w:rsidRPr="00413114">
              <w:rPr>
                <w:b/>
                <w:bCs/>
                <w:sz w:val="20"/>
                <w:szCs w:val="20"/>
              </w:rPr>
              <w:t>99.26</w:t>
            </w:r>
          </w:p>
        </w:tc>
        <w:tc>
          <w:tcPr>
            <w:tcW w:w="1250" w:type="pct"/>
            <w:tcBorders>
              <w:top w:val="nil"/>
              <w:left w:val="nil"/>
              <w:bottom w:val="single" w:sz="4" w:space="0" w:color="auto"/>
              <w:right w:val="single" w:sz="4" w:space="0" w:color="auto"/>
            </w:tcBorders>
            <w:shd w:val="clear" w:color="auto" w:fill="auto"/>
            <w:noWrap/>
            <w:vAlign w:val="center"/>
            <w:hideMark/>
          </w:tcPr>
          <w:p w14:paraId="4664D925" w14:textId="77777777" w:rsidR="0074074D" w:rsidRPr="00413114" w:rsidRDefault="0074074D" w:rsidP="00405BA7">
            <w:pPr>
              <w:rPr>
                <w:b/>
                <w:bCs/>
                <w:sz w:val="20"/>
                <w:szCs w:val="20"/>
              </w:rPr>
            </w:pPr>
            <w:r w:rsidRPr="00413114">
              <w:rPr>
                <w:b/>
                <w:bCs/>
                <w:sz w:val="20"/>
                <w:szCs w:val="20"/>
              </w:rPr>
              <w:t>1000</w:t>
            </w:r>
          </w:p>
        </w:tc>
      </w:tr>
      <w:tr w:rsidR="0074074D" w:rsidRPr="00066DB4" w14:paraId="4CA4F7BB"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4D136339" w14:textId="77777777" w:rsidR="0074074D" w:rsidRDefault="0074074D" w:rsidP="00405BA7">
            <w:pPr>
              <w:rPr>
                <w:sz w:val="20"/>
                <w:szCs w:val="20"/>
              </w:rPr>
            </w:pPr>
            <w:r>
              <w:rPr>
                <w:sz w:val="20"/>
                <w:szCs w:val="20"/>
              </w:rPr>
              <w:t>99.29</w:t>
            </w:r>
          </w:p>
        </w:tc>
        <w:tc>
          <w:tcPr>
            <w:tcW w:w="1250" w:type="pct"/>
            <w:tcBorders>
              <w:top w:val="nil"/>
              <w:left w:val="nil"/>
              <w:bottom w:val="single" w:sz="4" w:space="0" w:color="auto"/>
              <w:right w:val="single" w:sz="4" w:space="0" w:color="auto"/>
            </w:tcBorders>
            <w:shd w:val="clear" w:color="auto" w:fill="auto"/>
            <w:noWrap/>
            <w:vAlign w:val="center"/>
            <w:hideMark/>
          </w:tcPr>
          <w:p w14:paraId="7BD26270" w14:textId="77777777" w:rsidR="0074074D" w:rsidRDefault="0074074D" w:rsidP="00405BA7">
            <w:pPr>
              <w:rPr>
                <w:sz w:val="20"/>
                <w:szCs w:val="20"/>
              </w:rPr>
            </w:pPr>
            <w:r>
              <w:rPr>
                <w:sz w:val="20"/>
                <w:szCs w:val="20"/>
              </w:rPr>
              <w:t>1000</w:t>
            </w:r>
          </w:p>
        </w:tc>
        <w:tc>
          <w:tcPr>
            <w:tcW w:w="1250" w:type="pct"/>
            <w:tcBorders>
              <w:top w:val="nil"/>
              <w:left w:val="nil"/>
              <w:bottom w:val="single" w:sz="4" w:space="0" w:color="auto"/>
              <w:right w:val="single" w:sz="4" w:space="0" w:color="auto"/>
            </w:tcBorders>
            <w:shd w:val="clear" w:color="auto" w:fill="auto"/>
            <w:noWrap/>
            <w:vAlign w:val="center"/>
            <w:hideMark/>
          </w:tcPr>
          <w:p w14:paraId="51174FA2" w14:textId="77777777" w:rsidR="0074074D" w:rsidRPr="00413114" w:rsidRDefault="0074074D" w:rsidP="00405BA7">
            <w:pPr>
              <w:rPr>
                <w:b/>
                <w:bCs/>
                <w:sz w:val="20"/>
                <w:szCs w:val="20"/>
              </w:rPr>
            </w:pPr>
            <w:r w:rsidRPr="00413114">
              <w:rPr>
                <w:b/>
                <w:bCs/>
                <w:sz w:val="20"/>
                <w:szCs w:val="20"/>
              </w:rPr>
              <w:t>99.30</w:t>
            </w:r>
          </w:p>
        </w:tc>
        <w:tc>
          <w:tcPr>
            <w:tcW w:w="1250" w:type="pct"/>
            <w:tcBorders>
              <w:top w:val="nil"/>
              <w:left w:val="nil"/>
              <w:bottom w:val="single" w:sz="4" w:space="0" w:color="auto"/>
              <w:right w:val="single" w:sz="4" w:space="0" w:color="auto"/>
            </w:tcBorders>
            <w:shd w:val="clear" w:color="auto" w:fill="auto"/>
            <w:noWrap/>
            <w:vAlign w:val="center"/>
            <w:hideMark/>
          </w:tcPr>
          <w:p w14:paraId="0656D7E4" w14:textId="77777777" w:rsidR="0074074D" w:rsidRPr="00413114" w:rsidRDefault="0074074D" w:rsidP="00405BA7">
            <w:pPr>
              <w:rPr>
                <w:b/>
                <w:bCs/>
                <w:sz w:val="20"/>
                <w:szCs w:val="20"/>
              </w:rPr>
            </w:pPr>
            <w:r w:rsidRPr="00413114">
              <w:rPr>
                <w:b/>
                <w:bCs/>
                <w:sz w:val="20"/>
                <w:szCs w:val="20"/>
              </w:rPr>
              <w:t>5000</w:t>
            </w:r>
          </w:p>
        </w:tc>
      </w:tr>
      <w:tr w:rsidR="0074074D" w:rsidRPr="00066DB4" w14:paraId="49CC8D2E"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6FC099B9" w14:textId="77777777" w:rsidR="0074074D" w:rsidRDefault="0074074D" w:rsidP="00405BA7">
            <w:pPr>
              <w:rPr>
                <w:sz w:val="20"/>
                <w:szCs w:val="20"/>
              </w:rPr>
            </w:pPr>
            <w:r>
              <w:rPr>
                <w:sz w:val="20"/>
                <w:szCs w:val="20"/>
              </w:rPr>
              <w:t>99.28</w:t>
            </w:r>
          </w:p>
        </w:tc>
        <w:tc>
          <w:tcPr>
            <w:tcW w:w="1250" w:type="pct"/>
            <w:tcBorders>
              <w:top w:val="nil"/>
              <w:left w:val="nil"/>
              <w:bottom w:val="single" w:sz="4" w:space="0" w:color="auto"/>
              <w:right w:val="single" w:sz="4" w:space="0" w:color="auto"/>
            </w:tcBorders>
            <w:shd w:val="clear" w:color="auto" w:fill="auto"/>
            <w:noWrap/>
            <w:vAlign w:val="center"/>
            <w:hideMark/>
          </w:tcPr>
          <w:p w14:paraId="4AD63169" w14:textId="77777777" w:rsidR="0074074D" w:rsidRDefault="0074074D" w:rsidP="00405BA7">
            <w:pPr>
              <w:rPr>
                <w:sz w:val="20"/>
                <w:szCs w:val="20"/>
              </w:rPr>
            </w:pPr>
            <w:r>
              <w:rPr>
                <w:sz w:val="20"/>
                <w:szCs w:val="20"/>
              </w:rPr>
              <w:t>1000</w:t>
            </w:r>
          </w:p>
        </w:tc>
        <w:tc>
          <w:tcPr>
            <w:tcW w:w="1250" w:type="pct"/>
            <w:tcBorders>
              <w:top w:val="nil"/>
              <w:left w:val="nil"/>
              <w:bottom w:val="single" w:sz="4" w:space="0" w:color="auto"/>
              <w:right w:val="single" w:sz="4" w:space="0" w:color="auto"/>
            </w:tcBorders>
            <w:shd w:val="clear" w:color="auto" w:fill="auto"/>
            <w:noWrap/>
            <w:vAlign w:val="center"/>
            <w:hideMark/>
          </w:tcPr>
          <w:p w14:paraId="163275DE" w14:textId="77777777" w:rsidR="0074074D" w:rsidRDefault="0074074D" w:rsidP="00405BA7">
            <w:pPr>
              <w:rPr>
                <w:sz w:val="20"/>
                <w:szCs w:val="20"/>
              </w:rPr>
            </w:pPr>
            <w:r>
              <w:rPr>
                <w:sz w:val="20"/>
                <w:szCs w:val="20"/>
              </w:rPr>
              <w:t>99.31</w:t>
            </w:r>
          </w:p>
        </w:tc>
        <w:tc>
          <w:tcPr>
            <w:tcW w:w="1250" w:type="pct"/>
            <w:tcBorders>
              <w:top w:val="nil"/>
              <w:left w:val="nil"/>
              <w:bottom w:val="single" w:sz="4" w:space="0" w:color="auto"/>
              <w:right w:val="single" w:sz="4" w:space="0" w:color="auto"/>
            </w:tcBorders>
            <w:shd w:val="clear" w:color="auto" w:fill="auto"/>
            <w:noWrap/>
            <w:vAlign w:val="center"/>
            <w:hideMark/>
          </w:tcPr>
          <w:p w14:paraId="28E08EA1" w14:textId="77777777" w:rsidR="0074074D" w:rsidRDefault="0074074D" w:rsidP="00405BA7">
            <w:pPr>
              <w:rPr>
                <w:sz w:val="20"/>
                <w:szCs w:val="20"/>
              </w:rPr>
            </w:pPr>
            <w:r>
              <w:rPr>
                <w:sz w:val="20"/>
                <w:szCs w:val="20"/>
              </w:rPr>
              <w:t>1000</w:t>
            </w:r>
          </w:p>
        </w:tc>
      </w:tr>
      <w:tr w:rsidR="0074074D" w:rsidRPr="00066DB4" w14:paraId="760C48C6"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4750FD9E" w14:textId="77777777" w:rsidR="0074074D" w:rsidRDefault="0074074D" w:rsidP="00405BA7">
            <w:pPr>
              <w:rPr>
                <w:sz w:val="20"/>
                <w:szCs w:val="20"/>
              </w:rPr>
            </w:pPr>
            <w:r>
              <w:rPr>
                <w:sz w:val="20"/>
                <w:szCs w:val="20"/>
              </w:rPr>
              <w:t>99.26</w:t>
            </w:r>
          </w:p>
        </w:tc>
        <w:tc>
          <w:tcPr>
            <w:tcW w:w="1250" w:type="pct"/>
            <w:tcBorders>
              <w:top w:val="nil"/>
              <w:left w:val="nil"/>
              <w:bottom w:val="single" w:sz="4" w:space="0" w:color="auto"/>
              <w:right w:val="single" w:sz="4" w:space="0" w:color="auto"/>
            </w:tcBorders>
            <w:shd w:val="clear" w:color="auto" w:fill="auto"/>
            <w:noWrap/>
            <w:vAlign w:val="center"/>
            <w:hideMark/>
          </w:tcPr>
          <w:p w14:paraId="091E836C" w14:textId="77777777" w:rsidR="0074074D" w:rsidRDefault="0074074D" w:rsidP="00405BA7">
            <w:pPr>
              <w:rPr>
                <w:sz w:val="20"/>
                <w:szCs w:val="20"/>
              </w:rPr>
            </w:pPr>
            <w:r>
              <w:rPr>
                <w:sz w:val="20"/>
                <w:szCs w:val="20"/>
              </w:rPr>
              <w:t>1000</w:t>
            </w:r>
          </w:p>
        </w:tc>
        <w:tc>
          <w:tcPr>
            <w:tcW w:w="1250" w:type="pct"/>
            <w:tcBorders>
              <w:top w:val="nil"/>
              <w:left w:val="nil"/>
              <w:bottom w:val="single" w:sz="4" w:space="0" w:color="auto"/>
              <w:right w:val="single" w:sz="4" w:space="0" w:color="auto"/>
            </w:tcBorders>
            <w:shd w:val="clear" w:color="auto" w:fill="auto"/>
            <w:noWrap/>
            <w:vAlign w:val="center"/>
            <w:hideMark/>
          </w:tcPr>
          <w:p w14:paraId="72A484B9" w14:textId="77777777" w:rsidR="0074074D" w:rsidRDefault="0074074D" w:rsidP="00405BA7">
            <w:pPr>
              <w:rPr>
                <w:sz w:val="20"/>
                <w:szCs w:val="20"/>
              </w:rPr>
            </w:pPr>
          </w:p>
        </w:tc>
        <w:tc>
          <w:tcPr>
            <w:tcW w:w="1250" w:type="pct"/>
            <w:tcBorders>
              <w:top w:val="nil"/>
              <w:left w:val="nil"/>
              <w:bottom w:val="single" w:sz="4" w:space="0" w:color="auto"/>
              <w:right w:val="single" w:sz="4" w:space="0" w:color="auto"/>
            </w:tcBorders>
            <w:shd w:val="clear" w:color="auto" w:fill="auto"/>
            <w:noWrap/>
            <w:vAlign w:val="center"/>
            <w:hideMark/>
          </w:tcPr>
          <w:p w14:paraId="2C8499C8" w14:textId="77777777" w:rsidR="0074074D" w:rsidRDefault="0074074D" w:rsidP="00405BA7">
            <w:pPr>
              <w:rPr>
                <w:sz w:val="20"/>
                <w:szCs w:val="20"/>
              </w:rPr>
            </w:pPr>
          </w:p>
        </w:tc>
      </w:tr>
      <w:tr w:rsidR="0074074D" w:rsidRPr="00066DB4" w14:paraId="6663E1F0"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5050B9D5" w14:textId="77777777" w:rsidR="0074074D" w:rsidRDefault="0074074D" w:rsidP="00405BA7">
            <w:pPr>
              <w:rPr>
                <w:sz w:val="20"/>
                <w:szCs w:val="20"/>
              </w:rPr>
            </w:pPr>
            <w:r>
              <w:rPr>
                <w:sz w:val="20"/>
                <w:szCs w:val="20"/>
              </w:rPr>
              <w:t>99.25</w:t>
            </w:r>
          </w:p>
        </w:tc>
        <w:tc>
          <w:tcPr>
            <w:tcW w:w="1250" w:type="pct"/>
            <w:tcBorders>
              <w:top w:val="nil"/>
              <w:left w:val="nil"/>
              <w:bottom w:val="single" w:sz="4" w:space="0" w:color="auto"/>
              <w:right w:val="single" w:sz="4" w:space="0" w:color="auto"/>
            </w:tcBorders>
            <w:shd w:val="clear" w:color="auto" w:fill="auto"/>
            <w:noWrap/>
            <w:vAlign w:val="center"/>
            <w:hideMark/>
          </w:tcPr>
          <w:p w14:paraId="43F5FB6B" w14:textId="77777777" w:rsidR="0074074D" w:rsidRDefault="0074074D" w:rsidP="00405BA7">
            <w:pPr>
              <w:rPr>
                <w:sz w:val="20"/>
                <w:szCs w:val="20"/>
              </w:rPr>
            </w:pPr>
            <w:r>
              <w:rPr>
                <w:sz w:val="20"/>
                <w:szCs w:val="20"/>
              </w:rPr>
              <w:t>1000</w:t>
            </w:r>
          </w:p>
        </w:tc>
        <w:tc>
          <w:tcPr>
            <w:tcW w:w="1250" w:type="pct"/>
            <w:tcBorders>
              <w:top w:val="nil"/>
              <w:left w:val="nil"/>
              <w:bottom w:val="single" w:sz="4" w:space="0" w:color="auto"/>
              <w:right w:val="single" w:sz="4" w:space="0" w:color="auto"/>
            </w:tcBorders>
            <w:shd w:val="clear" w:color="auto" w:fill="auto"/>
            <w:noWrap/>
            <w:vAlign w:val="center"/>
            <w:hideMark/>
          </w:tcPr>
          <w:p w14:paraId="4EBB05F2" w14:textId="77777777" w:rsidR="0074074D" w:rsidRDefault="0074074D" w:rsidP="00405BA7">
            <w:pPr>
              <w:rPr>
                <w:sz w:val="20"/>
                <w:szCs w:val="20"/>
              </w:rPr>
            </w:pPr>
          </w:p>
        </w:tc>
        <w:tc>
          <w:tcPr>
            <w:tcW w:w="1250" w:type="pct"/>
            <w:tcBorders>
              <w:top w:val="nil"/>
              <w:left w:val="nil"/>
              <w:bottom w:val="single" w:sz="4" w:space="0" w:color="auto"/>
              <w:right w:val="single" w:sz="4" w:space="0" w:color="auto"/>
            </w:tcBorders>
            <w:shd w:val="clear" w:color="auto" w:fill="auto"/>
            <w:noWrap/>
            <w:vAlign w:val="center"/>
            <w:hideMark/>
          </w:tcPr>
          <w:p w14:paraId="77DFF917" w14:textId="77777777" w:rsidR="0074074D" w:rsidRDefault="0074074D" w:rsidP="00405BA7">
            <w:pPr>
              <w:rPr>
                <w:sz w:val="20"/>
                <w:szCs w:val="20"/>
              </w:rPr>
            </w:pPr>
          </w:p>
        </w:tc>
      </w:tr>
    </w:tbl>
    <w:p w14:paraId="20DF9453" w14:textId="77777777" w:rsidR="0074074D" w:rsidRPr="00066DB4" w:rsidRDefault="0074074D" w:rsidP="0074074D">
      <w:pPr>
        <w:rPr>
          <w:sz w:val="20"/>
          <w:szCs w:val="20"/>
        </w:rPr>
      </w:pPr>
      <w:r>
        <w:rPr>
          <w:rFonts w:hint="eastAsia"/>
          <w:sz w:val="20"/>
          <w:szCs w:val="20"/>
        </w:rPr>
        <w:t>开盘价选择：开盘价</w:t>
      </w:r>
      <w:r w:rsidRPr="00711AB2">
        <w:rPr>
          <w:sz w:val="20"/>
          <w:szCs w:val="20"/>
        </w:rPr>
        <w:t>99.30</w:t>
      </w:r>
      <w:r w:rsidRPr="00066DB4">
        <w:rPr>
          <w:rFonts w:hint="eastAsia"/>
          <w:sz w:val="20"/>
          <w:szCs w:val="20"/>
        </w:rPr>
        <w:t>，成交量</w:t>
      </w:r>
      <w:r w:rsidRPr="00066DB4">
        <w:rPr>
          <w:sz w:val="20"/>
          <w:szCs w:val="20"/>
        </w:rPr>
        <w:t>2000</w:t>
      </w:r>
      <w:r w:rsidRPr="00066DB4">
        <w:rPr>
          <w:sz w:val="20"/>
          <w:szCs w:val="20"/>
        </w:rPr>
        <w:t>，相同价位未匹配报价量</w:t>
      </w:r>
      <w:r w:rsidRPr="00066DB4">
        <w:rPr>
          <w:sz w:val="20"/>
          <w:szCs w:val="20"/>
        </w:rPr>
        <w:t>4000</w:t>
      </w:r>
      <w:r w:rsidRPr="00066DB4">
        <w:rPr>
          <w:sz w:val="20"/>
          <w:szCs w:val="20"/>
        </w:rPr>
        <w:t>。</w:t>
      </w:r>
    </w:p>
    <w:tbl>
      <w:tblPr>
        <w:tblW w:w="5000" w:type="pct"/>
        <w:jc w:val="center"/>
        <w:tblLook w:val="04A0" w:firstRow="1" w:lastRow="0" w:firstColumn="1" w:lastColumn="0" w:noHBand="0" w:noVBand="1"/>
      </w:tblPr>
      <w:tblGrid>
        <w:gridCol w:w="1590"/>
        <w:gridCol w:w="4216"/>
        <w:gridCol w:w="1328"/>
        <w:gridCol w:w="2216"/>
      </w:tblGrid>
      <w:tr w:rsidR="0074074D" w:rsidRPr="00066DB4" w14:paraId="09EF89A1" w14:textId="77777777" w:rsidTr="00405BA7">
        <w:trPr>
          <w:trHeight w:val="240"/>
          <w:jc w:val="center"/>
        </w:trPr>
        <w:tc>
          <w:tcPr>
            <w:tcW w:w="11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9E95A" w14:textId="77777777" w:rsidR="0074074D" w:rsidRDefault="0074074D" w:rsidP="00405BA7">
            <w:pPr>
              <w:rPr>
                <w:sz w:val="20"/>
                <w:szCs w:val="20"/>
              </w:rPr>
            </w:pPr>
            <w:r>
              <w:rPr>
                <w:rFonts w:hint="eastAsia"/>
                <w:sz w:val="20"/>
                <w:szCs w:val="20"/>
              </w:rPr>
              <w:t>价位</w:t>
            </w:r>
          </w:p>
        </w:tc>
        <w:tc>
          <w:tcPr>
            <w:tcW w:w="1753" w:type="pct"/>
            <w:tcBorders>
              <w:top w:val="single" w:sz="4" w:space="0" w:color="auto"/>
              <w:left w:val="nil"/>
              <w:bottom w:val="single" w:sz="4" w:space="0" w:color="auto"/>
              <w:right w:val="single" w:sz="4" w:space="0" w:color="auto"/>
            </w:tcBorders>
            <w:shd w:val="clear" w:color="auto" w:fill="auto"/>
            <w:noWrap/>
            <w:vAlign w:val="center"/>
            <w:hideMark/>
          </w:tcPr>
          <w:p w14:paraId="7A89FA2F" w14:textId="77777777" w:rsidR="0074074D" w:rsidRDefault="0074074D" w:rsidP="00405BA7">
            <w:pPr>
              <w:rPr>
                <w:sz w:val="20"/>
                <w:szCs w:val="20"/>
              </w:rPr>
            </w:pPr>
            <w:r>
              <w:rPr>
                <w:rFonts w:hint="eastAsia"/>
                <w:sz w:val="20"/>
                <w:szCs w:val="20"/>
              </w:rPr>
              <w:t>是否满足更优报价全成交、同价位单边全成交</w:t>
            </w:r>
          </w:p>
        </w:tc>
        <w:tc>
          <w:tcPr>
            <w:tcW w:w="1048" w:type="pct"/>
            <w:tcBorders>
              <w:top w:val="single" w:sz="4" w:space="0" w:color="auto"/>
              <w:left w:val="nil"/>
              <w:bottom w:val="single" w:sz="4" w:space="0" w:color="auto"/>
              <w:right w:val="single" w:sz="4" w:space="0" w:color="auto"/>
            </w:tcBorders>
            <w:shd w:val="clear" w:color="auto" w:fill="auto"/>
            <w:noWrap/>
            <w:vAlign w:val="center"/>
            <w:hideMark/>
          </w:tcPr>
          <w:p w14:paraId="1A4FCAC6" w14:textId="77777777" w:rsidR="0074074D" w:rsidRDefault="0074074D" w:rsidP="00405BA7">
            <w:pPr>
              <w:rPr>
                <w:sz w:val="20"/>
                <w:szCs w:val="20"/>
              </w:rPr>
            </w:pPr>
            <w:r>
              <w:rPr>
                <w:rFonts w:hint="eastAsia"/>
                <w:sz w:val="20"/>
                <w:szCs w:val="20"/>
              </w:rPr>
              <w:t>成交量</w:t>
            </w:r>
          </w:p>
        </w:tc>
        <w:tc>
          <w:tcPr>
            <w:tcW w:w="1010" w:type="pct"/>
            <w:tcBorders>
              <w:top w:val="single" w:sz="4" w:space="0" w:color="auto"/>
              <w:left w:val="nil"/>
              <w:bottom w:val="single" w:sz="4" w:space="0" w:color="auto"/>
              <w:right w:val="single" w:sz="4" w:space="0" w:color="auto"/>
            </w:tcBorders>
            <w:shd w:val="clear" w:color="auto" w:fill="auto"/>
            <w:noWrap/>
            <w:vAlign w:val="center"/>
            <w:hideMark/>
          </w:tcPr>
          <w:p w14:paraId="0222BE6A" w14:textId="77777777" w:rsidR="0074074D" w:rsidRDefault="0074074D" w:rsidP="00405BA7">
            <w:pPr>
              <w:rPr>
                <w:sz w:val="20"/>
                <w:szCs w:val="20"/>
              </w:rPr>
            </w:pPr>
            <w:r>
              <w:rPr>
                <w:rFonts w:hint="eastAsia"/>
                <w:sz w:val="20"/>
                <w:szCs w:val="20"/>
              </w:rPr>
              <w:t>相同价位未匹配报价量</w:t>
            </w:r>
          </w:p>
        </w:tc>
      </w:tr>
      <w:tr w:rsidR="0074074D" w:rsidRPr="00066DB4" w14:paraId="38E6A1D0" w14:textId="77777777" w:rsidTr="00405BA7">
        <w:trPr>
          <w:trHeight w:val="270"/>
          <w:jc w:val="center"/>
        </w:trPr>
        <w:tc>
          <w:tcPr>
            <w:tcW w:w="1189" w:type="pct"/>
            <w:tcBorders>
              <w:top w:val="nil"/>
              <w:left w:val="single" w:sz="4" w:space="0" w:color="auto"/>
              <w:bottom w:val="single" w:sz="4" w:space="0" w:color="auto"/>
              <w:right w:val="single" w:sz="4" w:space="0" w:color="auto"/>
            </w:tcBorders>
            <w:shd w:val="clear" w:color="auto" w:fill="auto"/>
            <w:noWrap/>
            <w:vAlign w:val="center"/>
            <w:hideMark/>
          </w:tcPr>
          <w:p w14:paraId="457FA3E8" w14:textId="77777777" w:rsidR="0074074D" w:rsidRPr="00413114" w:rsidRDefault="0074074D" w:rsidP="00405BA7">
            <w:pPr>
              <w:rPr>
                <w:b/>
                <w:bCs/>
                <w:sz w:val="20"/>
                <w:szCs w:val="20"/>
              </w:rPr>
            </w:pPr>
            <w:r w:rsidRPr="00413114">
              <w:rPr>
                <w:b/>
                <w:bCs/>
                <w:sz w:val="20"/>
                <w:szCs w:val="20"/>
              </w:rPr>
              <w:t>99.30</w:t>
            </w:r>
          </w:p>
        </w:tc>
        <w:tc>
          <w:tcPr>
            <w:tcW w:w="1753" w:type="pct"/>
            <w:tcBorders>
              <w:top w:val="nil"/>
              <w:left w:val="nil"/>
              <w:bottom w:val="single" w:sz="4" w:space="0" w:color="auto"/>
              <w:right w:val="single" w:sz="4" w:space="0" w:color="auto"/>
            </w:tcBorders>
            <w:shd w:val="clear" w:color="auto" w:fill="auto"/>
            <w:noWrap/>
            <w:vAlign w:val="center"/>
            <w:hideMark/>
          </w:tcPr>
          <w:p w14:paraId="4CBFD184" w14:textId="77777777" w:rsidR="0074074D" w:rsidRDefault="0074074D" w:rsidP="00405BA7">
            <w:pPr>
              <w:rPr>
                <w:sz w:val="20"/>
                <w:szCs w:val="20"/>
              </w:rPr>
            </w:pPr>
            <w:r w:rsidRPr="00066DB4">
              <w:rPr>
                <w:rFonts w:hint="eastAsia"/>
                <w:sz w:val="20"/>
                <w:szCs w:val="20"/>
              </w:rPr>
              <w:t>是</w:t>
            </w:r>
          </w:p>
        </w:tc>
        <w:tc>
          <w:tcPr>
            <w:tcW w:w="1048" w:type="pct"/>
            <w:tcBorders>
              <w:top w:val="nil"/>
              <w:left w:val="nil"/>
              <w:bottom w:val="single" w:sz="4" w:space="0" w:color="auto"/>
              <w:right w:val="single" w:sz="4" w:space="0" w:color="auto"/>
            </w:tcBorders>
            <w:shd w:val="clear" w:color="auto" w:fill="auto"/>
            <w:noWrap/>
            <w:vAlign w:val="center"/>
            <w:hideMark/>
          </w:tcPr>
          <w:p w14:paraId="75D58220" w14:textId="77777777" w:rsidR="0074074D" w:rsidRDefault="0074074D" w:rsidP="00405BA7">
            <w:pPr>
              <w:rPr>
                <w:sz w:val="20"/>
                <w:szCs w:val="20"/>
              </w:rPr>
            </w:pPr>
            <w:r w:rsidRPr="00066DB4">
              <w:rPr>
                <w:sz w:val="20"/>
                <w:szCs w:val="20"/>
              </w:rPr>
              <w:t>2000</w:t>
            </w:r>
          </w:p>
        </w:tc>
        <w:tc>
          <w:tcPr>
            <w:tcW w:w="1010" w:type="pct"/>
            <w:tcBorders>
              <w:top w:val="nil"/>
              <w:left w:val="nil"/>
              <w:bottom w:val="single" w:sz="4" w:space="0" w:color="auto"/>
              <w:right w:val="single" w:sz="4" w:space="0" w:color="auto"/>
            </w:tcBorders>
            <w:shd w:val="clear" w:color="auto" w:fill="auto"/>
            <w:noWrap/>
            <w:vAlign w:val="center"/>
            <w:hideMark/>
          </w:tcPr>
          <w:p w14:paraId="1AEE0947" w14:textId="77777777" w:rsidR="0074074D" w:rsidRDefault="0074074D" w:rsidP="00405BA7">
            <w:pPr>
              <w:rPr>
                <w:sz w:val="20"/>
                <w:szCs w:val="20"/>
              </w:rPr>
            </w:pPr>
            <w:r>
              <w:rPr>
                <w:sz w:val="20"/>
                <w:szCs w:val="20"/>
              </w:rPr>
              <w:t>4000</w:t>
            </w:r>
          </w:p>
        </w:tc>
      </w:tr>
    </w:tbl>
    <w:p w14:paraId="02DA8B2C" w14:textId="77777777" w:rsidR="0074074D" w:rsidRDefault="0074074D" w:rsidP="0074074D">
      <w:pPr>
        <w:rPr>
          <w:sz w:val="20"/>
          <w:szCs w:val="20"/>
        </w:rPr>
      </w:pPr>
      <w:r w:rsidRPr="00711AB2">
        <w:rPr>
          <w:rFonts w:hint="eastAsia"/>
          <w:sz w:val="20"/>
          <w:szCs w:val="20"/>
        </w:rPr>
        <w:t>但是在实际成交过程中，如果第一档实际由于黑名单不能成交</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74074D" w:rsidRPr="00066DB4" w14:paraId="1799E2ED" w14:textId="77777777" w:rsidTr="00405BA7">
        <w:trPr>
          <w:trHeight w:val="270"/>
          <w:jc w:val="center"/>
        </w:trPr>
        <w:tc>
          <w:tcPr>
            <w:tcW w:w="1250" w:type="pct"/>
            <w:shd w:val="clear" w:color="auto" w:fill="auto"/>
            <w:noWrap/>
            <w:vAlign w:val="center"/>
            <w:hideMark/>
          </w:tcPr>
          <w:p w14:paraId="1519CBF6" w14:textId="77777777" w:rsidR="0074074D" w:rsidRPr="00413114" w:rsidRDefault="0074074D" w:rsidP="00405BA7">
            <w:pPr>
              <w:rPr>
                <w:b/>
                <w:bCs/>
                <w:sz w:val="20"/>
                <w:szCs w:val="20"/>
              </w:rPr>
            </w:pPr>
            <w:r w:rsidRPr="00413114">
              <w:rPr>
                <w:b/>
                <w:bCs/>
                <w:sz w:val="20"/>
                <w:szCs w:val="20"/>
              </w:rPr>
              <w:t>99.30</w:t>
            </w:r>
          </w:p>
        </w:tc>
        <w:tc>
          <w:tcPr>
            <w:tcW w:w="1250" w:type="pct"/>
            <w:shd w:val="clear" w:color="auto" w:fill="auto"/>
            <w:noWrap/>
            <w:vAlign w:val="center"/>
            <w:hideMark/>
          </w:tcPr>
          <w:p w14:paraId="19B25FF5" w14:textId="77777777" w:rsidR="0074074D" w:rsidRPr="00413114" w:rsidRDefault="0074074D" w:rsidP="00405BA7">
            <w:pPr>
              <w:rPr>
                <w:b/>
                <w:bCs/>
                <w:sz w:val="20"/>
                <w:szCs w:val="20"/>
              </w:rPr>
            </w:pPr>
            <w:r w:rsidRPr="00413114">
              <w:rPr>
                <w:b/>
                <w:bCs/>
                <w:sz w:val="20"/>
                <w:szCs w:val="20"/>
              </w:rPr>
              <w:t>2000</w:t>
            </w:r>
          </w:p>
        </w:tc>
        <w:tc>
          <w:tcPr>
            <w:tcW w:w="1250" w:type="pct"/>
            <w:shd w:val="clear" w:color="auto" w:fill="auto"/>
            <w:noWrap/>
            <w:vAlign w:val="center"/>
            <w:hideMark/>
          </w:tcPr>
          <w:p w14:paraId="6B17FE56" w14:textId="77777777" w:rsidR="0074074D" w:rsidRPr="00413114" w:rsidRDefault="0074074D" w:rsidP="00405BA7">
            <w:pPr>
              <w:rPr>
                <w:b/>
                <w:bCs/>
                <w:sz w:val="20"/>
                <w:szCs w:val="20"/>
              </w:rPr>
            </w:pPr>
            <w:r w:rsidRPr="00413114">
              <w:rPr>
                <w:b/>
                <w:bCs/>
                <w:sz w:val="20"/>
                <w:szCs w:val="20"/>
              </w:rPr>
              <w:t>99.26</w:t>
            </w:r>
          </w:p>
        </w:tc>
        <w:tc>
          <w:tcPr>
            <w:tcW w:w="1250" w:type="pct"/>
            <w:shd w:val="clear" w:color="auto" w:fill="auto"/>
            <w:noWrap/>
            <w:vAlign w:val="center"/>
            <w:hideMark/>
          </w:tcPr>
          <w:p w14:paraId="12851C43" w14:textId="77777777" w:rsidR="0074074D" w:rsidRPr="00413114" w:rsidRDefault="0074074D" w:rsidP="00405BA7">
            <w:pPr>
              <w:rPr>
                <w:b/>
                <w:bCs/>
                <w:sz w:val="20"/>
                <w:szCs w:val="20"/>
              </w:rPr>
            </w:pPr>
            <w:r w:rsidRPr="00413114">
              <w:rPr>
                <w:b/>
                <w:bCs/>
                <w:sz w:val="20"/>
                <w:szCs w:val="20"/>
              </w:rPr>
              <w:t>1000</w:t>
            </w:r>
          </w:p>
        </w:tc>
      </w:tr>
    </w:tbl>
    <w:p w14:paraId="05A35480" w14:textId="77777777" w:rsidR="0074074D" w:rsidRDefault="0074074D" w:rsidP="0074074D">
      <w:pPr>
        <w:rPr>
          <w:sz w:val="20"/>
          <w:szCs w:val="20"/>
        </w:rPr>
      </w:pPr>
      <w:r w:rsidRPr="00711AB2">
        <w:rPr>
          <w:rFonts w:hint="eastAsia"/>
          <w:sz w:val="20"/>
          <w:szCs w:val="20"/>
        </w:rPr>
        <w:t>则系统需要根据实际情况调整成交对手方：</w:t>
      </w:r>
    </w:p>
    <w:tbl>
      <w:tblPr>
        <w:tblW w:w="5000" w:type="pct"/>
        <w:jc w:val="center"/>
        <w:tblLook w:val="04A0" w:firstRow="1" w:lastRow="0" w:firstColumn="1" w:lastColumn="0" w:noHBand="0" w:noVBand="1"/>
      </w:tblPr>
      <w:tblGrid>
        <w:gridCol w:w="2337"/>
        <w:gridCol w:w="2337"/>
        <w:gridCol w:w="2338"/>
        <w:gridCol w:w="2338"/>
      </w:tblGrid>
      <w:tr w:rsidR="0074074D" w:rsidRPr="00066DB4" w14:paraId="2AE1E361" w14:textId="77777777" w:rsidTr="00405BA7">
        <w:trPr>
          <w:trHeight w:val="240"/>
          <w:jc w:val="center"/>
        </w:trPr>
        <w:tc>
          <w:tcPr>
            <w:tcW w:w="2499"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D6107" w14:textId="77777777" w:rsidR="0074074D" w:rsidRDefault="0074074D" w:rsidP="00405BA7">
            <w:pPr>
              <w:rPr>
                <w:sz w:val="20"/>
                <w:szCs w:val="20"/>
              </w:rPr>
            </w:pPr>
            <w:r w:rsidRPr="00066DB4">
              <w:rPr>
                <w:rFonts w:hint="eastAsia"/>
                <w:sz w:val="20"/>
                <w:szCs w:val="20"/>
              </w:rPr>
              <w:t>买入报价</w:t>
            </w:r>
          </w:p>
        </w:tc>
        <w:tc>
          <w:tcPr>
            <w:tcW w:w="250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EB04207" w14:textId="77777777" w:rsidR="0074074D" w:rsidRDefault="0074074D" w:rsidP="00405BA7">
            <w:pPr>
              <w:rPr>
                <w:sz w:val="20"/>
                <w:szCs w:val="20"/>
              </w:rPr>
            </w:pPr>
            <w:r w:rsidRPr="00066DB4">
              <w:rPr>
                <w:rFonts w:hint="eastAsia"/>
                <w:sz w:val="20"/>
                <w:szCs w:val="20"/>
              </w:rPr>
              <w:t>卖出报价</w:t>
            </w:r>
          </w:p>
        </w:tc>
      </w:tr>
      <w:tr w:rsidR="0074074D" w:rsidRPr="00066DB4" w14:paraId="25D71BFE"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36DCDC1A" w14:textId="77777777" w:rsidR="0074074D" w:rsidRDefault="0074074D" w:rsidP="00405BA7">
            <w:pPr>
              <w:rPr>
                <w:sz w:val="20"/>
                <w:szCs w:val="20"/>
              </w:rPr>
            </w:pPr>
            <w:r>
              <w:rPr>
                <w:rFonts w:hint="eastAsia"/>
                <w:sz w:val="20"/>
                <w:szCs w:val="20"/>
              </w:rPr>
              <w:t>净价（元）</w:t>
            </w:r>
          </w:p>
        </w:tc>
        <w:tc>
          <w:tcPr>
            <w:tcW w:w="1250" w:type="pct"/>
            <w:tcBorders>
              <w:top w:val="nil"/>
              <w:left w:val="nil"/>
              <w:bottom w:val="single" w:sz="4" w:space="0" w:color="auto"/>
              <w:right w:val="single" w:sz="4" w:space="0" w:color="auto"/>
            </w:tcBorders>
            <w:shd w:val="clear" w:color="auto" w:fill="auto"/>
            <w:noWrap/>
            <w:vAlign w:val="center"/>
            <w:hideMark/>
          </w:tcPr>
          <w:p w14:paraId="51F49F72" w14:textId="77777777" w:rsidR="0074074D" w:rsidRDefault="0074074D" w:rsidP="00405BA7">
            <w:pPr>
              <w:rPr>
                <w:sz w:val="20"/>
                <w:szCs w:val="20"/>
              </w:rPr>
            </w:pPr>
            <w:r>
              <w:rPr>
                <w:rFonts w:hint="eastAsia"/>
                <w:sz w:val="20"/>
                <w:szCs w:val="20"/>
              </w:rPr>
              <w:t>报价量（万）</w:t>
            </w:r>
          </w:p>
        </w:tc>
        <w:tc>
          <w:tcPr>
            <w:tcW w:w="1250" w:type="pct"/>
            <w:tcBorders>
              <w:top w:val="nil"/>
              <w:left w:val="nil"/>
              <w:bottom w:val="single" w:sz="4" w:space="0" w:color="auto"/>
              <w:right w:val="single" w:sz="4" w:space="0" w:color="auto"/>
            </w:tcBorders>
            <w:shd w:val="clear" w:color="auto" w:fill="auto"/>
            <w:noWrap/>
            <w:vAlign w:val="center"/>
            <w:hideMark/>
          </w:tcPr>
          <w:p w14:paraId="3095B5A0" w14:textId="77777777" w:rsidR="0074074D" w:rsidRDefault="0074074D" w:rsidP="00405BA7">
            <w:pPr>
              <w:rPr>
                <w:sz w:val="20"/>
                <w:szCs w:val="20"/>
              </w:rPr>
            </w:pPr>
            <w:r>
              <w:rPr>
                <w:rFonts w:hint="eastAsia"/>
                <w:sz w:val="20"/>
                <w:szCs w:val="20"/>
              </w:rPr>
              <w:t>净价（元）</w:t>
            </w:r>
          </w:p>
        </w:tc>
        <w:tc>
          <w:tcPr>
            <w:tcW w:w="1250" w:type="pct"/>
            <w:tcBorders>
              <w:top w:val="nil"/>
              <w:left w:val="nil"/>
              <w:bottom w:val="single" w:sz="4" w:space="0" w:color="auto"/>
              <w:right w:val="single" w:sz="4" w:space="0" w:color="auto"/>
            </w:tcBorders>
            <w:shd w:val="clear" w:color="auto" w:fill="auto"/>
            <w:noWrap/>
            <w:vAlign w:val="center"/>
            <w:hideMark/>
          </w:tcPr>
          <w:p w14:paraId="7A659376" w14:textId="77777777" w:rsidR="0074074D" w:rsidRDefault="0074074D" w:rsidP="00405BA7">
            <w:pPr>
              <w:rPr>
                <w:sz w:val="20"/>
                <w:szCs w:val="20"/>
              </w:rPr>
            </w:pPr>
            <w:r>
              <w:rPr>
                <w:rFonts w:hint="eastAsia"/>
                <w:sz w:val="20"/>
                <w:szCs w:val="20"/>
              </w:rPr>
              <w:t>报价量（万）</w:t>
            </w:r>
          </w:p>
        </w:tc>
      </w:tr>
      <w:tr w:rsidR="0074074D" w:rsidRPr="00066DB4" w14:paraId="50BCF004" w14:textId="77777777" w:rsidTr="00405BA7">
        <w:trPr>
          <w:trHeight w:val="270"/>
          <w:jc w:val="center"/>
        </w:trPr>
        <w:tc>
          <w:tcPr>
            <w:tcW w:w="1250" w:type="pct"/>
            <w:tcBorders>
              <w:top w:val="nil"/>
              <w:left w:val="single" w:sz="4" w:space="0" w:color="auto"/>
              <w:bottom w:val="single" w:sz="4" w:space="0" w:color="auto"/>
              <w:right w:val="single" w:sz="4" w:space="0" w:color="auto"/>
            </w:tcBorders>
            <w:shd w:val="clear" w:color="auto" w:fill="auto"/>
            <w:noWrap/>
            <w:vAlign w:val="center"/>
            <w:hideMark/>
          </w:tcPr>
          <w:p w14:paraId="48599825" w14:textId="77777777" w:rsidR="0074074D" w:rsidRPr="00413114" w:rsidRDefault="0074074D" w:rsidP="00405BA7">
            <w:pPr>
              <w:rPr>
                <w:b/>
                <w:bCs/>
                <w:sz w:val="20"/>
                <w:szCs w:val="20"/>
              </w:rPr>
            </w:pPr>
            <w:r w:rsidRPr="00413114">
              <w:rPr>
                <w:b/>
                <w:bCs/>
                <w:sz w:val="20"/>
                <w:szCs w:val="20"/>
              </w:rPr>
              <w:t>99.30</w:t>
            </w:r>
          </w:p>
        </w:tc>
        <w:tc>
          <w:tcPr>
            <w:tcW w:w="1250" w:type="pct"/>
            <w:tcBorders>
              <w:top w:val="nil"/>
              <w:left w:val="nil"/>
              <w:bottom w:val="single" w:sz="4" w:space="0" w:color="auto"/>
              <w:right w:val="single" w:sz="4" w:space="0" w:color="auto"/>
            </w:tcBorders>
            <w:shd w:val="clear" w:color="auto" w:fill="auto"/>
            <w:noWrap/>
            <w:vAlign w:val="center"/>
            <w:hideMark/>
          </w:tcPr>
          <w:p w14:paraId="302E981D" w14:textId="77777777" w:rsidR="0074074D" w:rsidRPr="00413114" w:rsidRDefault="0074074D" w:rsidP="00405BA7">
            <w:pPr>
              <w:rPr>
                <w:b/>
                <w:bCs/>
                <w:sz w:val="20"/>
                <w:szCs w:val="20"/>
              </w:rPr>
            </w:pPr>
            <w:r w:rsidRPr="00413114">
              <w:rPr>
                <w:b/>
                <w:bCs/>
                <w:sz w:val="20"/>
                <w:szCs w:val="20"/>
              </w:rPr>
              <w:t>2000</w:t>
            </w:r>
          </w:p>
        </w:tc>
        <w:tc>
          <w:tcPr>
            <w:tcW w:w="1250" w:type="pct"/>
            <w:tcBorders>
              <w:top w:val="nil"/>
              <w:left w:val="nil"/>
              <w:bottom w:val="single" w:sz="4" w:space="0" w:color="auto"/>
              <w:right w:val="single" w:sz="4" w:space="0" w:color="auto"/>
            </w:tcBorders>
            <w:shd w:val="clear" w:color="auto" w:fill="auto"/>
            <w:noWrap/>
            <w:vAlign w:val="center"/>
          </w:tcPr>
          <w:p w14:paraId="068E4DC1" w14:textId="77777777" w:rsidR="0074074D" w:rsidRPr="00413114" w:rsidRDefault="0074074D" w:rsidP="00405BA7">
            <w:pPr>
              <w:rPr>
                <w:b/>
                <w:bCs/>
                <w:sz w:val="20"/>
                <w:szCs w:val="20"/>
              </w:rPr>
            </w:pPr>
            <w:r w:rsidRPr="00413114">
              <w:rPr>
                <w:b/>
                <w:bCs/>
                <w:sz w:val="20"/>
                <w:szCs w:val="20"/>
              </w:rPr>
              <w:t>99.30</w:t>
            </w:r>
          </w:p>
        </w:tc>
        <w:tc>
          <w:tcPr>
            <w:tcW w:w="1250" w:type="pct"/>
            <w:tcBorders>
              <w:top w:val="nil"/>
              <w:left w:val="nil"/>
              <w:bottom w:val="single" w:sz="4" w:space="0" w:color="auto"/>
              <w:right w:val="single" w:sz="4" w:space="0" w:color="auto"/>
            </w:tcBorders>
            <w:shd w:val="clear" w:color="auto" w:fill="auto"/>
            <w:noWrap/>
            <w:vAlign w:val="center"/>
          </w:tcPr>
          <w:p w14:paraId="1C49A7F4" w14:textId="77777777" w:rsidR="0074074D" w:rsidRPr="00413114" w:rsidRDefault="0074074D" w:rsidP="00405BA7">
            <w:pPr>
              <w:rPr>
                <w:b/>
                <w:bCs/>
                <w:sz w:val="20"/>
                <w:szCs w:val="20"/>
              </w:rPr>
            </w:pPr>
            <w:r w:rsidRPr="00413114">
              <w:rPr>
                <w:b/>
                <w:bCs/>
                <w:sz w:val="20"/>
                <w:szCs w:val="20"/>
              </w:rPr>
              <w:t>5000</w:t>
            </w:r>
          </w:p>
        </w:tc>
      </w:tr>
    </w:tbl>
    <w:p w14:paraId="7B50A204" w14:textId="77777777" w:rsidR="0074074D" w:rsidRPr="00066DB4" w:rsidRDefault="0074074D" w:rsidP="0074074D">
      <w:r w:rsidRPr="00711AB2">
        <w:rPr>
          <w:rFonts w:hint="eastAsia"/>
          <w:sz w:val="20"/>
          <w:szCs w:val="20"/>
        </w:rPr>
        <w:t>则实际成交量为</w:t>
      </w:r>
      <w:r w:rsidRPr="00711AB2">
        <w:rPr>
          <w:sz w:val="20"/>
          <w:szCs w:val="20"/>
        </w:rPr>
        <w:t>2000</w:t>
      </w:r>
      <w:r w:rsidRPr="00711AB2">
        <w:rPr>
          <w:rFonts w:hint="eastAsia"/>
          <w:sz w:val="20"/>
          <w:szCs w:val="20"/>
        </w:rPr>
        <w:t>（万元），成交价格即开盘价</w:t>
      </w:r>
      <w:r w:rsidRPr="00711AB2">
        <w:rPr>
          <w:sz w:val="20"/>
          <w:szCs w:val="20"/>
        </w:rPr>
        <w:t xml:space="preserve"> 99.30.</w:t>
      </w:r>
    </w:p>
    <w:p w14:paraId="573A07FD" w14:textId="77777777" w:rsidR="00655933" w:rsidRDefault="0074074D"/>
    <w:sectPr w:rsidR="00655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7283D" w14:textId="77777777" w:rsidR="0074074D" w:rsidRDefault="0074074D" w:rsidP="0074074D">
      <w:r>
        <w:separator/>
      </w:r>
    </w:p>
  </w:endnote>
  <w:endnote w:type="continuationSeparator" w:id="0">
    <w:p w14:paraId="5FCDE3CF" w14:textId="77777777" w:rsidR="0074074D" w:rsidRDefault="0074074D" w:rsidP="00740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9344D" w14:textId="77777777" w:rsidR="0074074D" w:rsidRDefault="0074074D" w:rsidP="0074074D">
      <w:r>
        <w:separator/>
      </w:r>
    </w:p>
  </w:footnote>
  <w:footnote w:type="continuationSeparator" w:id="0">
    <w:p w14:paraId="2005C8BB" w14:textId="77777777" w:rsidR="0074074D" w:rsidRDefault="0074074D" w:rsidP="007407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74D"/>
    <w:rsid w:val="0074074D"/>
    <w:rsid w:val="00945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6DCDF"/>
  <w15:chartTrackingRefBased/>
  <w15:docId w15:val="{970DF049-1D72-41B2-B97A-55AC156A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4074D"/>
    <w:pPr>
      <w:widowControl w:val="0"/>
      <w:spacing w:after="0" w:line="240" w:lineRule="auto"/>
      <w:jc w:val="both"/>
    </w:pPr>
    <w:rPr>
      <w:rFonts w:ascii="Times New Roman" w:eastAsia="SimSun" w:hAnsi="Times New Roman" w:cs="Times New Roman"/>
      <w:kern w:val="2"/>
      <w:sz w:val="21"/>
      <w:szCs w:val="21"/>
    </w:rPr>
  </w:style>
  <w:style w:type="paragraph" w:styleId="Heading1">
    <w:name w:val="heading 1"/>
    <w:basedOn w:val="Normal"/>
    <w:next w:val="Normal"/>
    <w:link w:val="Heading1Char"/>
    <w:uiPriority w:val="9"/>
    <w:qFormat/>
    <w:rsid w:val="007407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074D"/>
    <w:rPr>
      <w:rFonts w:asciiTheme="majorHAnsi" w:eastAsiaTheme="majorEastAsia" w:hAnsiTheme="majorHAnsi" w:cstheme="majorBidi"/>
      <w:color w:val="2F5496" w:themeColor="accent1" w:themeShade="BF"/>
      <w:kern w:val="2"/>
      <w:sz w:val="26"/>
      <w:szCs w:val="26"/>
    </w:rPr>
  </w:style>
  <w:style w:type="character" w:customStyle="1" w:styleId="Heading1Char">
    <w:name w:val="Heading 1 Char"/>
    <w:basedOn w:val="DefaultParagraphFont"/>
    <w:link w:val="Heading1"/>
    <w:uiPriority w:val="9"/>
    <w:rsid w:val="0074074D"/>
    <w:rPr>
      <w:rFonts w:asciiTheme="majorHAnsi" w:eastAsiaTheme="majorEastAsia" w:hAnsiTheme="majorHAnsi" w:cstheme="majorBidi"/>
      <w:color w:val="2F5496" w:themeColor="accent1" w:themeShade="BF"/>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75ADF586232439B4AD6A4B29A0C0F" ma:contentTypeVersion="8" ma:contentTypeDescription="Create a new document." ma:contentTypeScope="" ma:versionID="b2743151fe8bf67b067295bcb77e1315">
  <xsd:schema xmlns:xsd="http://www.w3.org/2001/XMLSchema" xmlns:xs="http://www.w3.org/2001/XMLSchema" xmlns:p="http://schemas.microsoft.com/office/2006/metadata/properties" xmlns:ns3="00f1896b-7db0-4ac7-9b0d-2c14dc5d7d3b" targetNamespace="http://schemas.microsoft.com/office/2006/metadata/properties" ma:root="true" ma:fieldsID="fde55415a5709758f7fe9333d0fc40bf" ns3:_="">
    <xsd:import namespace="00f1896b-7db0-4ac7-9b0d-2c14dc5d7d3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1896b-7db0-4ac7-9b0d-2c14dc5d7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15D76C-DCD0-47B6-A602-F5D5D5226F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f1896b-7db0-4ac7-9b0d-2c14dc5d7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B15C6-BDF4-4754-8719-613FD7D2F629}">
  <ds:schemaRefs>
    <ds:schemaRef ds:uri="http://schemas.microsoft.com/sharepoint/v3/contenttype/forms"/>
  </ds:schemaRefs>
</ds:datastoreItem>
</file>

<file path=customXml/itemProps3.xml><?xml version="1.0" encoding="utf-8"?>
<ds:datastoreItem xmlns:ds="http://schemas.openxmlformats.org/officeDocument/2006/customXml" ds:itemID="{8AE51389-819F-42B6-AB30-E52D96B9C536}">
  <ds:schemaRefs>
    <ds:schemaRef ds:uri="00f1896b-7db0-4ac7-9b0d-2c14dc5d7d3b"/>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Ying A.</dc:creator>
  <cp:keywords/>
  <dc:description/>
  <cp:lastModifiedBy>Ying Zhong</cp:lastModifiedBy>
  <cp:revision>1</cp:revision>
  <dcterms:created xsi:type="dcterms:W3CDTF">2020-03-27T09:59:00Z</dcterms:created>
  <dcterms:modified xsi:type="dcterms:W3CDTF">2020-03-27T10:01:00Z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0x0101003C075ADF586232439B4AD6A4B29A0C0F</vt:lpwstr>
  </property>
</Properties>
</file>