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仿宋_GB2312" w:eastAsia="仿宋_GB2312"/>
          <w:sz w:val="32"/>
          <w:szCs w:val="32"/>
        </w:rPr>
      </w:pPr>
      <w:r>
        <w:rPr>
          <w:rFonts w:hint="eastAsia" w:ascii="黑体" w:hAnsi="黑体" w:eastAsia="黑体" w:cs="Times New Roman"/>
          <w:b/>
          <w:kern w:val="0"/>
          <w:sz w:val="44"/>
          <w:szCs w:val="44"/>
        </w:rPr>
        <w:t>应用系统回头看实施方案</w:t>
      </w:r>
    </w:p>
    <w:p>
      <w:pPr>
        <w:adjustRightInd w:val="0"/>
        <w:snapToGrid w:val="0"/>
        <w:spacing w:line="530" w:lineRule="exact"/>
        <w:rPr>
          <w:rFonts w:ascii="黑体" w:hAnsi="黑体" w:eastAsia="黑体"/>
          <w:sz w:val="32"/>
          <w:szCs w:val="32"/>
        </w:rPr>
      </w:pPr>
      <w:r>
        <w:rPr>
          <w:rFonts w:hint="eastAsia" w:ascii="黑体" w:hAnsi="黑体" w:eastAsia="黑体"/>
          <w:sz w:val="32"/>
          <w:szCs w:val="32"/>
        </w:rPr>
        <w:t>一、背景和目标</w:t>
      </w:r>
    </w:p>
    <w:p>
      <w:pPr>
        <w:snapToGrid w:val="0"/>
        <w:spacing w:before="60" w:after="60" w:line="312" w:lineRule="auto"/>
        <w:ind w:firstLine="640" w:firstLineChars="200"/>
        <w:jc w:val="left"/>
        <w:rPr>
          <w:rFonts w:ascii="仿宋_GB2312" w:hAnsi="微软雅黑" w:eastAsia="仿宋_GB2312"/>
          <w:color w:val="333333"/>
          <w:sz w:val="32"/>
          <w:szCs w:val="32"/>
        </w:rPr>
      </w:pPr>
      <w:r>
        <w:rPr>
          <w:rFonts w:hint="eastAsia" w:ascii="仿宋_GB2312" w:hAnsi="微软雅黑" w:eastAsia="仿宋_GB2312"/>
          <w:color w:val="333333"/>
          <w:sz w:val="32"/>
          <w:szCs w:val="32"/>
        </w:rPr>
        <w:t>为贯彻落实生产系统安全稳定运行的总体要求，建立以预防为主和可持续发展相结合的系统建设和安全生产工作机制，实现“要我安全”到“我要安全”的工作思维转变，从系统维度回顾和排查项目建设全生命周期内各个环节的风险点，做到生产安全隐患早排查、早发现、早解决，切实提升生产系统的可用性，保障交易中心金融基础设施安全稳定运行，公司将组织开展应用系统回头看工作，工作范围涵盖系统开发和生产运行整个过程，并基于本次应用系统回头看工作实施开展的经验和积累，建立长效的生产安全预防和控制机制，夯实生产安全运行的基础。</w:t>
      </w:r>
    </w:p>
    <w:p>
      <w:pPr>
        <w:snapToGrid w:val="0"/>
        <w:spacing w:before="60" w:after="60" w:line="312" w:lineRule="auto"/>
        <w:ind w:firstLine="640" w:firstLineChars="200"/>
        <w:jc w:val="left"/>
        <w:rPr>
          <w:rFonts w:ascii="仿宋_GB2312" w:hAnsi="微软雅黑" w:eastAsia="仿宋_GB2312"/>
          <w:color w:val="333333"/>
          <w:sz w:val="32"/>
          <w:szCs w:val="32"/>
        </w:rPr>
      </w:pPr>
      <w:r>
        <w:rPr>
          <w:rFonts w:hint="eastAsia" w:ascii="仿宋_GB2312" w:hAnsi="微软雅黑" w:eastAsia="仿宋_GB2312"/>
          <w:color w:val="333333"/>
          <w:sz w:val="32"/>
          <w:szCs w:val="32"/>
        </w:rPr>
        <w:t>本次应用系统回头看的目标和要求为：</w:t>
      </w:r>
    </w:p>
    <w:p>
      <w:pPr>
        <w:snapToGrid w:val="0"/>
        <w:spacing w:before="60" w:after="60" w:line="312" w:lineRule="auto"/>
        <w:ind w:firstLine="640" w:firstLineChars="200"/>
        <w:jc w:val="left"/>
        <w:rPr>
          <w:rFonts w:ascii="仿宋_GB2312" w:hAnsi="微软雅黑" w:eastAsia="仿宋_GB2312"/>
          <w:color w:val="333333"/>
          <w:sz w:val="32"/>
          <w:szCs w:val="32"/>
        </w:rPr>
      </w:pPr>
      <w:r>
        <w:rPr>
          <w:rFonts w:hint="eastAsia" w:ascii="仿宋_GB2312" w:hAnsi="微软雅黑" w:eastAsia="仿宋_GB2312"/>
          <w:color w:val="333333"/>
          <w:sz w:val="32"/>
          <w:szCs w:val="32"/>
        </w:rPr>
        <w:t>1、根据本次回头看工作要求的重点排查环节和内容，完成交易中心核心交易系统及重点系统的风险排查工作，根据排查结果整理出来各系统需要优化的需求。</w:t>
      </w:r>
    </w:p>
    <w:p>
      <w:pPr>
        <w:snapToGrid w:val="0"/>
        <w:spacing w:before="60" w:after="60" w:line="312" w:lineRule="auto"/>
        <w:ind w:firstLine="640" w:firstLineChars="200"/>
        <w:jc w:val="left"/>
        <w:rPr>
          <w:rFonts w:ascii="仿宋_GB2312" w:hAnsi="微软雅黑" w:eastAsia="仿宋_GB2312"/>
          <w:color w:val="333333"/>
          <w:sz w:val="32"/>
          <w:szCs w:val="32"/>
        </w:rPr>
      </w:pPr>
      <w:r>
        <w:rPr>
          <w:rFonts w:hint="eastAsia" w:ascii="仿宋_GB2312" w:hAnsi="微软雅黑" w:eastAsia="仿宋_GB2312"/>
          <w:color w:val="333333"/>
          <w:sz w:val="32"/>
          <w:szCs w:val="32"/>
        </w:rPr>
        <w:t>2、根据各系统风险排查的优化需求，安排开展需求分析并制定优化解决方案，其中共性问题由公司层面统筹制定优化解决方案和计划，个性问题由各项目组自行负责制定优化方案和计划，责任到人，限时完成。</w:t>
      </w:r>
    </w:p>
    <w:p>
      <w:pPr>
        <w:snapToGrid w:val="0"/>
        <w:spacing w:before="60" w:after="60" w:line="312" w:lineRule="auto"/>
        <w:ind w:firstLine="640" w:firstLineChars="200"/>
        <w:jc w:val="left"/>
        <w:rPr>
          <w:rFonts w:ascii="仿宋_GB2312" w:hAnsi="微软雅黑" w:eastAsia="仿宋_GB2312"/>
          <w:color w:val="333333"/>
          <w:sz w:val="32"/>
          <w:szCs w:val="32"/>
        </w:rPr>
      </w:pPr>
      <w:r>
        <w:rPr>
          <w:rFonts w:hint="eastAsia" w:ascii="仿宋_GB2312" w:hAnsi="微软雅黑" w:eastAsia="仿宋_GB2312"/>
          <w:color w:val="333333"/>
          <w:sz w:val="32"/>
          <w:szCs w:val="32"/>
        </w:rPr>
        <w:t>3、对本次应用系统回头看工作进行总体回顾和总结，建立长效的制度、机制和流程。</w:t>
      </w:r>
    </w:p>
    <w:p>
      <w:pPr>
        <w:snapToGrid w:val="0"/>
        <w:spacing w:before="60" w:after="60" w:line="312" w:lineRule="auto"/>
        <w:ind w:firstLine="640" w:firstLineChars="200"/>
        <w:jc w:val="left"/>
        <w:rPr>
          <w:rFonts w:ascii="仿宋_GB2312" w:hAnsi="微软雅黑" w:eastAsia="仿宋_GB2312"/>
          <w:color w:val="333333"/>
          <w:sz w:val="32"/>
          <w:szCs w:val="32"/>
        </w:rPr>
      </w:pPr>
      <w:r>
        <w:rPr>
          <w:rFonts w:hint="eastAsia" w:ascii="仿宋_GB2312" w:hAnsi="微软雅黑" w:eastAsia="仿宋_GB2312"/>
          <w:color w:val="333333"/>
          <w:sz w:val="32"/>
          <w:szCs w:val="32"/>
        </w:rPr>
        <w:t>要求各相关部门要以高度的使命感和责任感推进实施本次应用系统回头看工作，确保工作落到实效。应用系统回头看工作评估结果和实施成效，将纳入到项目考核。</w:t>
      </w:r>
    </w:p>
    <w:p>
      <w:pPr>
        <w:adjustRightInd w:val="0"/>
        <w:snapToGrid w:val="0"/>
        <w:spacing w:line="530" w:lineRule="exact"/>
        <w:rPr>
          <w:rFonts w:ascii="黑体" w:hAnsi="黑体" w:eastAsia="黑体"/>
          <w:sz w:val="32"/>
          <w:szCs w:val="32"/>
        </w:rPr>
      </w:pPr>
      <w:r>
        <w:rPr>
          <w:rFonts w:hint="eastAsia" w:ascii="黑体" w:hAnsi="黑体" w:eastAsia="黑体"/>
          <w:sz w:val="32"/>
          <w:szCs w:val="32"/>
        </w:rPr>
        <w:t>二、开展方式</w:t>
      </w:r>
    </w:p>
    <w:p>
      <w:pPr>
        <w:adjustRightInd w:val="0"/>
        <w:snapToGrid w:val="0"/>
        <w:spacing w:line="530" w:lineRule="exact"/>
        <w:ind w:firstLine="648"/>
        <w:rPr>
          <w:rFonts w:ascii="仿宋_GB2312" w:eastAsia="仿宋_GB2312"/>
          <w:sz w:val="32"/>
          <w:szCs w:val="32"/>
        </w:rPr>
      </w:pPr>
      <w:r>
        <w:rPr>
          <w:rFonts w:hint="eastAsia" w:ascii="仿宋_GB2312" w:eastAsia="仿宋_GB2312"/>
          <w:sz w:val="32"/>
          <w:szCs w:val="32"/>
        </w:rPr>
        <w:t>本次应用系统回头看工作以应用系统为单位，通过部门自查和交叉检查、公司统筹审核等方式来开展。</w:t>
      </w:r>
    </w:p>
    <w:p>
      <w:pPr>
        <w:adjustRightInd w:val="0"/>
        <w:snapToGrid w:val="0"/>
        <w:spacing w:line="530" w:lineRule="exact"/>
        <w:ind w:firstLine="648"/>
        <w:rPr>
          <w:rFonts w:ascii="仿宋_GB2312" w:eastAsia="仿宋_GB2312"/>
          <w:sz w:val="32"/>
          <w:szCs w:val="32"/>
        </w:rPr>
      </w:pPr>
      <w:r>
        <w:rPr>
          <w:rFonts w:hint="eastAsia" w:ascii="仿宋_GB2312" w:eastAsia="仿宋_GB2312"/>
          <w:sz w:val="32"/>
          <w:szCs w:val="32"/>
        </w:rPr>
        <w:t>一是各部门自查和交叉检查。PMO和技术管理部预先提供部门交叉检查配对结果；各部门提供技术检查员名单，根据安排负责交叉检查部门的审核工作；被检查部门从部门层面排定各系统自查计划，并成立专门的技术团队，与各系统负责人、技术检查员一起完成自查工作，提交自查报告；技术检查员审核自查报告。</w:t>
      </w:r>
    </w:p>
    <w:p>
      <w:pPr>
        <w:adjustRightInd w:val="0"/>
        <w:snapToGrid w:val="0"/>
        <w:spacing w:line="530" w:lineRule="exact"/>
        <w:ind w:firstLine="648"/>
        <w:rPr>
          <w:rFonts w:ascii="仿宋_GB2312" w:eastAsia="仿宋_GB2312"/>
          <w:sz w:val="32"/>
          <w:szCs w:val="32"/>
        </w:rPr>
      </w:pPr>
      <w:r>
        <w:rPr>
          <w:rFonts w:hint="eastAsia" w:ascii="仿宋_GB2312" w:eastAsia="仿宋_GB2312"/>
          <w:sz w:val="32"/>
          <w:szCs w:val="32"/>
        </w:rPr>
        <w:t>二是公司层面进行统筹审核。依托技术工作会议和项目工作会议的组织形式，从公司层面成立不同技术专业方向的技术团队，及时解决各部门系统自查过程中遇到的问题，对各部门技术团队重点内容进行协查和复核，并牵头组织确定解决方案。</w:t>
      </w:r>
    </w:p>
    <w:p>
      <w:pPr>
        <w:adjustRightInd w:val="0"/>
        <w:snapToGrid w:val="0"/>
        <w:spacing w:line="530" w:lineRule="exact"/>
        <w:ind w:firstLine="648"/>
        <w:rPr>
          <w:rFonts w:ascii="黑体" w:hAnsi="黑体" w:eastAsia="黑体"/>
          <w:sz w:val="32"/>
          <w:szCs w:val="32"/>
        </w:rPr>
      </w:pPr>
      <w:r>
        <w:rPr>
          <w:rFonts w:hint="eastAsia" w:ascii="黑体" w:hAnsi="黑体" w:eastAsia="黑体"/>
          <w:sz w:val="32"/>
          <w:szCs w:val="32"/>
        </w:rPr>
        <w:t>三、职责分工</w:t>
      </w:r>
    </w:p>
    <w:p>
      <w:pPr>
        <w:adjustRightInd w:val="0"/>
        <w:snapToGrid w:val="0"/>
        <w:spacing w:line="530" w:lineRule="exact"/>
        <w:ind w:firstLine="648"/>
        <w:rPr>
          <w:rFonts w:ascii="仿宋_GB2312" w:eastAsia="仿宋_GB2312"/>
          <w:sz w:val="32"/>
          <w:szCs w:val="32"/>
        </w:rPr>
      </w:pPr>
      <w:r>
        <w:rPr>
          <w:rFonts w:hint="eastAsia" w:ascii="仿宋_GB2312" w:eastAsia="仿宋_GB2312"/>
          <w:b/>
          <w:bCs/>
          <w:sz w:val="32"/>
          <w:szCs w:val="32"/>
        </w:rPr>
        <w:t>P</w:t>
      </w:r>
      <w:r>
        <w:rPr>
          <w:rFonts w:ascii="仿宋_GB2312" w:eastAsia="仿宋_GB2312"/>
          <w:b/>
          <w:bCs/>
          <w:sz w:val="32"/>
          <w:szCs w:val="32"/>
        </w:rPr>
        <w:t>MO</w:t>
      </w:r>
      <w:r>
        <w:rPr>
          <w:rFonts w:hint="eastAsia" w:ascii="仿宋_GB2312" w:eastAsia="仿宋_GB2312"/>
          <w:sz w:val="32"/>
          <w:szCs w:val="32"/>
        </w:rPr>
        <w:t>：牵头组织实施本次应用系统回头看工作。汇总和跟踪各部门系统排查和整改计划。在工作过程中定期组织召开会议，对工作实施过程进行监控。进行上生产版本的统一立项和工作量核定。组织对工作实施效果进行回顾总结和考核。组织协调中心和中汇各部门建立长效的应用系统回头看制度、机制和流程。</w:t>
      </w:r>
    </w:p>
    <w:p>
      <w:pPr>
        <w:adjustRightInd w:val="0"/>
        <w:snapToGrid w:val="0"/>
        <w:spacing w:line="530" w:lineRule="exact"/>
        <w:ind w:firstLine="648"/>
        <w:rPr>
          <w:rFonts w:ascii="仿宋_GB2312" w:eastAsia="仿宋_GB2312"/>
          <w:sz w:val="32"/>
          <w:szCs w:val="32"/>
        </w:rPr>
      </w:pPr>
      <w:r>
        <w:rPr>
          <w:rFonts w:hint="eastAsia" w:ascii="仿宋_GB2312" w:eastAsia="仿宋_GB2312"/>
          <w:b/>
          <w:bCs/>
          <w:sz w:val="32"/>
          <w:szCs w:val="32"/>
        </w:rPr>
        <w:t>技术管理部</w:t>
      </w:r>
      <w:r>
        <w:rPr>
          <w:rFonts w:hint="eastAsia" w:ascii="仿宋_GB2312" w:eastAsia="仿宋_GB2312"/>
          <w:sz w:val="32"/>
          <w:szCs w:val="32"/>
        </w:rPr>
        <w:t>：制定应用系统回头看技术排查内容和要求。组织建立各技术专业方向的技术团队完成对各部门重点问题的协查和复查。组织对排查问题进行分析并针对共性问题给出解决方案。组织对排查问题和解决方案的认定评审，确定问题修复优先级及修复方式（是否需要通过项目版本的方式进行生产修复）。</w:t>
      </w:r>
    </w:p>
    <w:p>
      <w:pPr>
        <w:adjustRightInd w:val="0"/>
        <w:snapToGrid w:val="0"/>
        <w:spacing w:line="530" w:lineRule="exact"/>
        <w:ind w:firstLine="648"/>
        <w:rPr>
          <w:rFonts w:ascii="仿宋_GB2312" w:eastAsia="仿宋_GB2312"/>
          <w:sz w:val="32"/>
          <w:szCs w:val="32"/>
        </w:rPr>
      </w:pPr>
      <w:r>
        <w:rPr>
          <w:rFonts w:hint="eastAsia" w:ascii="仿宋_GB2312" w:eastAsia="仿宋_GB2312"/>
          <w:b/>
          <w:bCs/>
          <w:sz w:val="32"/>
          <w:szCs w:val="32"/>
        </w:rPr>
        <w:t>财务部</w:t>
      </w:r>
      <w:r>
        <w:rPr>
          <w:rFonts w:hint="eastAsia" w:ascii="仿宋_GB2312" w:eastAsia="仿宋_GB2312"/>
          <w:sz w:val="32"/>
          <w:szCs w:val="32"/>
        </w:rPr>
        <w:t>：审核应用系统回头看工作预算，核算项目实施成本。</w:t>
      </w:r>
    </w:p>
    <w:p>
      <w:pPr>
        <w:adjustRightInd w:val="0"/>
        <w:snapToGrid w:val="0"/>
        <w:spacing w:line="530" w:lineRule="exact"/>
        <w:ind w:firstLine="648"/>
        <w:rPr>
          <w:rFonts w:ascii="仿宋_GB2312" w:eastAsia="仿宋_GB2312"/>
          <w:sz w:val="32"/>
          <w:szCs w:val="32"/>
        </w:rPr>
      </w:pPr>
      <w:r>
        <w:rPr>
          <w:rFonts w:hint="eastAsia" w:ascii="仿宋_GB2312" w:eastAsia="仿宋_GB2312"/>
          <w:b/>
          <w:bCs/>
          <w:sz w:val="32"/>
          <w:szCs w:val="32"/>
        </w:rPr>
        <w:t>各部门</w:t>
      </w:r>
      <w:r>
        <w:rPr>
          <w:rFonts w:hint="eastAsia" w:ascii="仿宋_GB2312" w:eastAsia="仿宋_GB2312"/>
          <w:sz w:val="32"/>
          <w:szCs w:val="32"/>
        </w:rPr>
        <w:t>：负责应用系统回头看工作的具体实施，排定各阶段工作的具体计划和安排。组织成立部门级技术团队按排查内容要求完成各系统的自查工作。组织对排查问题清单进行初步分析并给出初步解决方案。组织提交问题及方案报告进行评审。针对需要上版本进行生产修复的问题排定上线版本，征得交易中心主管部门批准并组织进行整改实施。</w:t>
      </w:r>
    </w:p>
    <w:p>
      <w:pPr>
        <w:adjustRightInd w:val="0"/>
        <w:snapToGrid w:val="0"/>
        <w:spacing w:line="530" w:lineRule="exact"/>
        <w:rPr>
          <w:rFonts w:ascii="黑体" w:hAnsi="黑体" w:eastAsia="黑体"/>
          <w:sz w:val="32"/>
          <w:szCs w:val="32"/>
          <w:highlight w:val="none"/>
        </w:rPr>
      </w:pPr>
      <w:r>
        <w:rPr>
          <w:rFonts w:hint="eastAsia" w:ascii="黑体" w:hAnsi="黑体" w:eastAsia="黑体"/>
          <w:sz w:val="32"/>
          <w:szCs w:val="32"/>
          <w:highlight w:val="none"/>
        </w:rPr>
        <w:t>三、清单和内容</w:t>
      </w:r>
    </w:p>
    <w:p>
      <w:pPr>
        <w:adjustRightInd w:val="0"/>
        <w:snapToGrid w:val="0"/>
        <w:spacing w:line="530" w:lineRule="exact"/>
        <w:rPr>
          <w:rFonts w:ascii="仿宋_GB2312" w:eastAsia="仿宋_GB2312"/>
          <w:color w:val="auto"/>
          <w:sz w:val="32"/>
          <w:szCs w:val="32"/>
          <w:highlight w:val="none"/>
        </w:rPr>
      </w:pPr>
      <w:bookmarkStart w:id="1" w:name="_GoBack"/>
      <w:r>
        <w:rPr>
          <w:rFonts w:hint="eastAsia" w:ascii="仿宋_GB2312" w:eastAsia="仿宋_GB2312"/>
          <w:color w:val="auto"/>
          <w:sz w:val="32"/>
          <w:szCs w:val="32"/>
          <w:highlight w:val="none"/>
        </w:rPr>
        <w:t>1、系统清单（详见附件1）。</w:t>
      </w:r>
    </w:p>
    <w:p>
      <w:pPr>
        <w:adjustRightInd w:val="0"/>
        <w:snapToGrid w:val="0"/>
        <w:spacing w:line="530" w:lineRule="exact"/>
        <w:rPr>
          <w:rFonts w:ascii="仿宋_GB2312" w:eastAsia="仿宋_GB2312"/>
          <w:color w:val="auto"/>
          <w:sz w:val="32"/>
          <w:szCs w:val="32"/>
          <w:highlight w:val="none"/>
        </w:rPr>
      </w:pPr>
      <w:r>
        <w:rPr>
          <w:rFonts w:hint="eastAsia" w:ascii="仿宋_GB2312" w:eastAsia="仿宋_GB2312"/>
          <w:color w:val="auto"/>
          <w:sz w:val="32"/>
          <w:szCs w:val="32"/>
          <w:highlight w:val="none"/>
        </w:rPr>
        <w:t>2、审核重点和要求（详见附件2）。</w:t>
      </w:r>
    </w:p>
    <w:bookmarkEnd w:id="1"/>
    <w:p>
      <w:pPr>
        <w:adjustRightInd w:val="0"/>
        <w:snapToGrid w:val="0"/>
        <w:spacing w:line="530" w:lineRule="exact"/>
        <w:rPr>
          <w:rFonts w:ascii="黑体" w:hAnsi="黑体" w:eastAsia="黑体"/>
          <w:sz w:val="32"/>
          <w:szCs w:val="32"/>
        </w:rPr>
      </w:pPr>
      <w:r>
        <w:rPr>
          <w:rFonts w:hint="eastAsia" w:ascii="黑体" w:hAnsi="黑体" w:eastAsia="黑体"/>
          <w:sz w:val="32"/>
          <w:szCs w:val="32"/>
        </w:rPr>
        <w:t>四、实施计划</w:t>
      </w:r>
    </w:p>
    <w:p>
      <w:pPr>
        <w:adjustRightInd w:val="0"/>
        <w:snapToGrid w:val="0"/>
        <w:spacing w:line="530" w:lineRule="exact"/>
        <w:rPr>
          <w:rFonts w:ascii="仿宋_GB2312" w:eastAsia="仿宋_GB2312"/>
          <w:sz w:val="32"/>
          <w:szCs w:val="32"/>
        </w:rPr>
      </w:pPr>
      <w:r>
        <mc:AlternateContent>
          <mc:Choice Requires="wps">
            <w:drawing>
              <wp:anchor distT="0" distB="0" distL="114300" distR="114300" simplePos="0" relativeHeight="251663360" behindDoc="0" locked="0" layoutInCell="1" allowOverlap="1">
                <wp:simplePos x="0" y="0"/>
                <wp:positionH relativeFrom="column">
                  <wp:posOffset>4145280</wp:posOffset>
                </wp:positionH>
                <wp:positionV relativeFrom="paragraph">
                  <wp:posOffset>339090</wp:posOffset>
                </wp:positionV>
                <wp:extent cx="1485900" cy="446405"/>
                <wp:effectExtent l="38100" t="0" r="19050" b="10795"/>
                <wp:wrapNone/>
                <wp:docPr id="27" name="AutoShape 28"/>
                <wp:cNvGraphicFramePr/>
                <a:graphic xmlns:a="http://schemas.openxmlformats.org/drawingml/2006/main">
                  <a:graphicData uri="http://schemas.microsoft.com/office/word/2010/wordprocessingShape">
                    <wps:wsp>
                      <wps:cNvSpPr>
                        <a:spLocks noChangeArrowheads="1"/>
                      </wps:cNvSpPr>
                      <wps:spPr bwMode="auto">
                        <a:xfrm>
                          <a:off x="0" y="0"/>
                          <a:ext cx="1485900" cy="446405"/>
                        </a:xfrm>
                        <a:prstGeom prst="chevron">
                          <a:avLst>
                            <a:gd name="adj" fmla="val 101408"/>
                          </a:avLst>
                        </a:prstGeom>
                        <a:noFill/>
                        <a:ln w="9525">
                          <a:solidFill>
                            <a:srgbClr val="000000"/>
                          </a:solidFill>
                          <a:miter lim="800000"/>
                        </a:ln>
                      </wps:spPr>
                      <wps:txbx>
                        <w:txbxContent>
                          <w:p>
                            <w:pPr>
                              <w:autoSpaceDE w:val="0"/>
                              <w:autoSpaceDN w:val="0"/>
                              <w:adjustRightInd w:val="0"/>
                              <w:spacing w:before="120"/>
                              <w:rPr>
                                <w:color w:val="000000"/>
                              </w:rPr>
                            </w:pPr>
                            <w:r>
                              <w:rPr>
                                <w:rFonts w:hint="eastAsia"/>
                                <w:color w:val="000000"/>
                              </w:rPr>
                              <w:t>结项</w:t>
                            </w:r>
                          </w:p>
                        </w:txbxContent>
                      </wps:txbx>
                      <wps:bodyPr rot="0" vert="horz" wrap="square" lIns="54000" tIns="45720" rIns="54000" bIns="45720" anchor="ctr" anchorCtr="0" upright="1">
                        <a:noAutofit/>
                      </wps:bodyPr>
                    </wps:wsp>
                  </a:graphicData>
                </a:graphic>
              </wp:anchor>
            </w:drawing>
          </mc:Choice>
          <mc:Fallback>
            <w:pict>
              <v:shape id="AutoShape 28" o:spid="_x0000_s1026" o:spt="55" type="#_x0000_t55" style="position:absolute;left:0pt;margin-left:326.4pt;margin-top:26.7pt;height:35.15pt;width:117pt;z-index:251663360;v-text-anchor:middle;mso-width-relative:page;mso-height-relative:page;" filled="f" stroked="t" coordsize="21600,21600" o:gfxdata="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E735w3QAAAAoBAAAPAAAAAAAAAAEAIAAAACIAAABkcnMvZG93bnJldi54bWxQSwECFAAUAAAA&#10;CACHTuJAebz/hSICAAA6BAAADgAAAAAAAAABACAAAAAsAQAAZHJzL2Uyb0RvYy54bWxQSwUGAAAA&#10;AAYABgBZAQAAwAUAAAAA&#10;" adj="15020">
                <v:fill on="f" focussize="0,0"/>
                <v:stroke color="#000000" miterlimit="8" joinstyle="miter"/>
                <v:imagedata o:title=""/>
                <o:lock v:ext="edit" aspectratio="f"/>
                <v:textbox inset="1.5mm,1.27mm,1.5mm,1.27mm">
                  <w:txbxContent>
                    <w:p>
                      <w:pPr>
                        <w:autoSpaceDE w:val="0"/>
                        <w:autoSpaceDN w:val="0"/>
                        <w:adjustRightInd w:val="0"/>
                        <w:spacing w:before="120"/>
                        <w:rPr>
                          <w:color w:val="000000"/>
                        </w:rPr>
                      </w:pPr>
                      <w:r>
                        <w:rPr>
                          <w:rFonts w:hint="eastAsia"/>
                          <w:color w:val="000000"/>
                        </w:rPr>
                        <w:t>结项</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3032760</wp:posOffset>
                </wp:positionH>
                <wp:positionV relativeFrom="paragraph">
                  <wp:posOffset>339090</wp:posOffset>
                </wp:positionV>
                <wp:extent cx="1569720" cy="446405"/>
                <wp:effectExtent l="38100" t="0" r="11430" b="10795"/>
                <wp:wrapNone/>
                <wp:docPr id="26" name="AutoShape 27"/>
                <wp:cNvGraphicFramePr/>
                <a:graphic xmlns:a="http://schemas.openxmlformats.org/drawingml/2006/main">
                  <a:graphicData uri="http://schemas.microsoft.com/office/word/2010/wordprocessingShape">
                    <wps:wsp>
                      <wps:cNvSpPr>
                        <a:spLocks noChangeArrowheads="1"/>
                      </wps:cNvSpPr>
                      <wps:spPr bwMode="auto">
                        <a:xfrm>
                          <a:off x="0" y="0"/>
                          <a:ext cx="1569720" cy="446405"/>
                        </a:xfrm>
                        <a:prstGeom prst="chevron">
                          <a:avLst>
                            <a:gd name="adj" fmla="val 101408"/>
                          </a:avLst>
                        </a:prstGeom>
                        <a:solidFill>
                          <a:srgbClr val="FFFFFF"/>
                        </a:solidFill>
                        <a:ln w="9525">
                          <a:solidFill>
                            <a:srgbClr val="000000"/>
                          </a:solidFill>
                          <a:miter lim="800000"/>
                        </a:ln>
                      </wps:spPr>
                      <wps:txbx>
                        <w:txbxContent>
                          <w:p>
                            <w:pPr>
                              <w:autoSpaceDE w:val="0"/>
                              <w:autoSpaceDN w:val="0"/>
                              <w:adjustRightInd w:val="0"/>
                              <w:spacing w:before="120"/>
                              <w:rPr>
                                <w:color w:val="000000"/>
                              </w:rPr>
                            </w:pPr>
                            <w:r>
                              <w:rPr>
                                <w:rFonts w:hint="eastAsia"/>
                                <w:color w:val="000000"/>
                              </w:rPr>
                              <w:t>实施</w:t>
                            </w:r>
                          </w:p>
                        </w:txbxContent>
                      </wps:txbx>
                      <wps:bodyPr rot="0" vert="horz" wrap="square" lIns="54000" tIns="45720" rIns="54000" bIns="45720" anchor="ctr" anchorCtr="0" upright="1">
                        <a:noAutofit/>
                      </wps:bodyPr>
                    </wps:wsp>
                  </a:graphicData>
                </a:graphic>
              </wp:anchor>
            </w:drawing>
          </mc:Choice>
          <mc:Fallback>
            <w:pict>
              <v:shape id="AutoShape 27" o:spid="_x0000_s1026" o:spt="55" type="#_x0000_t55" style="position:absolute;left:0pt;margin-left:238.8pt;margin-top:26.7pt;height:35.15pt;width:123.6pt;z-index:251662336;v-text-anchor:middle;mso-width-relative:page;mso-height-relative:page;" fillcolor="#FFFFFF" filled="t" stroked="t" coordsize="21600,21600" o:gfxdata="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El95LaAAAACgEAAA8AAAAAAAAAAQAgAAAAIgAAAGRycy9kb3ducmV2LnhtbFBLAQIUABQA&#10;AAAIAIdO4kC6jUdFJwIAAGMEAAAOAAAAAAAAAAEAIAAAACkBAABkcnMvZTJvRG9jLnhtbFBLBQYA&#10;AAAABgAGAFkBAADCBQAAAAA=&#10;" adj="15371">
                <v:fill on="t" focussize="0,0"/>
                <v:stroke color="#000000" miterlimit="8" joinstyle="miter"/>
                <v:imagedata o:title=""/>
                <o:lock v:ext="edit" aspectratio="f"/>
                <v:textbox inset="1.5mm,1.27mm,1.5mm,1.27mm">
                  <w:txbxContent>
                    <w:p>
                      <w:pPr>
                        <w:autoSpaceDE w:val="0"/>
                        <w:autoSpaceDN w:val="0"/>
                        <w:adjustRightInd w:val="0"/>
                        <w:spacing w:before="120"/>
                        <w:rPr>
                          <w:color w:val="000000"/>
                        </w:rPr>
                      </w:pPr>
                      <w:r>
                        <w:rPr>
                          <w:rFonts w:hint="eastAsia"/>
                          <w:color w:val="000000"/>
                        </w:rPr>
                        <w:t>实施</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2011680</wp:posOffset>
                </wp:positionH>
                <wp:positionV relativeFrom="paragraph">
                  <wp:posOffset>339090</wp:posOffset>
                </wp:positionV>
                <wp:extent cx="1531620" cy="446405"/>
                <wp:effectExtent l="38100" t="0" r="11430" b="10795"/>
                <wp:wrapNone/>
                <wp:docPr id="25" name="AutoShape 26"/>
                <wp:cNvGraphicFramePr/>
                <a:graphic xmlns:a="http://schemas.openxmlformats.org/drawingml/2006/main">
                  <a:graphicData uri="http://schemas.microsoft.com/office/word/2010/wordprocessingShape">
                    <wps:wsp>
                      <wps:cNvSpPr>
                        <a:spLocks noChangeArrowheads="1"/>
                      </wps:cNvSpPr>
                      <wps:spPr bwMode="auto">
                        <a:xfrm>
                          <a:off x="0" y="0"/>
                          <a:ext cx="1531620" cy="446405"/>
                        </a:xfrm>
                        <a:prstGeom prst="chevron">
                          <a:avLst>
                            <a:gd name="adj" fmla="val 115669"/>
                          </a:avLst>
                        </a:prstGeom>
                        <a:solidFill>
                          <a:srgbClr val="FFFFFF"/>
                        </a:solidFill>
                        <a:ln w="9525">
                          <a:solidFill>
                            <a:srgbClr val="000000"/>
                          </a:solidFill>
                          <a:miter lim="800000"/>
                        </a:ln>
                      </wps:spPr>
                      <wps:txbx>
                        <w:txbxContent>
                          <w:p>
                            <w:pPr>
                              <w:autoSpaceDE w:val="0"/>
                              <w:autoSpaceDN w:val="0"/>
                              <w:adjustRightInd w:val="0"/>
                              <w:spacing w:before="120"/>
                              <w:rPr>
                                <w:color w:val="000000"/>
                              </w:rPr>
                            </w:pPr>
                            <w:r>
                              <w:rPr>
                                <w:rFonts w:hint="eastAsia"/>
                                <w:color w:val="000000"/>
                              </w:rPr>
                              <w:t>立项</w:t>
                            </w:r>
                          </w:p>
                        </w:txbxContent>
                      </wps:txbx>
                      <wps:bodyPr rot="0" vert="horz" wrap="square" lIns="54000" tIns="45720" rIns="54000" bIns="45720" anchor="ctr" anchorCtr="0" upright="1">
                        <a:noAutofit/>
                      </wps:bodyPr>
                    </wps:wsp>
                  </a:graphicData>
                </a:graphic>
              </wp:anchor>
            </w:drawing>
          </mc:Choice>
          <mc:Fallback>
            <w:pict>
              <v:shape id="AutoShape 26" o:spid="_x0000_s1026" o:spt="55" type="#_x0000_t55" style="position:absolute;left:0pt;margin-left:158.4pt;margin-top:26.7pt;height:35.15pt;width:120.6pt;z-index:251661312;v-text-anchor:middle;mso-width-relative:page;mso-height-relative:page;" fillcolor="#FFFFFF" filled="t" stroked="t" coordsize="21600,21600" o:gfxdata="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Q&#10;2IWx2AAAAAoBAAAPAAAAAAAAAAEAIAAAACIAAABkcnMvZG93bnJldi54bWxQSwECFAAUAAAACACH&#10;TuJAmLLbLCQCAABjBAAADgAAAAAAAAABACAAAAAnAQAAZHJzL2Uyb0RvYy54bWxQSwUGAAAAAAYA&#10;BgBZAQAAvQUAAAAA&#10;" adj="14319">
                <v:fill on="t" focussize="0,0"/>
                <v:stroke color="#000000" miterlimit="8" joinstyle="miter"/>
                <v:imagedata o:title=""/>
                <o:lock v:ext="edit" aspectratio="f"/>
                <v:textbox inset="1.5mm,1.27mm,1.5mm,1.27mm">
                  <w:txbxContent>
                    <w:p>
                      <w:pPr>
                        <w:autoSpaceDE w:val="0"/>
                        <w:autoSpaceDN w:val="0"/>
                        <w:adjustRightInd w:val="0"/>
                        <w:spacing w:before="120"/>
                        <w:rPr>
                          <w:color w:val="000000"/>
                        </w:rPr>
                      </w:pPr>
                      <w:r>
                        <w:rPr>
                          <w:rFonts w:hint="eastAsia"/>
                          <w:color w:val="000000"/>
                        </w:rPr>
                        <w:t>立项</w:t>
                      </w:r>
                    </w:p>
                  </w:txbxContent>
                </v:textbox>
              </v:shape>
            </w:pict>
          </mc:Fallback>
        </mc:AlternateContent>
      </w:r>
    </w:p>
    <w:p>
      <w:pPr>
        <w:adjustRightInd w:val="0"/>
        <w:snapToGrid w:val="0"/>
        <w:spacing w:line="530" w:lineRule="exact"/>
        <w:rPr>
          <w:rFonts w:ascii="仿宋_GB2312" w:eastAsia="仿宋_GB2312"/>
          <w:sz w:val="32"/>
          <w:szCs w:val="32"/>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1143000" cy="446405"/>
                <wp:effectExtent l="0" t="0" r="0" b="0"/>
                <wp:wrapNone/>
                <wp:docPr id="23" name="AutoShape 24"/>
                <wp:cNvGraphicFramePr/>
                <a:graphic xmlns:a="http://schemas.openxmlformats.org/drawingml/2006/main">
                  <a:graphicData uri="http://schemas.microsoft.com/office/word/2010/wordprocessingShape">
                    <wps:wsp>
                      <wps:cNvSpPr>
                        <a:spLocks noChangeArrowheads="1"/>
                      </wps:cNvSpPr>
                      <wps:spPr bwMode="auto">
                        <a:xfrm>
                          <a:off x="0" y="0"/>
                          <a:ext cx="1143000" cy="446697"/>
                        </a:xfrm>
                        <a:prstGeom prst="homePlate">
                          <a:avLst>
                            <a:gd name="adj" fmla="val 85211"/>
                          </a:avLst>
                        </a:prstGeom>
                        <a:noFill/>
                        <a:ln w="9525">
                          <a:solidFill>
                            <a:srgbClr val="000000"/>
                          </a:solidFill>
                          <a:miter lim="800000"/>
                        </a:ln>
                      </wps:spPr>
                      <wps:txbx>
                        <w:txbxContent>
                          <w:p>
                            <w:pPr>
                              <w:autoSpaceDE w:val="0"/>
                              <w:autoSpaceDN w:val="0"/>
                              <w:adjustRightInd w:val="0"/>
                              <w:spacing w:before="120"/>
                              <w:jc w:val="center"/>
                              <w:rPr>
                                <w:color w:val="000000"/>
                              </w:rPr>
                            </w:pPr>
                            <w:r>
                              <w:rPr>
                                <w:rFonts w:hint="eastAsia"/>
                                <w:color w:val="000000"/>
                              </w:rPr>
                              <w:t>需求收集</w:t>
                            </w:r>
                          </w:p>
                        </w:txbxContent>
                      </wps:txbx>
                      <wps:bodyPr rot="0" vert="horz" wrap="square" lIns="54000" tIns="45720" rIns="54000" bIns="45720" anchor="ctr" anchorCtr="0" upright="1">
                        <a:noAutofit/>
                      </wps:bodyPr>
                    </wps:wsp>
                  </a:graphicData>
                </a:graphic>
              </wp:anchor>
            </w:drawing>
          </mc:Choice>
          <mc:Fallback>
            <w:pict>
              <v:shape id="AutoShape 24" o:spid="_x0000_s1026" o:spt="15" type="#_x0000_t15" style="position:absolute;left:0pt;margin-left:0pt;margin-top:-0.05pt;height:35.15pt;width:90pt;z-index:251659264;v-text-anchor:middle;mso-width-relative:page;mso-height-relative:page;" filled="f" stroked="t" coordsize="21600,21600" o:gfxdata="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6h2rrSAAAA&#10;BQEAAA8AAAAAAAAAAQAgAAAAIgAAAGRycy9kb3ducmV2LnhtbFBLAQIUABQAAAAIAIdO4kAVe6L1&#10;IwIAADsEAAAOAAAAAAAAAAEAIAAAACEBAABkcnMvZTJvRG9jLnhtbFBLBQYAAAAABgAGAFkBAAC2&#10;BQAAAAA=&#10;" adj="14407">
                <v:fill on="f" focussize="0,0"/>
                <v:stroke color="#000000" miterlimit="8" joinstyle="miter"/>
                <v:imagedata o:title=""/>
                <o:lock v:ext="edit" aspectratio="f"/>
                <v:textbox inset="1.5mm,1.27mm,1.5mm,1.27mm">
                  <w:txbxContent>
                    <w:p>
                      <w:pPr>
                        <w:autoSpaceDE w:val="0"/>
                        <w:autoSpaceDN w:val="0"/>
                        <w:adjustRightInd w:val="0"/>
                        <w:spacing w:before="120"/>
                        <w:jc w:val="center"/>
                        <w:rPr>
                          <w:color w:val="000000"/>
                        </w:rPr>
                      </w:pPr>
                      <w:r>
                        <w:rPr>
                          <w:rFonts w:hint="eastAsia"/>
                          <w:color w:val="000000"/>
                        </w:rPr>
                        <w:t>需求收集</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-635</wp:posOffset>
                </wp:positionV>
                <wp:extent cx="1828800" cy="446405"/>
                <wp:effectExtent l="0" t="0" r="0" b="0"/>
                <wp:wrapNone/>
                <wp:docPr id="24" name="AutoShape 25"/>
                <wp:cNvGraphicFramePr/>
                <a:graphic xmlns:a="http://schemas.openxmlformats.org/drawingml/2006/main">
                  <a:graphicData uri="http://schemas.microsoft.com/office/word/2010/wordprocessingShape">
                    <wps:wsp>
                      <wps:cNvSpPr>
                        <a:spLocks noChangeArrowheads="1"/>
                      </wps:cNvSpPr>
                      <wps:spPr bwMode="auto">
                        <a:xfrm>
                          <a:off x="0" y="0"/>
                          <a:ext cx="1828800" cy="446697"/>
                        </a:xfrm>
                        <a:prstGeom prst="chevron">
                          <a:avLst>
                            <a:gd name="adj" fmla="val 101408"/>
                          </a:avLst>
                        </a:prstGeom>
                        <a:solidFill>
                          <a:srgbClr val="FFFFFF"/>
                        </a:solidFill>
                        <a:ln w="9525">
                          <a:solidFill>
                            <a:srgbClr val="000000"/>
                          </a:solidFill>
                          <a:miter lim="800000"/>
                        </a:ln>
                      </wps:spPr>
                      <wps:txbx>
                        <w:txbxContent>
                          <w:p>
                            <w:pPr>
                              <w:autoSpaceDE w:val="0"/>
                              <w:autoSpaceDN w:val="0"/>
                              <w:adjustRightInd w:val="0"/>
                              <w:spacing w:before="120"/>
                              <w:rPr>
                                <w:color w:val="000000"/>
                                <w:sz w:val="36"/>
                              </w:rPr>
                            </w:pPr>
                            <w:r>
                              <w:rPr>
                                <w:rFonts w:hint="eastAsia"/>
                                <w:color w:val="000000"/>
                              </w:rPr>
                              <w:t>讨论</w:t>
                            </w:r>
                            <w:r>
                              <w:rPr>
                                <w:color w:val="000000"/>
                              </w:rPr>
                              <w:t>/</w:t>
                            </w:r>
                            <w:r>
                              <w:rPr>
                                <w:rFonts w:hint="eastAsia"/>
                                <w:color w:val="000000"/>
                              </w:rPr>
                              <w:t>审核</w:t>
                            </w:r>
                          </w:p>
                        </w:txbxContent>
                      </wps:txbx>
                      <wps:bodyPr rot="0" vert="horz" wrap="square" lIns="54000" tIns="45720" rIns="54000" bIns="45720" anchor="ctr" anchorCtr="0" upright="1">
                        <a:noAutofit/>
                      </wps:bodyPr>
                    </wps:wsp>
                  </a:graphicData>
                </a:graphic>
              </wp:anchor>
            </w:drawing>
          </mc:Choice>
          <mc:Fallback>
            <w:pict>
              <v:shape id="AutoShape 25" o:spid="_x0000_s1026" o:spt="55" type="#_x0000_t55" style="position:absolute;left:0pt;margin-left:54pt;margin-top:-0.05pt;height:35.15pt;width:144pt;z-index:251660288;v-text-anchor:middle;mso-width-relative:page;mso-height-relative:page;" fillcolor="#FFFFFF" filled="t" stroked="t" coordsize="21600,21600" o:gfxdata="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WDrttcAAAAIAQAADwAAAAAAAAABACAAAAAiAAAAZHJzL2Rvd25yZXYueG1sUEsBAhQAFAAAAAgA&#10;h07iQDocUj0mAgAAYwQAAA4AAAAAAAAAAQAgAAAAJgEAAGRycy9lMm9Eb2MueG1sUEsFBgAAAAAG&#10;AAYAWQEAAL4FAAAAAA==&#10;" adj="16250">
                <v:fill on="t" focussize="0,0"/>
                <v:stroke color="#000000" miterlimit="8" joinstyle="miter"/>
                <v:imagedata o:title=""/>
                <o:lock v:ext="edit" aspectratio="f"/>
                <v:textbox inset="1.5mm,1.27mm,1.5mm,1.27mm">
                  <w:txbxContent>
                    <w:p>
                      <w:pPr>
                        <w:autoSpaceDE w:val="0"/>
                        <w:autoSpaceDN w:val="0"/>
                        <w:adjustRightInd w:val="0"/>
                        <w:spacing w:before="120"/>
                        <w:rPr>
                          <w:color w:val="000000"/>
                          <w:sz w:val="36"/>
                        </w:rPr>
                      </w:pPr>
                      <w:r>
                        <w:rPr>
                          <w:rFonts w:hint="eastAsia"/>
                          <w:color w:val="000000"/>
                        </w:rPr>
                        <w:t>讨论</w:t>
                      </w:r>
                      <w:r>
                        <w:rPr>
                          <w:color w:val="000000"/>
                        </w:rPr>
                        <w:t>/</w:t>
                      </w:r>
                      <w:r>
                        <w:rPr>
                          <w:rFonts w:hint="eastAsia"/>
                          <w:color w:val="000000"/>
                        </w:rPr>
                        <w:t>审核</w:t>
                      </w:r>
                    </w:p>
                  </w:txbxContent>
                </v:textbox>
              </v:shape>
            </w:pict>
          </mc:Fallback>
        </mc:AlternateContent>
      </w:r>
    </w:p>
    <w:p>
      <w:pPr>
        <w:adjustRightInd w:val="0"/>
        <w:snapToGrid w:val="0"/>
        <w:spacing w:line="530" w:lineRule="exact"/>
        <w:rPr>
          <w:rFonts w:ascii="仿宋_GB2312" w:eastAsia="仿宋_GB2312"/>
          <w:sz w:val="32"/>
          <w:szCs w:val="32"/>
        </w:rPr>
      </w:pPr>
    </w:p>
    <w:p>
      <w:pPr>
        <w:adjustRightInd w:val="0"/>
        <w:snapToGrid w:val="0"/>
        <w:spacing w:line="530" w:lineRule="exact"/>
        <w:ind w:firstLine="640" w:firstLineChars="200"/>
        <w:rPr>
          <w:rFonts w:ascii="仿宋_GB2312" w:eastAsia="仿宋_GB2312"/>
          <w:sz w:val="32"/>
          <w:szCs w:val="32"/>
        </w:rPr>
      </w:pPr>
      <w:r>
        <w:rPr>
          <w:rFonts w:hint="eastAsia" w:ascii="仿宋_GB2312" w:eastAsia="仿宋_GB2312"/>
          <w:sz w:val="32"/>
          <w:szCs w:val="32"/>
        </w:rPr>
        <w:t>本次应用系统回头看工作包括：需求收集、讨论/审核、立项、实施和结项5个阶段。</w:t>
      </w:r>
    </w:p>
    <w:p>
      <w:pPr>
        <w:adjustRightInd w:val="0"/>
        <w:snapToGrid w:val="0"/>
        <w:spacing w:line="530" w:lineRule="exact"/>
        <w:ind w:firstLine="640" w:firstLineChars="200"/>
        <w:rPr>
          <w:rFonts w:ascii="仿宋_GB2312" w:eastAsia="仿宋_GB2312"/>
          <w:sz w:val="32"/>
          <w:szCs w:val="32"/>
        </w:rPr>
      </w:pPr>
      <w:r>
        <w:rPr>
          <w:rFonts w:hint="eastAsia" w:ascii="仿宋_GB2312" w:eastAsia="仿宋_GB2312"/>
          <w:sz w:val="32"/>
          <w:szCs w:val="32"/>
        </w:rPr>
        <w:t>1、</w:t>
      </w:r>
      <w:r>
        <w:rPr>
          <w:rFonts w:hint="eastAsia" w:ascii="仿宋_GB2312" w:eastAsia="仿宋_GB2312"/>
          <w:b/>
          <w:bCs/>
          <w:sz w:val="32"/>
          <w:szCs w:val="32"/>
        </w:rPr>
        <w:t>需求收集</w:t>
      </w:r>
      <w:r>
        <w:rPr>
          <w:rFonts w:hint="eastAsia" w:ascii="仿宋_GB2312" w:eastAsia="仿宋_GB2312"/>
          <w:sz w:val="32"/>
          <w:szCs w:val="32"/>
        </w:rPr>
        <w:t>：各部门在</w:t>
      </w:r>
      <w:r>
        <w:rPr>
          <w:rFonts w:hint="eastAsia" w:ascii="仿宋_GB2312" w:eastAsia="仿宋_GB2312"/>
          <w:sz w:val="32"/>
          <w:szCs w:val="32"/>
          <w:lang w:val="en-US" w:eastAsia="zh-CN"/>
        </w:rPr>
        <w:t>方案批准后两周内</w:t>
      </w:r>
      <w:r>
        <w:rPr>
          <w:rFonts w:hint="eastAsia" w:ascii="仿宋_GB2312" w:eastAsia="仿宋_GB2312"/>
          <w:sz w:val="32"/>
          <w:szCs w:val="32"/>
        </w:rPr>
        <w:t>根据应用系统回头看工作内容和要求，组织完成系统自查工作。根据系统自查结果，整理系统需要优化完善的需求和方案。P</w:t>
      </w:r>
      <w:r>
        <w:rPr>
          <w:rFonts w:ascii="仿宋_GB2312" w:eastAsia="仿宋_GB2312"/>
          <w:sz w:val="32"/>
          <w:szCs w:val="32"/>
        </w:rPr>
        <w:t>MO</w:t>
      </w:r>
      <w:r>
        <w:rPr>
          <w:rFonts w:hint="eastAsia" w:ascii="仿宋_GB2312" w:eastAsia="仿宋_GB2312"/>
          <w:sz w:val="32"/>
          <w:szCs w:val="32"/>
        </w:rPr>
        <w:t>收集汇总各部门的需求和方案。</w:t>
      </w:r>
    </w:p>
    <w:p>
      <w:pPr>
        <w:adjustRightInd w:val="0"/>
        <w:snapToGrid w:val="0"/>
        <w:spacing w:line="530" w:lineRule="exact"/>
        <w:ind w:firstLine="640" w:firstLineChars="200"/>
        <w:rPr>
          <w:rFonts w:ascii="仿宋_GB2312" w:eastAsia="仿宋_GB2312"/>
          <w:sz w:val="32"/>
          <w:szCs w:val="32"/>
        </w:rPr>
      </w:pPr>
      <w:r>
        <w:rPr>
          <w:rFonts w:hint="eastAsia" w:ascii="仿宋_GB2312" w:eastAsia="仿宋_GB2312"/>
          <w:sz w:val="32"/>
          <w:szCs w:val="32"/>
        </w:rPr>
        <w:t>2、</w:t>
      </w:r>
      <w:r>
        <w:rPr>
          <w:rFonts w:hint="eastAsia" w:ascii="仿宋_GB2312" w:eastAsia="仿宋_GB2312"/>
          <w:b/>
          <w:bCs/>
          <w:sz w:val="32"/>
          <w:szCs w:val="32"/>
        </w:rPr>
        <w:t>讨论/审核</w:t>
      </w:r>
      <w:r>
        <w:rPr>
          <w:rFonts w:hint="eastAsia" w:ascii="仿宋_GB2312" w:eastAsia="仿宋_GB2312"/>
          <w:sz w:val="32"/>
          <w:szCs w:val="32"/>
        </w:rPr>
        <w:t>：技术管理部根据P</w:t>
      </w:r>
      <w:r>
        <w:rPr>
          <w:rFonts w:ascii="仿宋_GB2312" w:eastAsia="仿宋_GB2312"/>
          <w:sz w:val="32"/>
          <w:szCs w:val="32"/>
        </w:rPr>
        <w:t>MO</w:t>
      </w:r>
      <w:r>
        <w:rPr>
          <w:rFonts w:hint="eastAsia" w:ascii="仿宋_GB2312" w:eastAsia="仿宋_GB2312"/>
          <w:sz w:val="32"/>
          <w:szCs w:val="32"/>
        </w:rPr>
        <w:t>汇总提交的需求和方案，组织进行讨论和审核，确定是否需要修复，对于需要修复的给出解决方案。</w:t>
      </w:r>
    </w:p>
    <w:p>
      <w:pPr>
        <w:adjustRightInd w:val="0"/>
        <w:snapToGrid w:val="0"/>
        <w:spacing w:line="530" w:lineRule="exact"/>
        <w:ind w:firstLine="640" w:firstLineChars="200"/>
        <w:rPr>
          <w:rFonts w:ascii="仿宋_GB2312" w:eastAsia="仿宋_GB2312"/>
          <w:sz w:val="32"/>
          <w:szCs w:val="32"/>
        </w:rPr>
      </w:pPr>
      <w:r>
        <w:rPr>
          <w:rFonts w:hint="eastAsia" w:ascii="仿宋_GB2312" w:eastAsia="仿宋_GB2312"/>
          <w:sz w:val="32"/>
          <w:szCs w:val="32"/>
        </w:rPr>
        <w:t>3、</w:t>
      </w:r>
      <w:r>
        <w:rPr>
          <w:rFonts w:hint="eastAsia" w:ascii="仿宋_GB2312" w:eastAsia="仿宋_GB2312"/>
          <w:b/>
          <w:bCs/>
          <w:sz w:val="32"/>
          <w:szCs w:val="32"/>
        </w:rPr>
        <w:t>立项</w:t>
      </w:r>
      <w:r>
        <w:rPr>
          <w:rFonts w:hint="eastAsia" w:ascii="仿宋_GB2312" w:eastAsia="仿宋_GB2312"/>
          <w:sz w:val="32"/>
          <w:szCs w:val="32"/>
        </w:rPr>
        <w:t>：根据技术管理部审核的意见确定立项流程：涉及重大架构和底层基础设施调整的建议由开发部门推动交易中心统一立项。涉及应用程序自身隐患修复需要上版本在生产环境进行修复的需求由开发部门排定上线版本并征得交易中心系统主管部门批准后，由P</w:t>
      </w:r>
      <w:r>
        <w:rPr>
          <w:rFonts w:ascii="仿宋_GB2312" w:eastAsia="仿宋_GB2312"/>
          <w:sz w:val="32"/>
          <w:szCs w:val="32"/>
        </w:rPr>
        <w:t>MO</w:t>
      </w:r>
      <w:r>
        <w:rPr>
          <w:rFonts w:hint="eastAsia" w:ascii="仿宋_GB2312" w:eastAsia="仿宋_GB2312"/>
          <w:sz w:val="32"/>
          <w:szCs w:val="32"/>
        </w:rPr>
        <w:t>核定工作量并进行统一立项。核定工作量原则上依据功能点方法，如该方法不适用则由PMO和技术管理部共同制定核定方法。涉及交付件、文档修改完善的由项目组按需立项。</w:t>
      </w:r>
    </w:p>
    <w:p>
      <w:pPr>
        <w:adjustRightInd w:val="0"/>
        <w:snapToGrid w:val="0"/>
        <w:spacing w:line="530" w:lineRule="exact"/>
        <w:ind w:firstLine="640" w:firstLineChars="200"/>
        <w:rPr>
          <w:rFonts w:ascii="仿宋_GB2312" w:eastAsia="仿宋_GB2312"/>
          <w:sz w:val="32"/>
          <w:szCs w:val="32"/>
        </w:rPr>
      </w:pPr>
      <w:r>
        <w:rPr>
          <w:rFonts w:hint="eastAsia" w:ascii="仿宋_GB2312" w:eastAsia="仿宋_GB2312"/>
          <w:sz w:val="32"/>
          <w:szCs w:val="32"/>
        </w:rPr>
        <w:t>4、</w:t>
      </w:r>
      <w:r>
        <w:rPr>
          <w:rFonts w:hint="eastAsia" w:ascii="仿宋_GB2312" w:eastAsia="仿宋_GB2312"/>
          <w:b/>
          <w:bCs/>
          <w:sz w:val="32"/>
          <w:szCs w:val="32"/>
        </w:rPr>
        <w:t>实施</w:t>
      </w:r>
      <w:r>
        <w:rPr>
          <w:rFonts w:hint="eastAsia" w:ascii="仿宋_GB2312" w:eastAsia="仿宋_GB2312"/>
          <w:sz w:val="32"/>
          <w:szCs w:val="32"/>
        </w:rPr>
        <w:t>：</w:t>
      </w:r>
      <w:r>
        <w:rPr>
          <w:rFonts w:ascii="仿宋_GB2312" w:eastAsia="仿宋_GB2312"/>
          <w:sz w:val="32"/>
          <w:szCs w:val="32"/>
        </w:rPr>
        <w:t>如项目设计版本上线，需由项目组在全流程参考缺陷修复流程提出上线申请。上线前</w:t>
      </w:r>
      <w:r>
        <w:rPr>
          <w:rFonts w:hint="eastAsia" w:ascii="仿宋_GB2312" w:eastAsia="仿宋_GB2312"/>
          <w:sz w:val="32"/>
          <w:szCs w:val="32"/>
        </w:rPr>
        <w:t>应</w:t>
      </w:r>
      <w:r>
        <w:rPr>
          <w:rFonts w:ascii="仿宋_GB2312" w:eastAsia="仿宋_GB2312"/>
          <w:sz w:val="32"/>
          <w:szCs w:val="32"/>
        </w:rPr>
        <w:t>与交易中心相关业务、技术部门充分沟通并达成一致。</w:t>
      </w:r>
    </w:p>
    <w:p>
      <w:pPr>
        <w:adjustRightInd w:val="0"/>
        <w:snapToGrid w:val="0"/>
        <w:spacing w:line="530" w:lineRule="exact"/>
        <w:rPr>
          <w:rFonts w:ascii="仿宋_GB2312" w:eastAsia="仿宋_GB2312"/>
          <w:sz w:val="32"/>
          <w:szCs w:val="32"/>
        </w:rPr>
      </w:pPr>
      <w:r>
        <w:rPr>
          <w:rFonts w:hint="eastAsia" w:ascii="仿宋_GB2312" w:eastAsia="仿宋_GB2312"/>
          <w:sz w:val="32"/>
          <w:szCs w:val="32"/>
        </w:rPr>
        <w:t xml:space="preserve"> </w:t>
      </w:r>
      <w:r>
        <w:rPr>
          <w:rFonts w:ascii="仿宋_GB2312" w:eastAsia="仿宋_GB2312"/>
          <w:sz w:val="32"/>
          <w:szCs w:val="32"/>
        </w:rPr>
        <w:t xml:space="preserve">   </w:t>
      </w:r>
      <w:r>
        <w:rPr>
          <w:rFonts w:hint="eastAsia" w:ascii="仿宋_GB2312" w:eastAsia="仿宋_GB2312"/>
          <w:sz w:val="32"/>
          <w:szCs w:val="32"/>
        </w:rPr>
        <w:t>5、</w:t>
      </w:r>
      <w:r>
        <w:rPr>
          <w:rFonts w:hint="eastAsia" w:ascii="仿宋_GB2312" w:eastAsia="仿宋_GB2312"/>
          <w:b/>
          <w:bCs/>
          <w:sz w:val="32"/>
          <w:szCs w:val="32"/>
        </w:rPr>
        <w:t>结项</w:t>
      </w:r>
      <w:r>
        <w:rPr>
          <w:rFonts w:hint="eastAsia" w:ascii="仿宋_GB2312" w:eastAsia="仿宋_GB2312"/>
          <w:sz w:val="32"/>
          <w:szCs w:val="32"/>
        </w:rPr>
        <w:t>：</w:t>
      </w:r>
      <w:r>
        <w:rPr>
          <w:rFonts w:ascii="仿宋_GB2312" w:eastAsia="仿宋_GB2312"/>
          <w:sz w:val="32"/>
          <w:szCs w:val="32"/>
        </w:rPr>
        <w:t>项目实施完成后，各实施部门应在一个月内提交项目</w:t>
      </w:r>
      <w:r>
        <w:rPr>
          <w:rFonts w:hint="eastAsia" w:ascii="仿宋_GB2312" w:eastAsia="仿宋_GB2312"/>
          <w:sz w:val="32"/>
          <w:szCs w:val="32"/>
        </w:rPr>
        <w:t>总结</w:t>
      </w:r>
      <w:r>
        <w:rPr>
          <w:rFonts w:ascii="仿宋_GB2312" w:eastAsia="仿宋_GB2312"/>
          <w:sz w:val="32"/>
          <w:szCs w:val="32"/>
        </w:rPr>
        <w:t>报告，说明回头看项目实施情况，由PMO和技术管理部</w:t>
      </w:r>
      <w:r>
        <w:rPr>
          <w:rFonts w:hint="eastAsia" w:ascii="仿宋_GB2312" w:eastAsia="仿宋_GB2312"/>
          <w:sz w:val="32"/>
          <w:szCs w:val="32"/>
        </w:rPr>
        <w:t>一起对项目实施过程以及生产应用效果进行全面总结评估。根据总结评估效果，建立和完善应用系统回头看工作制度、机制和流程。</w:t>
      </w: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bookmarkStart w:id="0" w:name="_Hlk64652774"/>
    </w:p>
    <w:p>
      <w:pPr>
        <w:snapToGrid w:val="0"/>
        <w:spacing w:before="60" w:after="60" w:line="312" w:lineRule="auto"/>
        <w:jc w:val="left"/>
        <w:rPr>
          <w:rFonts w:ascii="仿宋_GB2312" w:eastAsia="仿宋_GB2312"/>
          <w:b/>
          <w:bCs/>
          <w:sz w:val="32"/>
          <w:szCs w:val="32"/>
        </w:rPr>
      </w:pPr>
      <w:r>
        <w:rPr>
          <w:rFonts w:hint="eastAsia" w:ascii="仿宋_GB2312" w:eastAsia="仿宋_GB2312"/>
          <w:b/>
          <w:bCs/>
          <w:sz w:val="32"/>
          <w:szCs w:val="32"/>
        </w:rPr>
        <w:t>附件1：回头看系统清单（与中心定责办法系统一致）</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416"/>
        <w:gridCol w:w="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129" w:type="dxa"/>
            <w:tcBorders>
              <w:top w:val="single" w:color="auto" w:sz="4" w:space="0"/>
              <w:left w:val="single" w:color="auto" w:sz="4" w:space="0"/>
              <w:bottom w:val="single" w:color="auto" w:sz="4" w:space="0"/>
              <w:right w:val="single" w:color="auto" w:sz="4" w:space="0"/>
            </w:tcBorders>
          </w:tcPr>
          <w:p>
            <w:pPr>
              <w:widowControl/>
              <w:jc w:val="center"/>
              <w:rPr>
                <w:rFonts w:ascii="仿宋_GB2312" w:hAnsi="等线" w:eastAsia="仿宋_GB2312" w:cs="宋体"/>
                <w:b/>
                <w:bCs/>
                <w:color w:val="000000"/>
                <w:kern w:val="0"/>
                <w:sz w:val="24"/>
                <w:szCs w:val="24"/>
              </w:rPr>
            </w:pPr>
            <w:r>
              <w:rPr>
                <w:rFonts w:hint="eastAsia" w:ascii="仿宋_GB2312" w:hAnsi="等线" w:eastAsia="仿宋_GB2312" w:cs="宋体"/>
                <w:b/>
                <w:bCs/>
                <w:color w:val="000000"/>
                <w:kern w:val="0"/>
                <w:sz w:val="24"/>
                <w:szCs w:val="24"/>
              </w:rPr>
              <w:t>序号</w:t>
            </w:r>
          </w:p>
        </w:tc>
        <w:tc>
          <w:tcPr>
            <w:tcW w:w="64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_GB2312" w:hAnsi="等线" w:eastAsia="仿宋_GB2312" w:cs="宋体"/>
                <w:b/>
                <w:bCs/>
                <w:color w:val="000000"/>
                <w:kern w:val="0"/>
                <w:sz w:val="24"/>
                <w:szCs w:val="24"/>
              </w:rPr>
            </w:pPr>
            <w:r>
              <w:rPr>
                <w:rFonts w:hint="eastAsia" w:ascii="仿宋_GB2312" w:hAnsi="等线" w:eastAsia="仿宋_GB2312" w:cs="宋体"/>
                <w:b/>
                <w:bCs/>
                <w:color w:val="000000"/>
                <w:kern w:val="0"/>
                <w:sz w:val="24"/>
                <w:szCs w:val="24"/>
              </w:rPr>
              <w:t>系统</w:t>
            </w:r>
          </w:p>
        </w:tc>
        <w:tc>
          <w:tcPr>
            <w:tcW w:w="75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b/>
                <w:bCs/>
                <w:color w:val="000000"/>
                <w:kern w:val="0"/>
                <w:sz w:val="24"/>
                <w:szCs w:val="24"/>
              </w:rPr>
            </w:pPr>
            <w:r>
              <w:rPr>
                <w:rFonts w:hint="eastAsia" w:ascii="仿宋_GB2312" w:hAnsi="等线" w:eastAsia="仿宋_GB2312" w:cs="宋体"/>
                <w:b/>
                <w:bCs/>
                <w:color w:val="000000"/>
                <w:kern w:val="0"/>
                <w:sz w:val="24"/>
                <w:szCs w:val="24"/>
              </w:rPr>
              <w:t>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Shibor报价系统（Shibor网）</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新一代本币交易系统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3</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本币交易系统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4</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贷款基础利率报价系统 LPR</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5</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统一终端</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6</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外汇交易系统（NTPI、NTPII、外汇辅助）</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7</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外汇用户统一认证系统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8</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中间价系统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9</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CMDS（含CMDS Pro）</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10</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财政部国债做市支持系统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11</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货币及债务工具发行系统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12</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货币网</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13</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交易后处理平台</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14</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人民银行分支行货币市场信息服务系统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15</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外汇账务系统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16</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C-Trade</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w:t>
            </w:r>
            <w:r>
              <w:rPr>
                <w:rFonts w:ascii="仿宋_GB2312" w:hAnsi="等线" w:eastAsia="仿宋_GB2312" w:cs="宋体"/>
                <w:color w:val="000000"/>
                <w:kern w:val="0"/>
                <w:sz w:val="24"/>
                <w:szCs w:val="24"/>
              </w:rPr>
              <w:t>7</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基准系统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1</w:t>
            </w:r>
            <w:r>
              <w:rPr>
                <w:rFonts w:ascii="仿宋_GB2312" w:hAnsi="等线" w:eastAsia="仿宋_GB2312" w:cs="宋体"/>
                <w:color w:val="000000"/>
                <w:kern w:val="0"/>
                <w:sz w:val="24"/>
                <w:szCs w:val="24"/>
              </w:rPr>
              <w:t>8</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 xml:space="preserve">央行拍卖系统 </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ascii="仿宋_GB2312" w:hAnsi="等线" w:eastAsia="仿宋_GB2312" w:cs="宋体"/>
                <w:color w:val="000000"/>
                <w:kern w:val="0"/>
                <w:sz w:val="24"/>
                <w:szCs w:val="24"/>
              </w:rPr>
              <w:t>19</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CSTP（外汇、本币）</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w:t>
            </w:r>
            <w:r>
              <w:rPr>
                <w:rFonts w:ascii="仿宋_GB2312" w:hAnsi="等线" w:eastAsia="仿宋_GB2312" w:cs="宋体"/>
                <w:color w:val="000000"/>
                <w:kern w:val="0"/>
                <w:sz w:val="24"/>
                <w:szCs w:val="24"/>
              </w:rPr>
              <w:t>0</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大额存单发行备案系统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21</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即时通讯系统（本币）</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22</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即时通讯系统（外汇）</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23</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境内美元同业拆放参考利率报价系统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24</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全国银行间债券市场准入备案信息系统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25</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一站式服务平台-入市联网模块 一站式</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26</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银行间市场成员服务系统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27</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远程培训系统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28</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中资外币债簿记发行系统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29</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IIS个人身份信息识别认证系统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30</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产品定义子系统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31</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计费系统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32</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交易信息备案系统</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Borders>
              <w:top w:val="nil"/>
              <w:left w:val="single" w:color="auto" w:sz="4" w:space="0"/>
              <w:bottom w:val="single" w:color="auto" w:sz="4" w:space="0"/>
              <w:right w:val="single" w:color="auto" w:sz="4" w:space="0"/>
            </w:tcBorders>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33</w:t>
            </w:r>
          </w:p>
        </w:tc>
        <w:tc>
          <w:tcPr>
            <w:tcW w:w="6416" w:type="dxa"/>
            <w:tcBorders>
              <w:top w:val="nil"/>
              <w:left w:val="single" w:color="auto" w:sz="4" w:space="0"/>
              <w:bottom w:val="single" w:color="auto" w:sz="4" w:space="0"/>
              <w:right w:val="single" w:color="auto" w:sz="4" w:space="0"/>
            </w:tcBorders>
            <w:shd w:val="clear" w:color="auto" w:fill="auto"/>
            <w:vAlign w:val="center"/>
          </w:tcPr>
          <w:p>
            <w:pPr>
              <w:widowControl/>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数据仓库</w:t>
            </w:r>
          </w:p>
        </w:tc>
        <w:tc>
          <w:tcPr>
            <w:tcW w:w="751"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等线" w:eastAsia="仿宋_GB2312" w:cs="宋体"/>
                <w:color w:val="000000"/>
                <w:kern w:val="0"/>
                <w:sz w:val="24"/>
                <w:szCs w:val="24"/>
              </w:rPr>
            </w:pPr>
            <w:r>
              <w:rPr>
                <w:rFonts w:hint="eastAsia" w:ascii="仿宋_GB2312" w:hAnsi="等线" w:eastAsia="仿宋_GB2312" w:cs="宋体"/>
                <w:color w:val="000000"/>
                <w:kern w:val="0"/>
                <w:sz w:val="24"/>
                <w:szCs w:val="24"/>
              </w:rPr>
              <w:t>E</w:t>
            </w:r>
          </w:p>
        </w:tc>
      </w:tr>
    </w:tbl>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p>
    <w:p>
      <w:pPr>
        <w:snapToGrid w:val="0"/>
        <w:spacing w:before="60" w:after="60" w:line="312" w:lineRule="auto"/>
        <w:jc w:val="left"/>
        <w:rPr>
          <w:rFonts w:ascii="仿宋_GB2312" w:eastAsia="仿宋_GB2312"/>
          <w:sz w:val="32"/>
          <w:szCs w:val="32"/>
        </w:rPr>
      </w:pPr>
      <w:r>
        <w:rPr>
          <w:rFonts w:hint="eastAsia" w:ascii="仿宋_GB2312" w:eastAsia="仿宋_GB2312"/>
          <w:sz w:val="32"/>
          <w:szCs w:val="32"/>
        </w:rPr>
        <w:t>附件2：审核重点和要求</w:t>
      </w:r>
    </w:p>
    <w:tbl>
      <w:tblPr>
        <w:tblStyle w:val="8"/>
        <w:tblW w:w="8926" w:type="dxa"/>
        <w:tblInd w:w="0" w:type="dxa"/>
        <w:tblLayout w:type="autofit"/>
        <w:tblCellMar>
          <w:top w:w="0" w:type="dxa"/>
          <w:left w:w="108" w:type="dxa"/>
          <w:bottom w:w="0" w:type="dxa"/>
          <w:right w:w="108" w:type="dxa"/>
        </w:tblCellMar>
      </w:tblPr>
      <w:tblGrid>
        <w:gridCol w:w="1220"/>
        <w:gridCol w:w="1420"/>
        <w:gridCol w:w="6286"/>
      </w:tblGrid>
      <w:tr>
        <w:tblPrEx>
          <w:tblCellMar>
            <w:top w:w="0" w:type="dxa"/>
            <w:left w:w="108" w:type="dxa"/>
            <w:bottom w:w="0" w:type="dxa"/>
            <w:right w:w="108" w:type="dxa"/>
          </w:tblCellMar>
        </w:tblPrEx>
        <w:trPr>
          <w:trHeight w:val="288" w:hRule="atLeast"/>
        </w:trPr>
        <w:tc>
          <w:tcPr>
            <w:tcW w:w="122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left"/>
              <w:rPr>
                <w:rFonts w:ascii="仿宋" w:hAnsi="仿宋" w:eastAsia="仿宋" w:cs="宋体"/>
                <w:b/>
                <w:bCs/>
                <w:color w:val="000000"/>
                <w:kern w:val="0"/>
                <w:sz w:val="22"/>
              </w:rPr>
            </w:pPr>
            <w:r>
              <w:rPr>
                <w:rFonts w:hint="eastAsia" w:ascii="仿宋" w:hAnsi="仿宋" w:eastAsia="仿宋" w:cs="宋体"/>
                <w:b/>
                <w:bCs/>
                <w:color w:val="000000"/>
                <w:kern w:val="0"/>
                <w:sz w:val="22"/>
              </w:rPr>
              <w:t>分类</w:t>
            </w:r>
          </w:p>
        </w:tc>
        <w:tc>
          <w:tcPr>
            <w:tcW w:w="1420" w:type="dxa"/>
            <w:tcBorders>
              <w:top w:val="single" w:color="auto" w:sz="4" w:space="0"/>
              <w:left w:val="nil"/>
              <w:bottom w:val="single" w:color="auto" w:sz="4" w:space="0"/>
              <w:right w:val="single" w:color="auto" w:sz="4" w:space="0"/>
            </w:tcBorders>
            <w:shd w:val="clear" w:color="000000" w:fill="D9D9D9"/>
            <w:vAlign w:val="center"/>
          </w:tcPr>
          <w:p>
            <w:pPr>
              <w:widowControl/>
              <w:jc w:val="left"/>
              <w:rPr>
                <w:rFonts w:ascii="仿宋" w:hAnsi="仿宋" w:eastAsia="仿宋" w:cs="宋体"/>
                <w:b/>
                <w:bCs/>
                <w:color w:val="000000"/>
                <w:kern w:val="0"/>
                <w:sz w:val="22"/>
              </w:rPr>
            </w:pPr>
            <w:r>
              <w:rPr>
                <w:rFonts w:hint="eastAsia" w:ascii="仿宋" w:hAnsi="仿宋" w:eastAsia="仿宋" w:cs="宋体"/>
                <w:b/>
                <w:bCs/>
                <w:color w:val="000000"/>
                <w:kern w:val="0"/>
                <w:sz w:val="22"/>
              </w:rPr>
              <w:t>检查点</w:t>
            </w:r>
          </w:p>
        </w:tc>
        <w:tc>
          <w:tcPr>
            <w:tcW w:w="6286" w:type="dxa"/>
            <w:tcBorders>
              <w:top w:val="single" w:color="auto" w:sz="4" w:space="0"/>
              <w:left w:val="nil"/>
              <w:bottom w:val="single" w:color="auto" w:sz="4" w:space="0"/>
              <w:right w:val="single" w:color="auto" w:sz="4" w:space="0"/>
            </w:tcBorders>
            <w:shd w:val="clear" w:color="000000" w:fill="D9D9D9"/>
            <w:vAlign w:val="center"/>
          </w:tcPr>
          <w:p>
            <w:pPr>
              <w:widowControl/>
              <w:jc w:val="left"/>
              <w:rPr>
                <w:rFonts w:ascii="仿宋" w:hAnsi="仿宋" w:eastAsia="仿宋" w:cs="宋体"/>
                <w:b/>
                <w:bCs/>
                <w:color w:val="000000"/>
                <w:kern w:val="0"/>
                <w:sz w:val="22"/>
              </w:rPr>
            </w:pPr>
            <w:r>
              <w:rPr>
                <w:rFonts w:hint="eastAsia" w:ascii="仿宋" w:hAnsi="仿宋" w:eastAsia="仿宋" w:cs="宋体"/>
                <w:b/>
                <w:bCs/>
                <w:color w:val="000000"/>
                <w:kern w:val="0"/>
                <w:sz w:val="22"/>
              </w:rPr>
              <w:t>内容和要求</w:t>
            </w:r>
          </w:p>
        </w:tc>
      </w:tr>
      <w:tr>
        <w:tblPrEx>
          <w:tblCellMar>
            <w:top w:w="0" w:type="dxa"/>
            <w:left w:w="108" w:type="dxa"/>
            <w:bottom w:w="0" w:type="dxa"/>
            <w:right w:w="108" w:type="dxa"/>
          </w:tblCellMar>
        </w:tblPrEx>
        <w:trPr>
          <w:trHeight w:val="576" w:hRule="atLeast"/>
        </w:trPr>
        <w:tc>
          <w:tcPr>
            <w:tcW w:w="1220" w:type="dxa"/>
            <w:vMerge w:val="restart"/>
            <w:tcBorders>
              <w:top w:val="nil"/>
              <w:left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基础设施</w:t>
            </w:r>
          </w:p>
        </w:tc>
        <w:tc>
          <w:tcPr>
            <w:tcW w:w="1420" w:type="dxa"/>
            <w:vMerge w:val="restart"/>
            <w:tcBorders>
              <w:top w:val="nil"/>
              <w:left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资源效能</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生产环境CPU、内存、硬盘资源、数据库连接的使用率分析，是否存在资源大量闲置的现象</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生产环境CPU、内存、硬盘资源、数据库连接的使用率分析，是否存在峰值时段资源不足的现象</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生产环境是否存在多个应用系统共用服务器、使用共享用户等情况，导致资源不足的现象。</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环境差异</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梳理各环境软硬件配置情况及差异，定量评估对性能、高可用、灾备和其他技术指标的影响</w:t>
            </w:r>
          </w:p>
        </w:tc>
      </w:tr>
      <w:tr>
        <w:tblPrEx>
          <w:tblCellMar>
            <w:top w:w="0" w:type="dxa"/>
            <w:left w:w="108" w:type="dxa"/>
            <w:bottom w:w="0" w:type="dxa"/>
            <w:right w:w="108" w:type="dxa"/>
          </w:tblCellMar>
        </w:tblPrEx>
        <w:trPr>
          <w:trHeight w:val="288" w:hRule="atLeast"/>
        </w:trPr>
        <w:tc>
          <w:tcPr>
            <w:tcW w:w="1220" w:type="dxa"/>
            <w:vMerge w:val="restart"/>
            <w:tcBorders>
              <w:top w:val="nil"/>
              <w:left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架构设计</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整体</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架构设计是否存在无法匹配业务需求的情况</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restart"/>
            <w:tcBorders>
              <w:top w:val="nil"/>
              <w:left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性能风险</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峰值时段是否存在长时间锁定资源的情况</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是否存在慢SQL的情况</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是否存在批处理时间过长的情况</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是否非功能需求不在匹配的情况（如：在线用户数、并发用户数和峰值数据TPS等）</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高可用&amp;灾备</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高可用机制是否能正常工作</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是否所有的应用进程均有高可用机制</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灾备机制（如有）是否能正常工作，是否存在部分模块灾备设计缺失或不足</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容量</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代码是否存在数量限制（如序号、数组长度等），生产是否存在逼近上限的情况</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日志专项检查，是否存在存储期限内的日志量太大导致磁盘空间无法支撑的情况</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数据表中的数据记录数量是否已经超出设计预期的容量</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restart"/>
            <w:tcBorders>
              <w:top w:val="nil"/>
              <w:left w:val="nil"/>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可维护性</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是否存在日志级别设置错误，生产环境无法通过监控Error级别日志来判定系统故障的情况</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top w:val="nil"/>
              <w:left w:val="nil"/>
              <w:right w:val="single" w:color="auto" w:sz="4" w:space="0"/>
            </w:tcBorders>
            <w:shd w:val="clear" w:color="auto" w:fill="auto"/>
            <w:vAlign w:val="center"/>
          </w:tcPr>
          <w:p>
            <w:pPr>
              <w:widowControl/>
              <w:jc w:val="left"/>
              <w:rPr>
                <w:rFonts w:hint="eastAsia"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2"/>
              </w:rPr>
            </w:pPr>
            <w:r>
              <w:rPr>
                <w:rFonts w:hint="eastAsia" w:ascii="仿宋" w:hAnsi="仿宋" w:eastAsia="仿宋" w:cs="宋体"/>
                <w:color w:val="000000"/>
                <w:kern w:val="0"/>
                <w:sz w:val="22"/>
              </w:rPr>
              <w:t>检查日志是否完整记录用户变更、用户权限变更内容或变更操作等内容，并提供过滤对应信息的工具。（总行审计要求）</w:t>
            </w:r>
          </w:p>
        </w:tc>
      </w:tr>
      <w:tr>
        <w:tblPrEx>
          <w:tblCellMar>
            <w:top w:w="0" w:type="dxa"/>
            <w:left w:w="108" w:type="dxa"/>
            <w:bottom w:w="0" w:type="dxa"/>
            <w:right w:w="108" w:type="dxa"/>
          </w:tblCellMar>
        </w:tblPrEx>
        <w:trPr>
          <w:trHeight w:val="576"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统计系统实现批量任务的方式（CronTab、Q</w:t>
            </w:r>
            <w:r>
              <w:rPr>
                <w:rFonts w:ascii="仿宋" w:hAnsi="仿宋" w:eastAsia="仿宋" w:cs="宋体"/>
                <w:color w:val="000000"/>
                <w:kern w:val="0"/>
                <w:sz w:val="22"/>
              </w:rPr>
              <w:t>uartz</w:t>
            </w:r>
            <w:r>
              <w:rPr>
                <w:rFonts w:hint="eastAsia" w:ascii="仿宋" w:hAnsi="仿宋" w:eastAsia="仿宋" w:cs="宋体"/>
                <w:color w:val="000000"/>
                <w:kern w:val="0"/>
                <w:sz w:val="22"/>
              </w:rPr>
              <w:t>、事件驱动框架等）、批量任务之间是否存在依赖及依赖关系的配置形式</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安全</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应用代码是否按照技术方案实现安全策略</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数据</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数据模型是否符合元数据定义标准</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第三方软件</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统计使用的第三方软件类型和版本，检查是否存在EOS（end</w:t>
            </w:r>
            <w:r>
              <w:rPr>
                <w:rFonts w:ascii="仿宋" w:hAnsi="仿宋" w:eastAsia="仿宋" w:cs="宋体"/>
                <w:color w:val="000000"/>
                <w:kern w:val="0"/>
                <w:sz w:val="22"/>
              </w:rPr>
              <w:t xml:space="preserve"> of service</w:t>
            </w:r>
            <w:r>
              <w:rPr>
                <w:rFonts w:hint="eastAsia" w:ascii="仿宋" w:hAnsi="仿宋" w:eastAsia="仿宋" w:cs="宋体"/>
                <w:color w:val="000000"/>
                <w:kern w:val="0"/>
                <w:sz w:val="22"/>
              </w:rPr>
              <w:t>）情况</w:t>
            </w:r>
          </w:p>
        </w:tc>
      </w:tr>
      <w:tr>
        <w:tblPrEx>
          <w:tblCellMar>
            <w:top w:w="0" w:type="dxa"/>
            <w:left w:w="108" w:type="dxa"/>
            <w:bottom w:w="0" w:type="dxa"/>
            <w:right w:w="108" w:type="dxa"/>
          </w:tblCellMar>
        </w:tblPrEx>
        <w:trPr>
          <w:trHeight w:val="288" w:hRule="atLeast"/>
        </w:trPr>
        <w:tc>
          <w:tcPr>
            <w:tcW w:w="1220" w:type="dxa"/>
            <w:vMerge w:val="continue"/>
            <w:tcBorders>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外部接口</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梳理系统间接口和与机构/第三方接口的接口类型（</w:t>
            </w:r>
            <w:r>
              <w:rPr>
                <w:rFonts w:ascii="仿宋" w:hAnsi="仿宋" w:eastAsia="仿宋" w:cs="宋体"/>
                <w:color w:val="000000"/>
                <w:kern w:val="0"/>
                <w:sz w:val="22"/>
              </w:rPr>
              <w:t>DSP</w:t>
            </w:r>
            <w:r>
              <w:rPr>
                <w:rFonts w:hint="eastAsia" w:ascii="仿宋" w:hAnsi="仿宋" w:eastAsia="仿宋" w:cs="宋体"/>
                <w:color w:val="000000"/>
                <w:kern w:val="0"/>
                <w:sz w:val="22"/>
              </w:rPr>
              <w:t>（组播</w:t>
            </w:r>
            <w:r>
              <w:rPr>
                <w:rFonts w:ascii="仿宋" w:hAnsi="仿宋" w:eastAsia="仿宋" w:cs="宋体"/>
                <w:color w:val="000000"/>
                <w:kern w:val="0"/>
                <w:sz w:val="22"/>
              </w:rPr>
              <w:t>/TCPIP）</w:t>
            </w:r>
            <w:r>
              <w:rPr>
                <w:rFonts w:hint="eastAsia" w:ascii="仿宋" w:hAnsi="仿宋" w:eastAsia="仿宋" w:cs="宋体"/>
                <w:color w:val="000000"/>
                <w:kern w:val="0"/>
                <w:sz w:val="22"/>
              </w:rPr>
              <w:t>、</w:t>
            </w:r>
            <w:r>
              <w:rPr>
                <w:rFonts w:ascii="仿宋" w:hAnsi="仿宋" w:eastAsia="仿宋" w:cs="宋体"/>
                <w:color w:val="000000"/>
                <w:kern w:val="0"/>
                <w:sz w:val="22"/>
              </w:rPr>
              <w:t>ETL、IMIX、FTS、RSync</w:t>
            </w:r>
            <w:r>
              <w:rPr>
                <w:rFonts w:hint="eastAsia" w:ascii="仿宋" w:hAnsi="仿宋" w:eastAsia="仿宋" w:cs="宋体"/>
                <w:color w:val="000000"/>
                <w:kern w:val="0"/>
                <w:sz w:val="22"/>
              </w:rPr>
              <w:t>、</w:t>
            </w:r>
            <w:r>
              <w:rPr>
                <w:rFonts w:ascii="仿宋" w:hAnsi="仿宋" w:eastAsia="仿宋" w:cs="宋体"/>
                <w:color w:val="000000"/>
                <w:kern w:val="0"/>
                <w:sz w:val="22"/>
              </w:rPr>
              <w:t>MQ</w:t>
            </w:r>
            <w:r>
              <w:rPr>
                <w:rFonts w:hint="eastAsia" w:ascii="仿宋" w:hAnsi="仿宋" w:eastAsia="仿宋" w:cs="宋体"/>
                <w:color w:val="000000"/>
                <w:kern w:val="0"/>
                <w:sz w:val="22"/>
              </w:rPr>
              <w:t>和其他非标准接口，DEP从元数据导出）和接口清单，明确数据格式、数据量、传输时间和频率；</w:t>
            </w:r>
          </w:p>
          <w:p>
            <w:pPr>
              <w:widowControl/>
              <w:jc w:val="left"/>
              <w:rPr>
                <w:rFonts w:ascii="仿宋" w:hAnsi="仿宋" w:eastAsia="仿宋" w:cs="宋体"/>
                <w:color w:val="000000"/>
                <w:kern w:val="0"/>
                <w:sz w:val="22"/>
              </w:rPr>
            </w:pPr>
          </w:p>
        </w:tc>
      </w:tr>
      <w:tr>
        <w:tblPrEx>
          <w:tblCellMar>
            <w:top w:w="0" w:type="dxa"/>
            <w:left w:w="108" w:type="dxa"/>
            <w:bottom w:w="0" w:type="dxa"/>
            <w:right w:w="108" w:type="dxa"/>
          </w:tblCellMar>
        </w:tblPrEx>
        <w:trPr>
          <w:trHeight w:val="288" w:hRule="atLeast"/>
        </w:trPr>
        <w:tc>
          <w:tcPr>
            <w:tcW w:w="12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编码开发</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代码审核</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检查代码中存在的硬编码、循环嵌套过深情况</w:t>
            </w:r>
          </w:p>
        </w:tc>
      </w:tr>
      <w:tr>
        <w:tblPrEx>
          <w:tblCellMar>
            <w:top w:w="0" w:type="dxa"/>
            <w:left w:w="108" w:type="dxa"/>
            <w:bottom w:w="0" w:type="dxa"/>
            <w:right w:w="108" w:type="dxa"/>
          </w:tblCellMar>
        </w:tblPrEx>
        <w:trPr>
          <w:trHeight w:val="288" w:hRule="atLeast"/>
        </w:trPr>
        <w:tc>
          <w:tcPr>
            <w:tcW w:w="12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单元测试</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核心代码有无自动化单元测试覆盖的情况</w:t>
            </w:r>
          </w:p>
        </w:tc>
      </w:tr>
      <w:tr>
        <w:tblPrEx>
          <w:tblCellMar>
            <w:top w:w="0" w:type="dxa"/>
            <w:left w:w="108" w:type="dxa"/>
            <w:bottom w:w="0" w:type="dxa"/>
            <w:right w:w="108" w:type="dxa"/>
          </w:tblCellMar>
        </w:tblPrEx>
        <w:trPr>
          <w:trHeight w:val="576" w:hRule="atLeast"/>
        </w:trPr>
        <w:tc>
          <w:tcPr>
            <w:tcW w:w="12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需求分析</w:t>
            </w: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需求跟踪</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能否在需求条目或缺陷层级跟踪方案设计和代码改动；</w:t>
            </w:r>
          </w:p>
        </w:tc>
      </w:tr>
      <w:tr>
        <w:tblPrEx>
          <w:tblCellMar>
            <w:top w:w="0" w:type="dxa"/>
            <w:left w:w="108" w:type="dxa"/>
            <w:bottom w:w="0" w:type="dxa"/>
            <w:right w:w="108" w:type="dxa"/>
          </w:tblCellMar>
        </w:tblPrEx>
        <w:trPr>
          <w:trHeight w:val="288" w:hRule="atLeast"/>
        </w:trPr>
        <w:tc>
          <w:tcPr>
            <w:tcW w:w="12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系统间接口和字段定义是否一致明晰</w:t>
            </w:r>
          </w:p>
        </w:tc>
      </w:tr>
      <w:tr>
        <w:tblPrEx>
          <w:tblCellMar>
            <w:top w:w="0" w:type="dxa"/>
            <w:left w:w="108" w:type="dxa"/>
            <w:bottom w:w="0" w:type="dxa"/>
            <w:right w:w="108" w:type="dxa"/>
          </w:tblCellMar>
        </w:tblPrEx>
        <w:trPr>
          <w:trHeight w:val="288" w:hRule="atLeast"/>
        </w:trPr>
        <w:tc>
          <w:tcPr>
            <w:tcW w:w="12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技术需求</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软硬件老化，长时间没有安排升级</w:t>
            </w:r>
          </w:p>
        </w:tc>
      </w:tr>
      <w:tr>
        <w:tblPrEx>
          <w:tblCellMar>
            <w:top w:w="0" w:type="dxa"/>
            <w:left w:w="108" w:type="dxa"/>
            <w:bottom w:w="0" w:type="dxa"/>
            <w:right w:w="108" w:type="dxa"/>
          </w:tblCellMar>
        </w:tblPrEx>
        <w:trPr>
          <w:trHeight w:val="288" w:hRule="atLeast"/>
        </w:trPr>
        <w:tc>
          <w:tcPr>
            <w:tcW w:w="12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技术债累积较多，亟需安排技术架构升级</w:t>
            </w:r>
          </w:p>
        </w:tc>
      </w:tr>
      <w:tr>
        <w:tblPrEx>
          <w:tblCellMar>
            <w:top w:w="0" w:type="dxa"/>
            <w:left w:w="108" w:type="dxa"/>
            <w:bottom w:w="0" w:type="dxa"/>
            <w:right w:w="108" w:type="dxa"/>
          </w:tblCellMar>
        </w:tblPrEx>
        <w:trPr>
          <w:trHeight w:val="288" w:hRule="atLeast"/>
        </w:trPr>
        <w:tc>
          <w:tcPr>
            <w:tcW w:w="1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测试</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系统测试</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对于验收、模拟和生产缺陷的测试用例是否完善？</w:t>
            </w:r>
          </w:p>
        </w:tc>
      </w:tr>
      <w:tr>
        <w:tblPrEx>
          <w:tblCellMar>
            <w:top w:w="0" w:type="dxa"/>
            <w:left w:w="108" w:type="dxa"/>
            <w:bottom w:w="0" w:type="dxa"/>
            <w:right w:w="108" w:type="dxa"/>
          </w:tblCellMar>
        </w:tblPrEx>
        <w:trPr>
          <w:trHeight w:val="288" w:hRule="atLeast"/>
        </w:trPr>
        <w:tc>
          <w:tcPr>
            <w:tcW w:w="122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生产运维</w:t>
            </w: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监控策略</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监控工具是否部署、监控工具修改频度</w:t>
            </w:r>
          </w:p>
        </w:tc>
      </w:tr>
      <w:tr>
        <w:tblPrEx>
          <w:tblCellMar>
            <w:top w:w="0" w:type="dxa"/>
            <w:left w:w="108" w:type="dxa"/>
            <w:bottom w:w="0" w:type="dxa"/>
            <w:right w:w="108" w:type="dxa"/>
          </w:tblCellMar>
        </w:tblPrEx>
        <w:trPr>
          <w:trHeight w:val="288" w:hRule="atLeast"/>
        </w:trPr>
        <w:tc>
          <w:tcPr>
            <w:tcW w:w="12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运维手册</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运维手册修改频度、生产问题是否反馈到手册中？</w:t>
            </w:r>
          </w:p>
        </w:tc>
      </w:tr>
      <w:tr>
        <w:tblPrEx>
          <w:tblCellMar>
            <w:top w:w="0" w:type="dxa"/>
            <w:left w:w="108" w:type="dxa"/>
            <w:bottom w:w="0" w:type="dxa"/>
            <w:right w:w="108" w:type="dxa"/>
          </w:tblCellMar>
        </w:tblPrEx>
        <w:trPr>
          <w:trHeight w:val="540" w:hRule="atLeast"/>
        </w:trPr>
        <w:tc>
          <w:tcPr>
            <w:tcW w:w="1220"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color w:val="000000"/>
                <w:kern w:val="0"/>
                <w:sz w:val="22"/>
              </w:rPr>
            </w:pPr>
          </w:p>
        </w:tc>
        <w:tc>
          <w:tcPr>
            <w:tcW w:w="1420"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应急处理</w:t>
            </w:r>
          </w:p>
        </w:tc>
        <w:tc>
          <w:tcPr>
            <w:tcW w:w="6286" w:type="dxa"/>
            <w:tcBorders>
              <w:top w:val="nil"/>
              <w:left w:val="nil"/>
              <w:bottom w:val="single" w:color="auto" w:sz="4" w:space="0"/>
              <w:right w:val="single" w:color="auto" w:sz="4" w:space="0"/>
            </w:tcBorders>
            <w:shd w:val="clear" w:color="auto" w:fill="auto"/>
            <w:vAlign w:val="center"/>
          </w:tcPr>
          <w:p>
            <w:pPr>
              <w:widowControl/>
              <w:jc w:val="left"/>
              <w:rPr>
                <w:rFonts w:ascii="仿宋" w:hAnsi="仿宋" w:eastAsia="仿宋" w:cs="宋体"/>
                <w:color w:val="000000"/>
                <w:kern w:val="0"/>
                <w:sz w:val="22"/>
              </w:rPr>
            </w:pPr>
            <w:r>
              <w:rPr>
                <w:rFonts w:hint="eastAsia" w:ascii="仿宋" w:hAnsi="仿宋" w:eastAsia="仿宋" w:cs="宋体"/>
                <w:color w:val="000000"/>
                <w:kern w:val="0"/>
                <w:sz w:val="22"/>
              </w:rPr>
              <w:t>应急方案是否按时更新，是否存在应急步骤缺失情况？</w:t>
            </w:r>
          </w:p>
        </w:tc>
      </w:tr>
      <w:bookmarkEnd w:id="0"/>
    </w:tbl>
    <w:p>
      <w:pPr>
        <w:snapToGrid w:val="0"/>
        <w:spacing w:before="60" w:after="60" w:line="312" w:lineRule="auto"/>
        <w:jc w:val="left"/>
        <w:rPr>
          <w:rFonts w:ascii="仿宋_GB2312" w:eastAsia="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C5"/>
    <w:rsid w:val="000340B3"/>
    <w:rsid w:val="00044667"/>
    <w:rsid w:val="00083BF2"/>
    <w:rsid w:val="000842F8"/>
    <w:rsid w:val="000909AE"/>
    <w:rsid w:val="000A33F6"/>
    <w:rsid w:val="000C443C"/>
    <w:rsid w:val="000C642C"/>
    <w:rsid w:val="00103793"/>
    <w:rsid w:val="001223F2"/>
    <w:rsid w:val="00122C94"/>
    <w:rsid w:val="001379A1"/>
    <w:rsid w:val="00145F12"/>
    <w:rsid w:val="0018220B"/>
    <w:rsid w:val="001E5960"/>
    <w:rsid w:val="00203ACA"/>
    <w:rsid w:val="00213FDC"/>
    <w:rsid w:val="00225BCF"/>
    <w:rsid w:val="00226AB9"/>
    <w:rsid w:val="00240D33"/>
    <w:rsid w:val="002474B8"/>
    <w:rsid w:val="00252829"/>
    <w:rsid w:val="00272EB2"/>
    <w:rsid w:val="002A2425"/>
    <w:rsid w:val="002D38FB"/>
    <w:rsid w:val="002D4FC4"/>
    <w:rsid w:val="002E2692"/>
    <w:rsid w:val="002E2AB1"/>
    <w:rsid w:val="002E65A5"/>
    <w:rsid w:val="002F2274"/>
    <w:rsid w:val="00300ABC"/>
    <w:rsid w:val="00320BDC"/>
    <w:rsid w:val="003377EE"/>
    <w:rsid w:val="00397B49"/>
    <w:rsid w:val="003A6043"/>
    <w:rsid w:val="003C2CBB"/>
    <w:rsid w:val="003C418E"/>
    <w:rsid w:val="003C5AF0"/>
    <w:rsid w:val="003D16FB"/>
    <w:rsid w:val="003D6538"/>
    <w:rsid w:val="003E59A6"/>
    <w:rsid w:val="003F7410"/>
    <w:rsid w:val="00412290"/>
    <w:rsid w:val="0042342A"/>
    <w:rsid w:val="00432A24"/>
    <w:rsid w:val="004666B8"/>
    <w:rsid w:val="004A0829"/>
    <w:rsid w:val="004C00AE"/>
    <w:rsid w:val="004E17BB"/>
    <w:rsid w:val="004F5FD4"/>
    <w:rsid w:val="00514C71"/>
    <w:rsid w:val="005245A6"/>
    <w:rsid w:val="00581016"/>
    <w:rsid w:val="00581AE4"/>
    <w:rsid w:val="00586265"/>
    <w:rsid w:val="005B5C41"/>
    <w:rsid w:val="005B646D"/>
    <w:rsid w:val="005D14AC"/>
    <w:rsid w:val="00617FC6"/>
    <w:rsid w:val="0064240C"/>
    <w:rsid w:val="0067012C"/>
    <w:rsid w:val="00671B63"/>
    <w:rsid w:val="00683758"/>
    <w:rsid w:val="006D77D9"/>
    <w:rsid w:val="006E0F9C"/>
    <w:rsid w:val="006E1D44"/>
    <w:rsid w:val="006E4836"/>
    <w:rsid w:val="007016BB"/>
    <w:rsid w:val="00711FE4"/>
    <w:rsid w:val="00713804"/>
    <w:rsid w:val="00724AE3"/>
    <w:rsid w:val="00774EC7"/>
    <w:rsid w:val="007806FD"/>
    <w:rsid w:val="00786C5F"/>
    <w:rsid w:val="007B0933"/>
    <w:rsid w:val="007C2C38"/>
    <w:rsid w:val="007D239A"/>
    <w:rsid w:val="007D59D1"/>
    <w:rsid w:val="00811D41"/>
    <w:rsid w:val="00842CCC"/>
    <w:rsid w:val="008448A9"/>
    <w:rsid w:val="00877124"/>
    <w:rsid w:val="00886D1C"/>
    <w:rsid w:val="00891A43"/>
    <w:rsid w:val="00892C5C"/>
    <w:rsid w:val="008A77E8"/>
    <w:rsid w:val="008D07DF"/>
    <w:rsid w:val="008E47D1"/>
    <w:rsid w:val="009259FF"/>
    <w:rsid w:val="00927D1B"/>
    <w:rsid w:val="0095406B"/>
    <w:rsid w:val="00956203"/>
    <w:rsid w:val="00975670"/>
    <w:rsid w:val="00991799"/>
    <w:rsid w:val="00992BD4"/>
    <w:rsid w:val="009C0F54"/>
    <w:rsid w:val="009C5716"/>
    <w:rsid w:val="009D3ED0"/>
    <w:rsid w:val="009E4285"/>
    <w:rsid w:val="009E5252"/>
    <w:rsid w:val="009F45D9"/>
    <w:rsid w:val="00A0548F"/>
    <w:rsid w:val="00A06C61"/>
    <w:rsid w:val="00A24EBC"/>
    <w:rsid w:val="00A53F0E"/>
    <w:rsid w:val="00A95E0F"/>
    <w:rsid w:val="00A969AE"/>
    <w:rsid w:val="00AB4AF9"/>
    <w:rsid w:val="00AD107B"/>
    <w:rsid w:val="00B01566"/>
    <w:rsid w:val="00B34042"/>
    <w:rsid w:val="00B535A4"/>
    <w:rsid w:val="00B535BA"/>
    <w:rsid w:val="00B65A22"/>
    <w:rsid w:val="00B76DE9"/>
    <w:rsid w:val="00B76F56"/>
    <w:rsid w:val="00B83B65"/>
    <w:rsid w:val="00B863A9"/>
    <w:rsid w:val="00B97E73"/>
    <w:rsid w:val="00BC3A0F"/>
    <w:rsid w:val="00BC65C4"/>
    <w:rsid w:val="00BF165D"/>
    <w:rsid w:val="00C041DC"/>
    <w:rsid w:val="00C05E0F"/>
    <w:rsid w:val="00C110A4"/>
    <w:rsid w:val="00C11EB0"/>
    <w:rsid w:val="00C12263"/>
    <w:rsid w:val="00C173A8"/>
    <w:rsid w:val="00C23857"/>
    <w:rsid w:val="00C274B9"/>
    <w:rsid w:val="00C3340E"/>
    <w:rsid w:val="00C3619F"/>
    <w:rsid w:val="00C4747E"/>
    <w:rsid w:val="00C55BF3"/>
    <w:rsid w:val="00C81CC5"/>
    <w:rsid w:val="00C85F27"/>
    <w:rsid w:val="00C90FE3"/>
    <w:rsid w:val="00CB0E35"/>
    <w:rsid w:val="00CB2715"/>
    <w:rsid w:val="00CC69C1"/>
    <w:rsid w:val="00CD3B58"/>
    <w:rsid w:val="00CD4218"/>
    <w:rsid w:val="00CD4D4E"/>
    <w:rsid w:val="00CD564E"/>
    <w:rsid w:val="00CF6FFB"/>
    <w:rsid w:val="00D00586"/>
    <w:rsid w:val="00D0138D"/>
    <w:rsid w:val="00D03202"/>
    <w:rsid w:val="00D16508"/>
    <w:rsid w:val="00D25134"/>
    <w:rsid w:val="00D65363"/>
    <w:rsid w:val="00D80B5E"/>
    <w:rsid w:val="00D86A80"/>
    <w:rsid w:val="00DC4E12"/>
    <w:rsid w:val="00DD6819"/>
    <w:rsid w:val="00E57C34"/>
    <w:rsid w:val="00E760F6"/>
    <w:rsid w:val="00EB472A"/>
    <w:rsid w:val="00EB6699"/>
    <w:rsid w:val="00EC2399"/>
    <w:rsid w:val="00EF43F6"/>
    <w:rsid w:val="00F02E47"/>
    <w:rsid w:val="00F27191"/>
    <w:rsid w:val="00F36491"/>
    <w:rsid w:val="00F52E68"/>
    <w:rsid w:val="00F715BE"/>
    <w:rsid w:val="00F7525A"/>
    <w:rsid w:val="00F75CE6"/>
    <w:rsid w:val="00F86565"/>
    <w:rsid w:val="00F873A9"/>
    <w:rsid w:val="00F9112B"/>
    <w:rsid w:val="00F95FCF"/>
    <w:rsid w:val="00FA54FD"/>
    <w:rsid w:val="00FB3D87"/>
    <w:rsid w:val="00FF3DB2"/>
    <w:rsid w:val="00FF4BD0"/>
    <w:rsid w:val="7C79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rPr>
      <w:sz w:val="20"/>
      <w:szCs w:val="20"/>
    </w:rPr>
  </w:style>
  <w:style w:type="paragraph" w:styleId="3">
    <w:name w:val="Balloon Text"/>
    <w:basedOn w:val="1"/>
    <w:link w:val="17"/>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line="480" w:lineRule="auto"/>
      <w:jc w:val="center"/>
      <w:outlineLvl w:val="0"/>
    </w:pPr>
    <w:rPr>
      <w:rFonts w:asciiTheme="majorHAnsi" w:hAnsiTheme="majorHAnsi" w:eastAsiaTheme="majorEastAsia" w:cstheme="majorBidi"/>
      <w:b/>
      <w:bCs/>
      <w:sz w:val="48"/>
      <w:szCs w:val="32"/>
    </w:rPr>
  </w:style>
  <w:style w:type="paragraph" w:styleId="7">
    <w:name w:val="annotation subject"/>
    <w:basedOn w:val="2"/>
    <w:next w:val="2"/>
    <w:link w:val="16"/>
    <w:semiHidden/>
    <w:unhideWhenUsed/>
    <w:uiPriority w:val="99"/>
    <w:rPr>
      <w:b/>
      <w:bCs/>
    </w:rPr>
  </w:style>
  <w:style w:type="character" w:styleId="10">
    <w:name w:val="annotation reference"/>
    <w:basedOn w:val="9"/>
    <w:semiHidden/>
    <w:unhideWhenUsed/>
    <w:uiPriority w:val="99"/>
    <w:rPr>
      <w:sz w:val="16"/>
      <w:szCs w:val="16"/>
    </w:rPr>
  </w:style>
  <w:style w:type="character" w:customStyle="1" w:styleId="11">
    <w:name w:val="页眉 字符"/>
    <w:basedOn w:val="9"/>
    <w:link w:val="5"/>
    <w:uiPriority w:val="99"/>
    <w:rPr>
      <w:sz w:val="18"/>
      <w:szCs w:val="18"/>
    </w:rPr>
  </w:style>
  <w:style w:type="character" w:customStyle="1" w:styleId="12">
    <w:name w:val="页脚 字符"/>
    <w:basedOn w:val="9"/>
    <w:link w:val="4"/>
    <w:uiPriority w:val="99"/>
    <w:rPr>
      <w:sz w:val="18"/>
      <w:szCs w:val="18"/>
    </w:rPr>
  </w:style>
  <w:style w:type="character" w:customStyle="1" w:styleId="13">
    <w:name w:val="标题 字符"/>
    <w:basedOn w:val="9"/>
    <w:link w:val="6"/>
    <w:uiPriority w:val="10"/>
    <w:rPr>
      <w:rFonts w:asciiTheme="majorHAnsi" w:hAnsiTheme="majorHAnsi" w:eastAsiaTheme="majorEastAsia" w:cstheme="majorBidi"/>
      <w:b/>
      <w:bCs/>
      <w:sz w:val="48"/>
      <w:szCs w:val="32"/>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uiPriority w:val="99"/>
    <w:rPr>
      <w:sz w:val="20"/>
      <w:szCs w:val="20"/>
    </w:rPr>
  </w:style>
  <w:style w:type="character" w:customStyle="1" w:styleId="16">
    <w:name w:val="批注主题 字符"/>
    <w:basedOn w:val="15"/>
    <w:link w:val="7"/>
    <w:semiHidden/>
    <w:uiPriority w:val="99"/>
    <w:rPr>
      <w:b/>
      <w:bCs/>
      <w:sz w:val="20"/>
      <w:szCs w:val="20"/>
    </w:rPr>
  </w:style>
  <w:style w:type="character" w:customStyle="1" w:styleId="17">
    <w:name w:val="批注框文本 字符"/>
    <w:basedOn w:val="9"/>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CFADCB-B5E9-49A3-8ABD-3946F425296A}">
  <ds:schemaRefs/>
</ds:datastoreItem>
</file>

<file path=docProps/app.xml><?xml version="1.0" encoding="utf-8"?>
<Properties xmlns="http://schemas.openxmlformats.org/officeDocument/2006/extended-properties" xmlns:vt="http://schemas.openxmlformats.org/officeDocument/2006/docPropsVTypes">
  <Template>Normal</Template>
  <Pages>7</Pages>
  <Words>568</Words>
  <Characters>3240</Characters>
  <Lines>27</Lines>
  <Paragraphs>7</Paragraphs>
  <TotalTime>5</TotalTime>
  <ScaleCrop>false</ScaleCrop>
  <LinksUpToDate>false</LinksUpToDate>
  <CharactersWithSpaces>3801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2021-02-22T01:17:00Z</dcterms:created>
  <dc:creator>卢艳民</dc:creator>
  <cp:lastModifiedBy>zhangye</cp:lastModifiedBy>
  <cp:lastPrinted>2021-01-20T08:52:00Z</cp:lastPrinted>
  <dcterms:modified xsi:type="dcterms:W3CDTF">2021-02-22T10:28:38Z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