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color w:val="000000"/>
          <w:sz w:val="32"/>
          <w:szCs w:val="32"/>
        </w:rPr>
      </w:pPr>
      <w:r>
        <w:rPr>
          <w:rFonts w:hint="eastAsia" w:ascii="仿宋_GB2312" w:hAnsi="宋体" w:eastAsia="仿宋_GB2312"/>
          <w:color w:val="000000"/>
          <w:sz w:val="32"/>
          <w:szCs w:val="32"/>
        </w:rPr>
        <w:t>附件三：</w:t>
      </w:r>
    </w:p>
    <w:p>
      <w:pPr>
        <w:spacing w:line="560" w:lineRule="exact"/>
        <w:jc w:val="center"/>
        <w:rPr>
          <w:rFonts w:asciiTheme="majorEastAsia" w:hAnsiTheme="majorEastAsia" w:eastAsiaTheme="majorEastAsia" w:cstheme="majorEastAsia"/>
          <w:b/>
          <w:sz w:val="44"/>
          <w:szCs w:val="44"/>
        </w:rPr>
      </w:pPr>
      <w:r>
        <w:rPr>
          <w:rFonts w:hint="eastAsia" w:asciiTheme="majorEastAsia" w:hAnsiTheme="majorEastAsia" w:eastAsiaTheme="majorEastAsia" w:cstheme="majorEastAsia"/>
          <w:b/>
          <w:sz w:val="44"/>
          <w:szCs w:val="44"/>
        </w:rPr>
        <w:t>新一代本币交易平台信用违约互换信用缓释凭证和远期利率协议项目实施方案</w:t>
      </w:r>
    </w:p>
    <w:p>
      <w:pPr>
        <w:pStyle w:val="2"/>
      </w:pPr>
      <w:r>
        <w:rPr>
          <w:rFonts w:hint="eastAsia"/>
        </w:rPr>
        <w:t>方案概述</w:t>
      </w:r>
    </w:p>
    <w:p>
      <w:pPr>
        <w:pStyle w:val="3"/>
      </w:pPr>
      <w:r>
        <w:rPr>
          <w:rFonts w:hint="eastAsia"/>
        </w:rPr>
        <w:t>系统目的</w:t>
      </w:r>
    </w:p>
    <w:p>
      <w:pPr>
        <w:spacing w:line="560" w:lineRule="exact"/>
        <w:ind w:firstLine="640"/>
        <w:rPr>
          <w:rFonts w:ascii="仿宋" w:hAnsi="仿宋" w:eastAsia="仿宋"/>
          <w:sz w:val="32"/>
          <w:szCs w:val="32"/>
          <w:lang w:eastAsia="zh-Hans"/>
        </w:rPr>
      </w:pPr>
      <w:bookmarkStart w:id="0" w:name="_Hlk57753536"/>
      <w:r>
        <w:rPr>
          <w:rFonts w:hint="eastAsia" w:ascii="仿宋" w:hAnsi="仿宋" w:eastAsia="仿宋"/>
          <w:sz w:val="32"/>
          <w:szCs w:val="32"/>
          <w:lang w:eastAsia="zh-Hans"/>
        </w:rPr>
        <w:t>基于新本币现有总体架构</w:t>
      </w:r>
      <w:r>
        <w:rPr>
          <w:rFonts w:ascii="仿宋" w:hAnsi="仿宋" w:eastAsia="仿宋"/>
          <w:sz w:val="32"/>
          <w:szCs w:val="32"/>
          <w:lang w:eastAsia="zh-Hans"/>
        </w:rPr>
        <w:t>，</w:t>
      </w:r>
      <w:r>
        <w:rPr>
          <w:rFonts w:hint="eastAsia" w:ascii="仿宋" w:hAnsi="仿宋" w:eastAsia="仿宋"/>
          <w:sz w:val="32"/>
          <w:szCs w:val="32"/>
          <w:lang w:eastAsia="zh-Hans"/>
        </w:rPr>
        <w:t>增加信用违约互换市场、信用缓释凭证市场和远期利率协议市场</w:t>
      </w:r>
      <w:r>
        <w:rPr>
          <w:rFonts w:ascii="仿宋" w:hAnsi="仿宋" w:eastAsia="仿宋"/>
          <w:sz w:val="32"/>
          <w:szCs w:val="32"/>
          <w:lang w:eastAsia="zh-Hans"/>
        </w:rPr>
        <w:t>，</w:t>
      </w:r>
      <w:r>
        <w:rPr>
          <w:rFonts w:hint="eastAsia" w:ascii="仿宋" w:hAnsi="仿宋" w:eastAsia="仿宋"/>
          <w:sz w:val="32"/>
          <w:szCs w:val="32"/>
          <w:lang w:eastAsia="zh-Hans"/>
        </w:rPr>
        <w:t>支持信用违约互换市场、信用缓释凭证市场和远期利率协议市场的交易及相关功能</w:t>
      </w:r>
      <w:r>
        <w:rPr>
          <w:rFonts w:ascii="仿宋" w:hAnsi="仿宋" w:eastAsia="仿宋"/>
          <w:sz w:val="32"/>
          <w:szCs w:val="32"/>
          <w:lang w:eastAsia="zh-Hans"/>
        </w:rPr>
        <w:t>。</w:t>
      </w:r>
      <w:r>
        <w:rPr>
          <w:rFonts w:hint="eastAsia" w:ascii="仿宋" w:hAnsi="仿宋" w:eastAsia="仿宋"/>
          <w:sz w:val="32"/>
          <w:szCs w:val="32"/>
          <w:lang w:eastAsia="zh-Hans"/>
        </w:rPr>
        <w:t>信用违约互换市场主要包括交易</w:t>
      </w:r>
      <w:r>
        <w:rPr>
          <w:rFonts w:ascii="仿宋" w:hAnsi="仿宋" w:eastAsia="仿宋"/>
          <w:sz w:val="32"/>
          <w:szCs w:val="32"/>
          <w:lang w:eastAsia="zh-Hans"/>
        </w:rPr>
        <w:t>、</w:t>
      </w:r>
      <w:r>
        <w:rPr>
          <w:rFonts w:hint="eastAsia" w:ascii="仿宋" w:hAnsi="仿宋" w:eastAsia="仿宋"/>
          <w:sz w:val="32"/>
          <w:szCs w:val="32"/>
          <w:lang w:eastAsia="zh-Hans"/>
        </w:rPr>
        <w:t>计算</w:t>
      </w:r>
      <w:r>
        <w:rPr>
          <w:rFonts w:ascii="仿宋" w:hAnsi="仿宋" w:eastAsia="仿宋"/>
          <w:sz w:val="32"/>
          <w:szCs w:val="32"/>
          <w:lang w:eastAsia="zh-Hans"/>
        </w:rPr>
        <w:t>、</w:t>
      </w:r>
      <w:r>
        <w:rPr>
          <w:rFonts w:hint="eastAsia" w:ascii="仿宋" w:hAnsi="仿宋" w:eastAsia="仿宋"/>
          <w:sz w:val="32"/>
          <w:szCs w:val="32"/>
          <w:lang w:eastAsia="zh-Hans"/>
        </w:rPr>
        <w:t>风控、行情等功能</w:t>
      </w:r>
      <w:r>
        <w:rPr>
          <w:rFonts w:ascii="仿宋" w:hAnsi="仿宋" w:eastAsia="仿宋"/>
          <w:sz w:val="32"/>
          <w:szCs w:val="32"/>
          <w:lang w:eastAsia="zh-Hans"/>
        </w:rPr>
        <w:t>，</w:t>
      </w:r>
      <w:r>
        <w:rPr>
          <w:rFonts w:hint="eastAsia" w:ascii="仿宋" w:hAnsi="仿宋" w:eastAsia="仿宋"/>
          <w:sz w:val="32"/>
          <w:szCs w:val="32"/>
          <w:lang w:eastAsia="zh-Hans"/>
        </w:rPr>
        <w:t>交易功能主要涉及询价，计算功能主要是X</w:t>
      </w:r>
      <w:r>
        <w:rPr>
          <w:rFonts w:ascii="仿宋" w:hAnsi="仿宋" w:eastAsia="仿宋"/>
          <w:sz w:val="32"/>
          <w:szCs w:val="32"/>
          <w:lang w:eastAsia="zh-Hans"/>
        </w:rPr>
        <w:t>X</w:t>
      </w:r>
      <w:r>
        <w:rPr>
          <w:rFonts w:hint="eastAsia" w:ascii="仿宋" w:hAnsi="仿宋" w:eastAsia="仿宋"/>
          <w:sz w:val="32"/>
          <w:szCs w:val="32"/>
          <w:lang w:eastAsia="zh-Hans"/>
        </w:rPr>
        <w:t>定价等，风控功能主要包括授信管理等</w:t>
      </w:r>
      <w:bookmarkEnd w:id="0"/>
      <w:r>
        <w:rPr>
          <w:rFonts w:hint="eastAsia" w:ascii="仿宋" w:hAnsi="仿宋" w:eastAsia="仿宋"/>
          <w:sz w:val="32"/>
          <w:szCs w:val="32"/>
          <w:lang w:eastAsia="zh-Hans"/>
        </w:rPr>
        <w:t>;信用缓释凭证市场主要包括交易、风控等功能，交易功能主要涉及询价，风控功能主要涉及授信管理；远期利率协议主要包含询价交易功能。</w:t>
      </w:r>
    </w:p>
    <w:p>
      <w:pPr>
        <w:pStyle w:val="3"/>
      </w:pPr>
      <w:r>
        <w:rPr>
          <w:rFonts w:hint="eastAsia"/>
        </w:rPr>
        <w:t>系统规划</w:t>
      </w:r>
    </w:p>
    <w:p>
      <w:pPr>
        <w:ind w:firstLine="640" w:firstLineChars="200"/>
        <w:rPr>
          <w:rFonts w:ascii="仿宋" w:hAnsi="仿宋" w:eastAsia="仿宋"/>
          <w:color w:val="FF0000"/>
          <w:sz w:val="32"/>
          <w:szCs w:val="32"/>
        </w:rPr>
      </w:pPr>
      <w:r>
        <w:rPr>
          <w:rFonts w:hint="eastAsia" w:ascii="仿宋" w:hAnsi="仿宋" w:eastAsia="仿宋"/>
          <w:sz w:val="32"/>
          <w:szCs w:val="32"/>
        </w:rPr>
        <w:t>新一代本币交易系统的完善性开发，不涉及调整系统规划。</w:t>
      </w:r>
      <w:r>
        <w:rPr>
          <w:rFonts w:hint="eastAsia" w:ascii="仿宋" w:hAnsi="仿宋" w:eastAsia="仿宋"/>
          <w:color w:val="FF0000"/>
          <w:sz w:val="32"/>
          <w:szCs w:val="32"/>
        </w:rPr>
        <w:t>（下表待调整）</w:t>
      </w:r>
    </w:p>
    <w:p>
      <w:pPr>
        <w:ind w:firstLine="640" w:firstLineChars="200"/>
        <w:rPr>
          <w:rFonts w:ascii="仿宋" w:hAnsi="仿宋" w:eastAsia="仿宋"/>
          <w:sz w:val="32"/>
          <w:szCs w:val="32"/>
        </w:rPr>
      </w:pPr>
      <w:bookmarkStart w:id="1" w:name="_MON_1669025945"/>
      <w:bookmarkEnd w:id="1"/>
      <w:r>
        <w:rPr>
          <w:rFonts w:ascii="仿宋" w:hAnsi="仿宋" w:eastAsia="仿宋"/>
          <w:sz w:val="32"/>
          <w:szCs w:val="32"/>
        </w:rPr>
        <w:object>
          <v:shape id="_x0000_i1025" o:spt="75" type="#_x0000_t75" style="height:102pt;width:102.45pt;" o:ole="t" filled="f" o:preferrelative="t" stroked="f" coordsize="21600,21600">
            <v:path/>
            <v:fill on="f" focussize="0,0"/>
            <v:stroke on="f" joinstyle="miter"/>
            <v:imagedata r:id="rId5" o:title=""/>
            <o:lock v:ext="edit" aspectratio="t"/>
            <w10:wrap type="none"/>
            <w10:anchorlock/>
          </v:shape>
          <o:OLEObject Type="Embed" ProgID="Excel.Sheet.12" ShapeID="_x0000_i1025" DrawAspect="Icon" ObjectID="_1468075725" r:id="rId4">
            <o:LockedField>false</o:LockedField>
          </o:OLEObject>
        </w:object>
      </w:r>
    </w:p>
    <w:p>
      <w:pPr>
        <w:pStyle w:val="3"/>
        <w:rPr>
          <w:highlight w:val="none"/>
        </w:rPr>
      </w:pPr>
      <w:r>
        <w:rPr>
          <w:rFonts w:hint="eastAsia"/>
          <w:highlight w:val="none"/>
        </w:rPr>
        <w:t>系统架构</w:t>
      </w:r>
      <w:bookmarkStart w:id="2" w:name="_Hlk69458691"/>
      <w:bookmarkEnd w:id="2"/>
    </w:p>
    <w:p>
      <w:pPr>
        <w:pStyle w:val="18"/>
        <w:ind w:firstLine="0" w:firstLineChars="0"/>
      </w:pPr>
      <w:r>
        <w:drawing>
          <wp:inline distT="0" distB="0" distL="114300" distR="114300">
            <wp:extent cx="5267325" cy="5102860"/>
            <wp:effectExtent l="0" t="0" r="1587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267325" cy="5102860"/>
                    </a:xfrm>
                    <a:prstGeom prst="rect">
                      <a:avLst/>
                    </a:prstGeom>
                    <a:noFill/>
                    <a:ln w="9525">
                      <a:noFill/>
                    </a:ln>
                  </pic:spPr>
                </pic:pic>
              </a:graphicData>
            </a:graphic>
          </wp:inline>
        </w:drawing>
      </w:r>
    </w:p>
    <w:p>
      <w:pPr>
        <w:pStyle w:val="18"/>
        <w:spacing w:line="560" w:lineRule="exact"/>
        <w:ind w:firstLine="640"/>
        <w:rPr>
          <w:rFonts w:ascii="仿宋" w:hAnsi="仿宋" w:eastAsia="仿宋"/>
          <w:i w:val="0"/>
          <w:color w:val="auto"/>
          <w:sz w:val="32"/>
          <w:szCs w:val="32"/>
          <w:highlight w:val="none"/>
        </w:rPr>
      </w:pPr>
      <w:r>
        <w:rPr>
          <w:rFonts w:hint="eastAsia" w:ascii="仿宋" w:hAnsi="仿宋" w:eastAsia="仿宋"/>
          <w:i w:val="0"/>
          <w:color w:val="auto"/>
          <w:sz w:val="32"/>
          <w:szCs w:val="32"/>
          <w:highlight w:val="none"/>
        </w:rPr>
        <w:t>本次</w:t>
      </w:r>
      <w:r>
        <w:rPr>
          <w:rFonts w:ascii="仿宋" w:hAnsi="仿宋" w:eastAsia="仿宋"/>
          <w:i w:val="0"/>
          <w:color w:val="auto"/>
          <w:sz w:val="32"/>
          <w:szCs w:val="32"/>
          <w:highlight w:val="none"/>
        </w:rPr>
        <w:t>利率期权</w:t>
      </w:r>
      <w:r>
        <w:rPr>
          <w:rFonts w:hint="eastAsia" w:ascii="仿宋" w:hAnsi="仿宋" w:eastAsia="仿宋"/>
          <w:i w:val="0"/>
          <w:color w:val="auto"/>
          <w:sz w:val="32"/>
          <w:szCs w:val="32"/>
          <w:highlight w:val="none"/>
        </w:rPr>
        <w:t>项目对系统架构无重大调整，</w:t>
      </w:r>
      <w:r>
        <w:rPr>
          <w:rFonts w:ascii="仿宋" w:hAnsi="仿宋" w:eastAsia="仿宋"/>
          <w:i w:val="0"/>
          <w:color w:val="auto"/>
          <w:sz w:val="32"/>
          <w:szCs w:val="32"/>
          <w:highlight w:val="none"/>
        </w:rPr>
        <w:t>在NDM中</w:t>
      </w:r>
      <w:r>
        <w:rPr>
          <w:rFonts w:hint="eastAsia" w:ascii="仿宋" w:hAnsi="仿宋" w:eastAsia="仿宋"/>
          <w:i w:val="0"/>
          <w:color w:val="auto"/>
          <w:sz w:val="32"/>
          <w:szCs w:val="32"/>
          <w:highlight w:val="none"/>
          <w:lang w:val="en-US" w:eastAsia="zh-Hans"/>
        </w:rPr>
        <w:t>新增衍生品</w:t>
      </w:r>
      <w:bookmarkStart w:id="4" w:name="_GoBack"/>
      <w:bookmarkEnd w:id="4"/>
      <w:r>
        <w:rPr>
          <w:rFonts w:hint="eastAsia" w:ascii="仿宋" w:hAnsi="仿宋" w:eastAsia="仿宋"/>
          <w:i w:val="0"/>
          <w:color w:val="auto"/>
          <w:sz w:val="32"/>
          <w:szCs w:val="32"/>
          <w:highlight w:val="none"/>
          <w:lang w:val="en-US" w:eastAsia="zh-Hans"/>
        </w:rPr>
        <w:t>预处理</w:t>
      </w:r>
      <w:r>
        <w:rPr>
          <w:rFonts w:hint="default" w:ascii="仿宋" w:hAnsi="仿宋" w:eastAsia="仿宋"/>
          <w:i w:val="0"/>
          <w:color w:val="auto"/>
          <w:sz w:val="32"/>
          <w:szCs w:val="32"/>
          <w:highlight w:val="none"/>
          <w:lang w:eastAsia="zh-Hans"/>
        </w:rPr>
        <w:t>、</w:t>
      </w:r>
      <w:r>
        <w:rPr>
          <w:rFonts w:hint="eastAsia" w:ascii="仿宋" w:hAnsi="仿宋" w:eastAsia="仿宋"/>
          <w:i w:val="0"/>
          <w:color w:val="auto"/>
          <w:sz w:val="32"/>
          <w:szCs w:val="32"/>
          <w:highlight w:val="none"/>
          <w:lang w:val="en-US" w:eastAsia="zh-Hans"/>
        </w:rPr>
        <w:t>对话报价处理进程</w:t>
      </w:r>
      <w:r>
        <w:rPr>
          <w:rFonts w:ascii="仿宋" w:hAnsi="仿宋" w:eastAsia="仿宋"/>
          <w:i w:val="0"/>
          <w:color w:val="auto"/>
          <w:sz w:val="32"/>
          <w:szCs w:val="32"/>
          <w:highlight w:val="none"/>
        </w:rPr>
        <w:t>实现对话报价功能，在TBS</w:t>
      </w:r>
      <w:r>
        <w:rPr>
          <w:rFonts w:hint="eastAsia" w:ascii="仿宋" w:hAnsi="仿宋" w:eastAsia="仿宋"/>
          <w:i w:val="0"/>
          <w:color w:val="auto"/>
          <w:sz w:val="32"/>
          <w:szCs w:val="32"/>
          <w:highlight w:val="none"/>
          <w:lang w:val="en-US" w:eastAsia="zh-Hans"/>
        </w:rPr>
        <w:t>公共进程与衍生品进程</w:t>
      </w:r>
      <w:r>
        <w:rPr>
          <w:rFonts w:ascii="仿宋" w:hAnsi="仿宋" w:eastAsia="仿宋"/>
          <w:i w:val="0"/>
          <w:color w:val="auto"/>
          <w:sz w:val="32"/>
          <w:szCs w:val="32"/>
          <w:highlight w:val="none"/>
        </w:rPr>
        <w:t>中实现基础数据管理</w:t>
      </w:r>
      <w:r>
        <w:rPr>
          <w:rFonts w:ascii="仿宋" w:hAnsi="仿宋" w:eastAsia="仿宋"/>
          <w:i w:val="0"/>
          <w:color w:val="auto"/>
          <w:sz w:val="32"/>
          <w:szCs w:val="32"/>
          <w:highlight w:val="none"/>
        </w:rPr>
        <w:t>、</w:t>
      </w:r>
      <w:r>
        <w:rPr>
          <w:rFonts w:hint="eastAsia" w:ascii="仿宋" w:hAnsi="仿宋" w:eastAsia="仿宋"/>
          <w:i w:val="0"/>
          <w:color w:val="auto"/>
          <w:sz w:val="32"/>
          <w:szCs w:val="32"/>
          <w:highlight w:val="none"/>
          <w:lang w:val="en-US" w:eastAsia="zh-Hans"/>
        </w:rPr>
        <w:t>交易入库</w:t>
      </w:r>
      <w:r>
        <w:rPr>
          <w:rFonts w:ascii="仿宋" w:hAnsi="仿宋" w:eastAsia="仿宋"/>
          <w:i w:val="0"/>
          <w:color w:val="auto"/>
          <w:sz w:val="32"/>
          <w:szCs w:val="32"/>
          <w:highlight w:val="none"/>
        </w:rPr>
        <w:t>、交易行情入库发布等功能。利率期权</w:t>
      </w:r>
      <w:r>
        <w:rPr>
          <w:rFonts w:hint="eastAsia" w:ascii="仿宋" w:hAnsi="仿宋" w:eastAsia="仿宋"/>
          <w:i w:val="0"/>
          <w:color w:val="auto"/>
          <w:sz w:val="32"/>
          <w:szCs w:val="32"/>
          <w:highlight w:val="none"/>
        </w:rPr>
        <w:t>协商交易与</w:t>
      </w:r>
      <w:r>
        <w:rPr>
          <w:rFonts w:hint="eastAsia" w:ascii="仿宋" w:hAnsi="仿宋" w:eastAsia="仿宋"/>
          <w:i w:val="0"/>
          <w:color w:val="auto"/>
          <w:sz w:val="32"/>
          <w:szCs w:val="32"/>
          <w:highlight w:val="none"/>
          <w:lang w:eastAsia="zh-Hans"/>
        </w:rPr>
        <w:t>债券远期</w:t>
      </w:r>
      <w:r>
        <w:rPr>
          <w:rFonts w:hint="eastAsia" w:ascii="仿宋" w:hAnsi="仿宋" w:eastAsia="仿宋"/>
          <w:i w:val="0"/>
          <w:color w:val="auto"/>
          <w:sz w:val="32"/>
          <w:szCs w:val="32"/>
          <w:highlight w:val="none"/>
        </w:rPr>
        <w:t>协商交易复用同一组进程</w:t>
      </w:r>
      <w:r>
        <w:rPr>
          <w:rFonts w:ascii="仿宋" w:hAnsi="仿宋" w:eastAsia="仿宋"/>
          <w:i w:val="0"/>
          <w:color w:val="auto"/>
          <w:sz w:val="32"/>
          <w:szCs w:val="32"/>
          <w:highlight w:val="none"/>
        </w:rPr>
        <w:t>（见上图）</w:t>
      </w:r>
      <w:r>
        <w:rPr>
          <w:rFonts w:hint="eastAsia" w:ascii="仿宋" w:hAnsi="仿宋" w:eastAsia="仿宋"/>
          <w:i w:val="0"/>
          <w:color w:val="auto"/>
          <w:sz w:val="32"/>
          <w:szCs w:val="32"/>
          <w:highlight w:val="none"/>
        </w:rPr>
        <w:t>。</w:t>
      </w:r>
    </w:p>
    <w:p>
      <w:pPr>
        <w:pStyle w:val="3"/>
      </w:pPr>
      <w:r>
        <w:rPr>
          <w:rFonts w:hint="eastAsia"/>
        </w:rPr>
        <w:t xml:space="preserve">可扩展性设计 </w:t>
      </w:r>
    </w:p>
    <w:p>
      <w:pPr>
        <w:pStyle w:val="18"/>
        <w:spacing w:line="560" w:lineRule="exact"/>
        <w:ind w:firstLine="640"/>
        <w:rPr>
          <w:rFonts w:ascii="仿宋" w:hAnsi="仿宋" w:eastAsia="仿宋"/>
          <w:i w:val="0"/>
          <w:color w:val="auto"/>
          <w:sz w:val="32"/>
          <w:szCs w:val="32"/>
        </w:rPr>
      </w:pPr>
      <w:r>
        <w:rPr>
          <w:rFonts w:hint="eastAsia" w:ascii="仿宋" w:hAnsi="仿宋" w:eastAsia="仿宋"/>
          <w:i w:val="0"/>
          <w:color w:val="auto"/>
          <w:sz w:val="32"/>
          <w:szCs w:val="32"/>
        </w:rPr>
        <w:t>支持新增合约</w:t>
      </w:r>
      <w:r>
        <w:rPr>
          <w:rFonts w:ascii="仿宋" w:hAnsi="仿宋" w:eastAsia="仿宋"/>
          <w:i w:val="0"/>
          <w:color w:val="auto"/>
          <w:sz w:val="32"/>
          <w:szCs w:val="32"/>
        </w:rPr>
        <w:t>，支持横向扩展</w:t>
      </w:r>
      <w:r>
        <w:rPr>
          <w:rFonts w:hint="eastAsia" w:ascii="仿宋" w:hAnsi="仿宋" w:eastAsia="仿宋"/>
          <w:i w:val="0"/>
          <w:color w:val="auto"/>
          <w:sz w:val="32"/>
          <w:szCs w:val="32"/>
        </w:rPr>
        <w:t>。</w:t>
      </w:r>
    </w:p>
    <w:p>
      <w:pPr>
        <w:pStyle w:val="3"/>
      </w:pPr>
      <w:r>
        <w:rPr>
          <w:rFonts w:hint="eastAsia"/>
        </w:rPr>
        <w:t xml:space="preserve">主要开发工作 </w:t>
      </w:r>
    </w:p>
    <w:p>
      <w:pPr>
        <w:pStyle w:val="4"/>
      </w:pPr>
      <w:r>
        <w:rPr>
          <w:rFonts w:hint="eastAsia"/>
        </w:rPr>
        <w:t>新一代本币交易系统</w:t>
      </w:r>
    </w:p>
    <w:p>
      <w:pPr>
        <w:numPr>
          <w:ilvl w:val="0"/>
          <w:numId w:val="2"/>
        </w:numPr>
        <w:ind w:left="840"/>
        <w:rPr>
          <w:rFonts w:ascii="仿宋" w:hAnsi="仿宋" w:eastAsia="仿宋"/>
          <w:sz w:val="32"/>
          <w:szCs w:val="32"/>
        </w:rPr>
      </w:pPr>
      <w:r>
        <w:rPr>
          <w:rFonts w:hint="eastAsia" w:ascii="仿宋" w:hAnsi="仿宋" w:eastAsia="仿宋"/>
          <w:b/>
          <w:sz w:val="32"/>
          <w:szCs w:val="32"/>
        </w:rPr>
        <w:t>用户访问层</w:t>
      </w:r>
    </w:p>
    <w:p>
      <w:pPr>
        <w:ind w:firstLine="640" w:firstLineChars="200"/>
        <w:rPr>
          <w:rFonts w:ascii="仿宋" w:hAnsi="仿宋" w:eastAsia="仿宋"/>
          <w:b/>
          <w:sz w:val="32"/>
          <w:szCs w:val="32"/>
        </w:rPr>
      </w:pPr>
      <w:r>
        <w:rPr>
          <w:rFonts w:hint="eastAsia" w:ascii="仿宋" w:hAnsi="仿宋" w:eastAsia="仿宋"/>
          <w:sz w:val="32"/>
          <w:szCs w:val="32"/>
        </w:rPr>
        <w:t>统一终端</w:t>
      </w:r>
      <w:r>
        <w:rPr>
          <w:rFonts w:ascii="仿宋" w:hAnsi="仿宋" w:eastAsia="仿宋"/>
          <w:sz w:val="32"/>
          <w:szCs w:val="32"/>
        </w:rPr>
        <w:t>增加</w:t>
      </w:r>
      <w:r>
        <w:rPr>
          <w:rFonts w:hint="eastAsia" w:ascii="仿宋" w:hAnsi="仿宋" w:eastAsia="仿宋"/>
          <w:sz w:val="32"/>
          <w:szCs w:val="32"/>
        </w:rPr>
        <w:t>信用违约互换、信用缓释凭证和远期利率协议市场相关的交易</w:t>
      </w:r>
      <w:r>
        <w:rPr>
          <w:rFonts w:ascii="仿宋" w:hAnsi="仿宋" w:eastAsia="仿宋"/>
          <w:sz w:val="32"/>
          <w:szCs w:val="32"/>
        </w:rPr>
        <w:t>、</w:t>
      </w:r>
      <w:r>
        <w:rPr>
          <w:rFonts w:hint="eastAsia" w:ascii="仿宋" w:hAnsi="仿宋" w:eastAsia="仿宋"/>
          <w:sz w:val="32"/>
          <w:szCs w:val="32"/>
        </w:rPr>
        <w:t>风控、</w:t>
      </w:r>
      <w:r>
        <w:rPr>
          <w:rFonts w:ascii="仿宋" w:hAnsi="仿宋" w:eastAsia="仿宋"/>
          <w:sz w:val="32"/>
          <w:szCs w:val="32"/>
        </w:rPr>
        <w:t>查询</w:t>
      </w:r>
      <w:r>
        <w:rPr>
          <w:rFonts w:hint="eastAsia" w:ascii="仿宋" w:hAnsi="仿宋" w:eastAsia="仿宋"/>
          <w:sz w:val="32"/>
          <w:szCs w:val="32"/>
        </w:rPr>
        <w:t>、维护等Widget。</w:t>
      </w:r>
      <w:r>
        <w:rPr>
          <w:rFonts w:ascii="仿宋" w:hAnsi="仿宋" w:eastAsia="仿宋"/>
          <w:sz w:val="32"/>
          <w:szCs w:val="32"/>
        </w:rPr>
        <w:t>场务终端增加</w:t>
      </w:r>
      <w:r>
        <w:rPr>
          <w:rFonts w:hint="eastAsia" w:ascii="仿宋" w:hAnsi="仿宋" w:eastAsia="仿宋"/>
          <w:sz w:val="32"/>
          <w:szCs w:val="32"/>
        </w:rPr>
        <w:t>信用违约互换、信用缓释凭证和远期利率协议市场</w:t>
      </w:r>
      <w:r>
        <w:rPr>
          <w:rFonts w:ascii="仿宋" w:hAnsi="仿宋" w:eastAsia="仿宋"/>
          <w:sz w:val="32"/>
          <w:szCs w:val="32"/>
        </w:rPr>
        <w:t>场务基础数据维护、交易查询、应急交易等界面。</w:t>
      </w:r>
    </w:p>
    <w:p>
      <w:pPr>
        <w:numPr>
          <w:ilvl w:val="0"/>
          <w:numId w:val="3"/>
        </w:numPr>
        <w:ind w:left="-420" w:firstLine="840"/>
        <w:rPr>
          <w:rFonts w:ascii="仿宋" w:hAnsi="仿宋" w:eastAsia="仿宋"/>
          <w:b/>
          <w:sz w:val="32"/>
          <w:szCs w:val="32"/>
        </w:rPr>
      </w:pPr>
      <w:r>
        <w:rPr>
          <w:rFonts w:hint="eastAsia" w:ascii="仿宋" w:hAnsi="仿宋" w:eastAsia="仿宋"/>
          <w:b/>
          <w:sz w:val="32"/>
          <w:szCs w:val="32"/>
        </w:rPr>
        <w:t>统一接入层</w:t>
      </w:r>
    </w:p>
    <w:p>
      <w:pPr>
        <w:ind w:firstLine="640" w:firstLineChars="200"/>
        <w:rPr>
          <w:rFonts w:ascii="仿宋" w:hAnsi="仿宋" w:eastAsia="仿宋"/>
          <w:sz w:val="32"/>
          <w:szCs w:val="32"/>
        </w:rPr>
      </w:pPr>
      <w:r>
        <w:rPr>
          <w:rFonts w:hint="eastAsia" w:ascii="仿宋" w:hAnsi="仿宋" w:eastAsia="仿宋"/>
          <w:sz w:val="32"/>
          <w:szCs w:val="32"/>
        </w:rPr>
        <w:t>R</w:t>
      </w:r>
      <w:r>
        <w:rPr>
          <w:rFonts w:ascii="仿宋" w:hAnsi="仿宋" w:eastAsia="仿宋"/>
          <w:sz w:val="32"/>
          <w:szCs w:val="32"/>
        </w:rPr>
        <w:t>EST网关、推送网关增加</w:t>
      </w:r>
      <w:r>
        <w:rPr>
          <w:rFonts w:hint="eastAsia" w:ascii="仿宋" w:hAnsi="仿宋" w:eastAsia="仿宋"/>
          <w:sz w:val="32"/>
          <w:szCs w:val="32"/>
        </w:rPr>
        <w:t>信用违约互换、信用缓释凭证和远期利率协议</w:t>
      </w:r>
      <w:r>
        <w:rPr>
          <w:rFonts w:ascii="仿宋" w:hAnsi="仿宋" w:eastAsia="仿宋"/>
          <w:sz w:val="32"/>
          <w:szCs w:val="32"/>
        </w:rPr>
        <w:t>市场消息路由</w:t>
      </w:r>
      <w:r>
        <w:rPr>
          <w:rFonts w:hint="eastAsia" w:ascii="仿宋" w:hAnsi="仿宋" w:eastAsia="仿宋"/>
          <w:sz w:val="32"/>
          <w:szCs w:val="32"/>
        </w:rPr>
        <w:t>相关配置</w:t>
      </w:r>
      <w:r>
        <w:rPr>
          <w:rFonts w:ascii="仿宋" w:hAnsi="仿宋" w:eastAsia="仿宋"/>
          <w:sz w:val="32"/>
          <w:szCs w:val="32"/>
        </w:rPr>
        <w:t>。</w:t>
      </w:r>
    </w:p>
    <w:p>
      <w:pPr>
        <w:numPr>
          <w:ilvl w:val="0"/>
          <w:numId w:val="2"/>
        </w:numPr>
        <w:ind w:left="840"/>
        <w:rPr>
          <w:rFonts w:ascii="仿宋" w:hAnsi="仿宋" w:eastAsia="仿宋"/>
          <w:b/>
          <w:sz w:val="32"/>
          <w:szCs w:val="32"/>
        </w:rPr>
      </w:pPr>
      <w:r>
        <w:rPr>
          <w:rFonts w:ascii="仿宋" w:hAnsi="仿宋" w:eastAsia="仿宋"/>
          <w:b/>
          <w:sz w:val="32"/>
          <w:szCs w:val="32"/>
        </w:rPr>
        <w:t>NDM</w:t>
      </w:r>
    </w:p>
    <w:p>
      <w:pPr>
        <w:spacing w:line="560" w:lineRule="exact"/>
        <w:ind w:firstLine="640"/>
        <w:rPr>
          <w:rFonts w:ascii="仿宋" w:hAnsi="仿宋" w:eastAsia="仿宋"/>
          <w:sz w:val="32"/>
          <w:szCs w:val="32"/>
        </w:rPr>
      </w:pPr>
      <w:bookmarkStart w:id="3" w:name="_Hlk57753697"/>
      <w:r>
        <w:rPr>
          <w:rFonts w:ascii="仿宋" w:hAnsi="仿宋" w:eastAsia="仿宋"/>
          <w:sz w:val="32"/>
          <w:szCs w:val="32"/>
        </w:rPr>
        <w:t>NDM增加</w:t>
      </w:r>
      <w:r>
        <w:rPr>
          <w:rFonts w:hint="eastAsia" w:ascii="仿宋" w:hAnsi="仿宋" w:eastAsia="仿宋"/>
          <w:sz w:val="32"/>
          <w:szCs w:val="32"/>
        </w:rPr>
        <w:t>信用违约互换、信用缓释凭证和远期利率协议市场的</w:t>
      </w:r>
      <w:r>
        <w:rPr>
          <w:rFonts w:ascii="仿宋" w:hAnsi="仿宋" w:eastAsia="仿宋"/>
          <w:sz w:val="32"/>
          <w:szCs w:val="32"/>
        </w:rPr>
        <w:t>对话报价</w:t>
      </w:r>
      <w:bookmarkEnd w:id="3"/>
      <w:r>
        <w:rPr>
          <w:rFonts w:hint="eastAsia" w:ascii="仿宋" w:hAnsi="仿宋" w:eastAsia="仿宋"/>
          <w:sz w:val="32"/>
          <w:szCs w:val="32"/>
        </w:rPr>
        <w:t>交易流程</w:t>
      </w:r>
      <w:r>
        <w:rPr>
          <w:rFonts w:ascii="仿宋" w:hAnsi="仿宋" w:eastAsia="仿宋"/>
          <w:sz w:val="32"/>
          <w:szCs w:val="32"/>
        </w:rPr>
        <w:t>，增加</w:t>
      </w:r>
      <w:r>
        <w:rPr>
          <w:rFonts w:hint="eastAsia" w:ascii="仿宋" w:hAnsi="仿宋" w:eastAsia="仿宋"/>
          <w:sz w:val="32"/>
          <w:szCs w:val="32"/>
        </w:rPr>
        <w:t>三个市场对应的</w:t>
      </w:r>
      <w:r>
        <w:rPr>
          <w:rFonts w:ascii="仿宋" w:hAnsi="仿宋" w:eastAsia="仿宋"/>
          <w:sz w:val="32"/>
          <w:szCs w:val="32"/>
        </w:rPr>
        <w:t>基础数据、</w:t>
      </w:r>
      <w:r>
        <w:rPr>
          <w:rFonts w:hint="eastAsia" w:ascii="仿宋" w:hAnsi="仿宋" w:eastAsia="仿宋"/>
          <w:sz w:val="32"/>
          <w:szCs w:val="32"/>
          <w:lang w:eastAsia="zh-Hans"/>
        </w:rPr>
        <w:t>额度</w:t>
      </w:r>
      <w:r>
        <w:rPr>
          <w:rFonts w:ascii="仿宋" w:hAnsi="仿宋" w:eastAsia="仿宋"/>
          <w:sz w:val="32"/>
          <w:szCs w:val="32"/>
        </w:rPr>
        <w:t>从TBS到NDM的数据同步，为客户端提供基础数据查询功能。</w:t>
      </w:r>
    </w:p>
    <w:p>
      <w:pPr>
        <w:numPr>
          <w:ilvl w:val="0"/>
          <w:numId w:val="2"/>
        </w:numPr>
        <w:ind w:left="840"/>
        <w:rPr>
          <w:rFonts w:ascii="仿宋" w:hAnsi="仿宋" w:eastAsia="仿宋"/>
          <w:b/>
          <w:sz w:val="32"/>
          <w:szCs w:val="32"/>
        </w:rPr>
      </w:pPr>
      <w:r>
        <w:rPr>
          <w:rFonts w:ascii="仿宋" w:hAnsi="仿宋" w:eastAsia="仿宋"/>
          <w:b/>
          <w:sz w:val="32"/>
          <w:szCs w:val="32"/>
        </w:rPr>
        <w:t>TBS</w:t>
      </w:r>
    </w:p>
    <w:p>
      <w:pPr>
        <w:spacing w:line="560" w:lineRule="exact"/>
        <w:ind w:firstLine="640"/>
        <w:rPr>
          <w:rFonts w:ascii="仿宋" w:hAnsi="仿宋" w:eastAsia="仿宋"/>
          <w:sz w:val="32"/>
          <w:szCs w:val="32"/>
        </w:rPr>
      </w:pPr>
      <w:r>
        <w:rPr>
          <w:rFonts w:hint="eastAsia" w:ascii="仿宋" w:hAnsi="仿宋" w:eastAsia="仿宋"/>
          <w:sz w:val="32"/>
          <w:szCs w:val="32"/>
        </w:rPr>
        <w:t>修改</w:t>
      </w:r>
      <w:r>
        <w:rPr>
          <w:rFonts w:ascii="仿宋" w:hAnsi="仿宋" w:eastAsia="仿宋"/>
          <w:sz w:val="32"/>
          <w:szCs w:val="32"/>
        </w:rPr>
        <w:t>TBS场务与基础数据</w:t>
      </w:r>
      <w:r>
        <w:rPr>
          <w:rFonts w:hint="eastAsia" w:ascii="仿宋" w:hAnsi="仿宋" w:eastAsia="仿宋"/>
          <w:sz w:val="32"/>
          <w:szCs w:val="32"/>
        </w:rPr>
        <w:t>相关</w:t>
      </w:r>
      <w:r>
        <w:rPr>
          <w:rFonts w:ascii="仿宋" w:hAnsi="仿宋" w:eastAsia="仿宋"/>
          <w:sz w:val="32"/>
          <w:szCs w:val="32"/>
        </w:rPr>
        <w:t>模块，</w:t>
      </w:r>
      <w:r>
        <w:rPr>
          <w:rFonts w:hint="eastAsia" w:ascii="仿宋" w:hAnsi="仿宋" w:eastAsia="仿宋"/>
          <w:sz w:val="32"/>
          <w:szCs w:val="32"/>
        </w:rPr>
        <w:t>支持信用违约互换、信用缓释凭证和远期利率协议市场</w:t>
      </w:r>
      <w:r>
        <w:rPr>
          <w:rFonts w:ascii="仿宋" w:hAnsi="仿宋" w:eastAsia="仿宋"/>
          <w:sz w:val="32"/>
          <w:szCs w:val="32"/>
        </w:rPr>
        <w:t>参数设置、合约维护、权限维护、交易时段维护、额度维护与分配、基础数据实时和批处理准备、基础数据验证、计算、场务交易查询、场务应急、</w:t>
      </w:r>
      <w:r>
        <w:rPr>
          <w:rFonts w:hint="eastAsia" w:ascii="仿宋" w:hAnsi="仿宋" w:eastAsia="仿宋"/>
          <w:sz w:val="32"/>
          <w:szCs w:val="32"/>
        </w:rPr>
        <w:t>风险监控</w:t>
      </w:r>
      <w:r>
        <w:rPr>
          <w:rFonts w:ascii="仿宋" w:hAnsi="仿宋" w:eastAsia="仿宋"/>
          <w:sz w:val="32"/>
          <w:szCs w:val="32"/>
        </w:rPr>
        <w:t>等功能。</w:t>
      </w:r>
    </w:p>
    <w:p>
      <w:pPr>
        <w:spacing w:line="560" w:lineRule="exact"/>
        <w:ind w:firstLine="640"/>
        <w:rPr>
          <w:rFonts w:ascii="仿宋" w:hAnsi="仿宋" w:eastAsia="仿宋"/>
          <w:sz w:val="32"/>
          <w:szCs w:val="32"/>
        </w:rPr>
      </w:pPr>
      <w:r>
        <w:rPr>
          <w:rFonts w:hint="eastAsia" w:ascii="仿宋" w:hAnsi="仿宋" w:eastAsia="仿宋"/>
          <w:sz w:val="32"/>
          <w:szCs w:val="32"/>
          <w:lang w:eastAsia="zh-Hans"/>
        </w:rPr>
        <w:t>修改</w:t>
      </w:r>
      <w:r>
        <w:rPr>
          <w:rFonts w:hint="eastAsia" w:ascii="仿宋" w:hAnsi="仿宋" w:eastAsia="仿宋"/>
          <w:sz w:val="32"/>
          <w:szCs w:val="32"/>
        </w:rPr>
        <w:t>TBS</w:t>
      </w:r>
      <w:r>
        <w:rPr>
          <w:rFonts w:ascii="仿宋" w:hAnsi="仿宋" w:eastAsia="仿宋"/>
          <w:sz w:val="32"/>
          <w:szCs w:val="32"/>
        </w:rPr>
        <w:t>交易</w:t>
      </w:r>
      <w:r>
        <w:rPr>
          <w:rFonts w:hint="eastAsia" w:ascii="仿宋" w:hAnsi="仿宋" w:eastAsia="仿宋"/>
          <w:sz w:val="32"/>
          <w:szCs w:val="32"/>
          <w:lang w:eastAsia="zh-Hans"/>
        </w:rPr>
        <w:t>入库</w:t>
      </w:r>
      <w:r>
        <w:rPr>
          <w:rFonts w:ascii="仿宋" w:hAnsi="仿宋" w:eastAsia="仿宋"/>
          <w:sz w:val="32"/>
          <w:szCs w:val="32"/>
        </w:rPr>
        <w:t>、</w:t>
      </w:r>
      <w:r>
        <w:rPr>
          <w:rFonts w:hint="eastAsia" w:ascii="仿宋" w:hAnsi="仿宋" w:eastAsia="仿宋"/>
          <w:sz w:val="32"/>
          <w:szCs w:val="32"/>
          <w:lang w:eastAsia="zh-Hans"/>
        </w:rPr>
        <w:t>行情</w:t>
      </w:r>
      <w:r>
        <w:rPr>
          <w:rFonts w:ascii="仿宋" w:hAnsi="仿宋" w:eastAsia="仿宋"/>
          <w:sz w:val="32"/>
          <w:szCs w:val="32"/>
        </w:rPr>
        <w:t>处理</w:t>
      </w:r>
      <w:r>
        <w:rPr>
          <w:rFonts w:hint="eastAsia" w:ascii="仿宋" w:hAnsi="仿宋" w:eastAsia="仿宋"/>
          <w:sz w:val="32"/>
          <w:szCs w:val="32"/>
          <w:lang w:eastAsia="zh-Hans"/>
        </w:rPr>
        <w:t>相关</w:t>
      </w:r>
      <w:r>
        <w:rPr>
          <w:rFonts w:ascii="仿宋" w:hAnsi="仿宋" w:eastAsia="仿宋"/>
          <w:sz w:val="32"/>
          <w:szCs w:val="32"/>
        </w:rPr>
        <w:t>模块，</w:t>
      </w:r>
      <w:r>
        <w:rPr>
          <w:rFonts w:hint="eastAsia" w:ascii="仿宋" w:hAnsi="仿宋" w:eastAsia="仿宋"/>
          <w:sz w:val="32"/>
          <w:szCs w:val="32"/>
          <w:lang w:eastAsia="zh-Hans"/>
        </w:rPr>
        <w:t>支持</w:t>
      </w:r>
      <w:r>
        <w:rPr>
          <w:rFonts w:hint="eastAsia" w:ascii="仿宋" w:hAnsi="仿宋" w:eastAsia="仿宋"/>
          <w:sz w:val="32"/>
          <w:szCs w:val="32"/>
        </w:rPr>
        <w:t>信用违约互换、信用缓释凭证和远期利率协议</w:t>
      </w:r>
      <w:r>
        <w:rPr>
          <w:rFonts w:ascii="仿宋" w:hAnsi="仿宋" w:eastAsia="仿宋"/>
          <w:sz w:val="32"/>
          <w:szCs w:val="32"/>
        </w:rPr>
        <w:t>市场对话报价、成交的数据处理入库、查询与对外发布，支持成交单生成，支持消息盒子推送，提供逐笔成交行情、汇总成交行情的计算与发布，支持</w:t>
      </w:r>
      <w:r>
        <w:rPr>
          <w:rFonts w:hint="eastAsia" w:ascii="仿宋" w:hAnsi="仿宋" w:eastAsia="仿宋"/>
          <w:sz w:val="32"/>
          <w:szCs w:val="32"/>
        </w:rPr>
        <w:t>业务流程的</w:t>
      </w:r>
      <w:r>
        <w:rPr>
          <w:rFonts w:ascii="仿宋" w:hAnsi="仿宋" w:eastAsia="仿宋"/>
          <w:sz w:val="32"/>
          <w:szCs w:val="32"/>
        </w:rPr>
        <w:t>批处理。</w:t>
      </w:r>
    </w:p>
    <w:p>
      <w:pPr>
        <w:spacing w:line="560" w:lineRule="exact"/>
        <w:ind w:firstLine="640"/>
        <w:rPr>
          <w:rFonts w:ascii="仿宋" w:hAnsi="仿宋" w:eastAsia="仿宋"/>
          <w:sz w:val="32"/>
          <w:szCs w:val="32"/>
        </w:rPr>
      </w:pPr>
      <w:r>
        <w:rPr>
          <w:rFonts w:ascii="仿宋" w:hAnsi="仿宋" w:eastAsia="仿宋"/>
          <w:sz w:val="32"/>
          <w:szCs w:val="32"/>
        </w:rPr>
        <w:t>数据迁移包括</w:t>
      </w:r>
      <w:r>
        <w:rPr>
          <w:rFonts w:hint="eastAsia" w:ascii="仿宋" w:hAnsi="仿宋" w:eastAsia="仿宋"/>
          <w:sz w:val="32"/>
          <w:szCs w:val="32"/>
        </w:rPr>
        <w:t>信用衍生品市场</w:t>
      </w:r>
      <w:r>
        <w:rPr>
          <w:rFonts w:ascii="仿宋" w:hAnsi="仿宋" w:eastAsia="仿宋"/>
          <w:sz w:val="32"/>
          <w:szCs w:val="32"/>
        </w:rPr>
        <w:t>历史成交明细</w:t>
      </w:r>
      <w:r>
        <w:rPr>
          <w:rFonts w:hint="eastAsia" w:ascii="仿宋" w:hAnsi="仿宋" w:eastAsia="仿宋"/>
          <w:sz w:val="32"/>
          <w:szCs w:val="32"/>
        </w:rPr>
        <w:t>、成交单</w:t>
      </w:r>
      <w:r>
        <w:rPr>
          <w:rFonts w:ascii="仿宋" w:hAnsi="仿宋" w:eastAsia="仿宋"/>
          <w:sz w:val="32"/>
          <w:szCs w:val="32"/>
        </w:rPr>
        <w:t>等数据。</w:t>
      </w:r>
    </w:p>
    <w:p>
      <w:pPr>
        <w:pStyle w:val="4"/>
      </w:pPr>
      <w:r>
        <w:rPr>
          <w:rFonts w:hint="eastAsia"/>
        </w:rPr>
        <w:t>本币交易系统</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配合迁移信用违约互换成交明细、成交单等数据；</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配合迁移信用缓释凭证成交明细、成交单等数据；</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本币交易系统下线</w:t>
      </w:r>
    </w:p>
    <w:p>
      <w:pPr>
        <w:pStyle w:val="4"/>
      </w:pPr>
      <w:r>
        <w:rPr>
          <w:rFonts w:hint="eastAsia"/>
        </w:rPr>
        <w:t>CMDS</w:t>
      </w:r>
    </w:p>
    <w:p>
      <w:pPr>
        <w:spacing w:line="560" w:lineRule="exact"/>
        <w:ind w:firstLine="640"/>
        <w:rPr>
          <w:rFonts w:ascii="仿宋" w:hAnsi="仿宋" w:eastAsia="仿宋"/>
          <w:sz w:val="32"/>
          <w:szCs w:val="32"/>
          <w:lang w:eastAsia="zh-Hans"/>
        </w:rPr>
      </w:pPr>
      <w:r>
        <w:rPr>
          <w:rFonts w:hint="eastAsia" w:ascii="仿宋" w:hAnsi="仿宋" w:eastAsia="仿宋"/>
          <w:sz w:val="32"/>
          <w:szCs w:val="32"/>
          <w:lang w:eastAsia="zh-Hans"/>
        </w:rPr>
        <w:t>配合从新本币DEP服务获取远期利率协议行情。</w:t>
      </w:r>
    </w:p>
    <w:p>
      <w:pPr>
        <w:pStyle w:val="4"/>
      </w:pPr>
      <w:r>
        <w:rPr>
          <w:rFonts w:hint="eastAsia"/>
        </w:rPr>
        <w:t>本币CSTP</w:t>
      </w:r>
    </w:p>
    <w:p>
      <w:pPr>
        <w:spacing w:line="560" w:lineRule="exact"/>
        <w:ind w:firstLine="640"/>
        <w:rPr>
          <w:rFonts w:ascii="仿宋" w:hAnsi="仿宋" w:eastAsia="仿宋"/>
          <w:sz w:val="32"/>
          <w:szCs w:val="32"/>
          <w:lang w:eastAsia="zh-Hans"/>
        </w:rPr>
      </w:pPr>
      <w:r>
        <w:rPr>
          <w:rFonts w:hint="eastAsia" w:ascii="仿宋" w:hAnsi="仿宋" w:eastAsia="仿宋"/>
          <w:sz w:val="32"/>
          <w:szCs w:val="32"/>
          <w:lang w:eastAsia="zh-Hans"/>
        </w:rPr>
        <w:t>配合从新本币DEP服务获取</w:t>
      </w:r>
      <w:r>
        <w:rPr>
          <w:rFonts w:hint="eastAsia" w:ascii="仿宋" w:hAnsi="仿宋" w:eastAsia="仿宋"/>
          <w:sz w:val="32"/>
          <w:szCs w:val="32"/>
        </w:rPr>
        <w:t>信用违约互换、信用缓释凭证和远期利率协议</w:t>
      </w:r>
      <w:r>
        <w:rPr>
          <w:rFonts w:hint="eastAsia" w:ascii="仿宋" w:hAnsi="仿宋" w:eastAsia="仿宋"/>
          <w:sz w:val="32"/>
          <w:szCs w:val="32"/>
          <w:lang w:eastAsia="zh-Hans"/>
        </w:rPr>
        <w:t>成交数据，支持</w:t>
      </w:r>
      <w:r>
        <w:rPr>
          <w:rFonts w:hint="eastAsia" w:ascii="仿宋" w:hAnsi="仿宋" w:eastAsia="仿宋"/>
          <w:sz w:val="32"/>
          <w:szCs w:val="32"/>
        </w:rPr>
        <w:t>应急</w:t>
      </w:r>
      <w:r>
        <w:rPr>
          <w:rFonts w:hint="eastAsia" w:ascii="仿宋" w:hAnsi="仿宋" w:eastAsia="仿宋"/>
          <w:sz w:val="32"/>
          <w:szCs w:val="32"/>
          <w:lang w:eastAsia="zh-Hans"/>
        </w:rPr>
        <w:t>。</w:t>
      </w:r>
    </w:p>
    <w:p>
      <w:pPr>
        <w:pStyle w:val="4"/>
      </w:pPr>
      <w:r>
        <w:rPr>
          <w:rFonts w:hint="eastAsia"/>
        </w:rPr>
        <w:t>交易后处理系统</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配合从新本币DEP服务获取信用违约互换成交数据，支持应急；</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单笔清算退出DEP服务支持信用违约互换市场；</w:t>
      </w:r>
    </w:p>
    <w:p>
      <w:pPr>
        <w:pStyle w:val="30"/>
        <w:numPr>
          <w:ilvl w:val="5"/>
          <w:numId w:val="1"/>
        </w:numPr>
        <w:spacing w:line="560" w:lineRule="exact"/>
        <w:ind w:firstLineChars="0"/>
        <w:rPr>
          <w:rFonts w:ascii="仿宋" w:hAnsi="仿宋" w:eastAsia="仿宋"/>
          <w:sz w:val="32"/>
          <w:szCs w:val="32"/>
        </w:rPr>
      </w:pPr>
      <w:r>
        <w:rPr>
          <w:rFonts w:hint="eastAsia" w:ascii="仿宋" w:hAnsi="仿宋" w:eastAsia="仿宋"/>
          <w:sz w:val="32"/>
          <w:szCs w:val="32"/>
        </w:rPr>
        <w:t>从新本币DEP服务获取利率互换期权行权状态通知。</w:t>
      </w:r>
    </w:p>
    <w:p>
      <w:pPr>
        <w:pStyle w:val="4"/>
        <w:rPr>
          <w:highlight w:val="yellow"/>
        </w:rPr>
      </w:pPr>
      <w:r>
        <w:rPr>
          <w:rFonts w:hint="eastAsia"/>
          <w:highlight w:val="yellow"/>
        </w:rPr>
        <w:t>数据共享系统</w:t>
      </w:r>
    </w:p>
    <w:p>
      <w:pPr>
        <w:spacing w:line="560" w:lineRule="exact"/>
        <w:ind w:firstLine="640"/>
        <w:rPr>
          <w:rFonts w:ascii="仿宋" w:hAnsi="仿宋" w:eastAsia="仿宋"/>
          <w:strike/>
          <w:sz w:val="32"/>
          <w:szCs w:val="32"/>
          <w:lang w:eastAsia="zh-Hans"/>
        </w:rPr>
      </w:pPr>
      <w:r>
        <w:rPr>
          <w:rFonts w:hint="eastAsia" w:ascii="仿宋" w:hAnsi="仿宋" w:eastAsia="仿宋"/>
          <w:strike/>
          <w:sz w:val="32"/>
          <w:szCs w:val="32"/>
          <w:lang w:eastAsia="zh-Hans"/>
        </w:rPr>
        <w:t>配合从新本币DEP服务获取利率互换期权、利率上下限期权成交数据。</w:t>
      </w:r>
    </w:p>
    <w:p>
      <w:pPr>
        <w:pStyle w:val="4"/>
      </w:pPr>
      <w:r>
        <w:rPr>
          <w:rFonts w:hint="eastAsia"/>
        </w:rPr>
        <w:t>DEP</w:t>
      </w:r>
    </w:p>
    <w:p>
      <w:pPr>
        <w:spacing w:line="560" w:lineRule="exact"/>
        <w:ind w:firstLine="640"/>
        <w:rPr>
          <w:rFonts w:ascii="仿宋" w:hAnsi="仿宋" w:eastAsia="仿宋"/>
          <w:sz w:val="32"/>
          <w:szCs w:val="32"/>
          <w:lang w:eastAsia="zh-Hans"/>
        </w:rPr>
      </w:pPr>
      <w:r>
        <w:rPr>
          <w:rFonts w:hint="eastAsia" w:ascii="仿宋" w:hAnsi="仿宋" w:eastAsia="仿宋"/>
          <w:sz w:val="32"/>
          <w:szCs w:val="32"/>
          <w:lang w:eastAsia="zh-Hans"/>
        </w:rPr>
        <w:t>数据交换服务配套服务及支持。</w:t>
      </w:r>
    </w:p>
    <w:p>
      <w:pPr>
        <w:pStyle w:val="3"/>
      </w:pPr>
      <w:r>
        <w:rPr>
          <w:rFonts w:hint="eastAsia"/>
        </w:rPr>
        <w:t>技术风险</w:t>
      </w:r>
    </w:p>
    <w:p>
      <w:pPr>
        <w:ind w:firstLine="420"/>
        <w:rPr>
          <w:rFonts w:ascii="仿宋" w:hAnsi="仿宋" w:eastAsia="仿宋"/>
          <w:szCs w:val="32"/>
        </w:rPr>
      </w:pPr>
      <w:r>
        <w:rPr>
          <w:rFonts w:hint="eastAsia" w:ascii="仿宋" w:hAnsi="仿宋" w:eastAsia="仿宋"/>
          <w:sz w:val="32"/>
          <w:szCs w:val="32"/>
        </w:rPr>
        <w:t>无。</w:t>
      </w:r>
    </w:p>
    <w:p>
      <w:pPr>
        <w:pStyle w:val="3"/>
      </w:pPr>
      <w:r>
        <w:rPr>
          <w:rFonts w:hint="eastAsia"/>
        </w:rPr>
        <w:t>应急操作</w:t>
      </w:r>
    </w:p>
    <w:p>
      <w:pPr>
        <w:widowControl/>
        <w:ind w:firstLine="640" w:firstLineChars="200"/>
        <w:jc w:val="left"/>
        <w:rPr>
          <w:rFonts w:eastAsia="仿宋"/>
        </w:rPr>
      </w:pPr>
      <w:r>
        <w:rPr>
          <w:rFonts w:hint="eastAsia" w:ascii="仿宋" w:hAnsi="仿宋" w:eastAsia="仿宋"/>
          <w:sz w:val="32"/>
          <w:szCs w:val="32"/>
        </w:rPr>
        <w:t>无。</w:t>
      </w:r>
    </w:p>
    <w:p>
      <w:pPr>
        <w:pStyle w:val="3"/>
      </w:pPr>
      <w:r>
        <w:rPr>
          <w:rFonts w:hint="eastAsia"/>
        </w:rPr>
        <w:t>部署架构</w:t>
      </w:r>
    </w:p>
    <w:p>
      <w:pPr>
        <w:ind w:firstLine="420"/>
        <w:rPr>
          <w:rFonts w:ascii="仿宋" w:hAnsi="仿宋" w:eastAsia="仿宋"/>
          <w:sz w:val="32"/>
          <w:szCs w:val="32"/>
        </w:rPr>
      </w:pPr>
      <w:r>
        <w:rPr>
          <w:rFonts w:hint="eastAsia" w:ascii="仿宋" w:hAnsi="仿宋" w:eastAsia="仿宋"/>
          <w:sz w:val="32"/>
          <w:szCs w:val="32"/>
          <w:lang w:eastAsia="zh-Hans"/>
        </w:rPr>
        <w:t>无调整</w:t>
      </w:r>
      <w:r>
        <w:rPr>
          <w:rFonts w:ascii="仿宋" w:hAnsi="仿宋" w:eastAsia="仿宋"/>
          <w:sz w:val="32"/>
          <w:szCs w:val="32"/>
        </w:rPr>
        <w:t>。</w:t>
      </w:r>
    </w:p>
    <w:p>
      <w:pPr>
        <w:pStyle w:val="3"/>
      </w:pPr>
      <w:r>
        <w:t>服务器</w:t>
      </w:r>
      <w:r>
        <w:rPr>
          <w:rFonts w:hint="eastAsia"/>
        </w:rPr>
        <w:t>系统环境需求</w:t>
      </w:r>
    </w:p>
    <w:p>
      <w:pPr>
        <w:pStyle w:val="4"/>
      </w:pPr>
      <w:r>
        <w:rPr>
          <w:rFonts w:hint="eastAsia"/>
        </w:rPr>
        <w:t>软件资源配置需求</w:t>
      </w:r>
    </w:p>
    <w:p>
      <w:pPr>
        <w:ind w:left="420" w:firstLine="420"/>
      </w:pPr>
      <w:r>
        <w:rPr>
          <w:rFonts w:ascii="仿宋" w:hAnsi="仿宋" w:eastAsia="仿宋"/>
          <w:sz w:val="32"/>
          <w:szCs w:val="32"/>
        </w:rPr>
        <w:t>无</w:t>
      </w:r>
      <w:r>
        <w:rPr>
          <w:rFonts w:hint="eastAsia" w:ascii="仿宋" w:hAnsi="仿宋" w:eastAsia="仿宋"/>
          <w:sz w:val="32"/>
          <w:szCs w:val="32"/>
        </w:rPr>
        <w:t>。</w:t>
      </w:r>
    </w:p>
    <w:p>
      <w:pPr>
        <w:pStyle w:val="4"/>
      </w:pPr>
      <w:r>
        <w:rPr>
          <w:rFonts w:hint="eastAsia"/>
        </w:rPr>
        <w:t>硬件资源配置清单</w:t>
      </w:r>
    </w:p>
    <w:p>
      <w:pPr>
        <w:ind w:left="420" w:firstLine="420"/>
        <w:rPr>
          <w:rFonts w:ascii="仿宋" w:hAnsi="仿宋" w:eastAsia="仿宋"/>
          <w:sz w:val="32"/>
          <w:szCs w:val="32"/>
        </w:rPr>
      </w:pPr>
      <w:r>
        <w:rPr>
          <w:rFonts w:ascii="仿宋" w:hAnsi="仿宋" w:eastAsia="仿宋"/>
          <w:sz w:val="32"/>
          <w:szCs w:val="32"/>
        </w:rPr>
        <w:t>无</w:t>
      </w:r>
      <w:r>
        <w:rPr>
          <w:rFonts w:hint="eastAsia" w:ascii="仿宋" w:hAnsi="仿宋" w:eastAsia="仿宋"/>
          <w:sz w:val="32"/>
          <w:szCs w:val="32"/>
        </w:rPr>
        <w:t>。</w:t>
      </w:r>
    </w:p>
    <w:p>
      <w:pPr>
        <w:pStyle w:val="3"/>
      </w:pPr>
      <w:r>
        <w:t>性能要求</w:t>
      </w:r>
    </w:p>
    <w:p>
      <w:pPr>
        <w:ind w:firstLine="420"/>
        <w:rPr>
          <w:rFonts w:ascii="仿宋" w:hAnsi="仿宋" w:eastAsia="仿宋"/>
          <w:sz w:val="32"/>
          <w:szCs w:val="32"/>
          <w:lang w:eastAsia="zh-Hans"/>
        </w:rPr>
      </w:pPr>
      <w:r>
        <w:rPr>
          <w:rFonts w:hint="eastAsia" w:ascii="仿宋" w:hAnsi="仿宋" w:eastAsia="仿宋"/>
          <w:sz w:val="32"/>
          <w:szCs w:val="32"/>
          <w:lang w:eastAsia="zh-Hans"/>
        </w:rPr>
        <w:t>根据现有生产交易体量评估，目前协商交易架构体系可以支撑，暂无性能要求。</w:t>
      </w:r>
    </w:p>
    <w:p>
      <w:pPr>
        <w:pStyle w:val="2"/>
      </w:pPr>
      <w:r>
        <w:rPr>
          <w:rFonts w:hint="eastAsia"/>
        </w:rPr>
        <w:t>项目成本</w:t>
      </w:r>
    </w:p>
    <w:p>
      <w:pPr>
        <w:pStyle w:val="3"/>
        <w:numPr>
          <w:ilvl w:val="1"/>
          <w:numId w:val="4"/>
        </w:numPr>
      </w:pPr>
      <w:r>
        <w:rPr>
          <w:rFonts w:hint="eastAsia"/>
        </w:rPr>
        <w:t>预计成本</w:t>
      </w:r>
    </w:p>
    <w:p>
      <w:pPr>
        <w:spacing w:line="560" w:lineRule="atLeast"/>
        <w:ind w:firstLine="640" w:firstLineChars="200"/>
        <w:rPr>
          <w:rFonts w:ascii="仿宋" w:hAnsi="仿宋" w:eastAsia="仿宋"/>
          <w:sz w:val="32"/>
          <w:szCs w:val="32"/>
        </w:rPr>
      </w:pPr>
      <w:r>
        <w:rPr>
          <w:rFonts w:hint="eastAsia" w:ascii="仿宋" w:hAnsi="仿宋" w:eastAsia="仿宋"/>
          <w:sz w:val="32"/>
          <w:szCs w:val="32"/>
        </w:rPr>
        <w:t>软件开发成本依照中心《项目估算指南-V0.1》进行评估，人月单价为</w:t>
      </w:r>
      <w:r>
        <w:rPr>
          <w:rFonts w:ascii="仿宋" w:hAnsi="仿宋" w:eastAsia="仿宋"/>
          <w:sz w:val="32"/>
          <w:szCs w:val="32"/>
        </w:rPr>
        <w:t>5.25</w:t>
      </w:r>
      <w:r>
        <w:rPr>
          <w:rFonts w:hint="eastAsia" w:ascii="仿宋" w:hAnsi="仿宋" w:eastAsia="仿宋"/>
          <w:sz w:val="32"/>
          <w:szCs w:val="32"/>
        </w:rPr>
        <w:t>万。项目汇总工作量为</w:t>
      </w:r>
      <w:r>
        <w:rPr>
          <w:rFonts w:ascii="仿宋" w:hAnsi="仿宋" w:eastAsia="仿宋"/>
          <w:sz w:val="32"/>
          <w:szCs w:val="32"/>
        </w:rPr>
        <w:t>54.45</w:t>
      </w:r>
      <w:r>
        <w:rPr>
          <w:rFonts w:hint="eastAsia" w:ascii="仿宋" w:hAnsi="仿宋" w:eastAsia="仿宋"/>
          <w:sz w:val="32"/>
          <w:szCs w:val="32"/>
        </w:rPr>
        <w:t>人月，其中新一代本币交易系统</w:t>
      </w:r>
      <w:r>
        <w:rPr>
          <w:rFonts w:hint="eastAsia" w:ascii="仿宋" w:eastAsia="仿宋"/>
          <w:bCs/>
          <w:sz w:val="32"/>
          <w:szCs w:val="32"/>
        </w:rPr>
        <w:t>IT前置开发工作量在签报《关于新本币项目人员调整及采购相关事宜的请示》（202007015）范围内包含</w:t>
      </w:r>
      <w:r>
        <w:rPr>
          <w:rFonts w:hint="eastAsia" w:ascii="仿宋" w:hAnsi="仿宋" w:eastAsia="仿宋"/>
          <w:bCs/>
          <w:sz w:val="32"/>
          <w:szCs w:val="32"/>
        </w:rPr>
        <w:t>，</w:t>
      </w:r>
      <w:r>
        <w:rPr>
          <w:rFonts w:hint="eastAsia" w:ascii="仿宋" w:hAnsi="仿宋" w:eastAsia="仿宋"/>
          <w:sz w:val="32"/>
          <w:szCs w:val="32"/>
        </w:rPr>
        <w:t>非</w:t>
      </w:r>
      <w:r>
        <w:rPr>
          <w:rFonts w:ascii="仿宋" w:hAnsi="仿宋" w:eastAsia="仿宋"/>
          <w:sz w:val="32"/>
          <w:szCs w:val="32"/>
        </w:rPr>
        <w:t>前置工作量为XX</w:t>
      </w:r>
      <w:r>
        <w:rPr>
          <w:rFonts w:hint="eastAsia" w:ascii="仿宋" w:hAnsi="仿宋" w:eastAsia="仿宋"/>
          <w:sz w:val="32"/>
          <w:szCs w:val="32"/>
        </w:rPr>
        <w:t>人月</w:t>
      </w:r>
      <w:r>
        <w:rPr>
          <w:rFonts w:ascii="仿宋" w:hAnsi="仿宋" w:eastAsia="仿宋"/>
          <w:sz w:val="32"/>
          <w:szCs w:val="32"/>
        </w:rPr>
        <w:t>，</w:t>
      </w:r>
      <w:r>
        <w:rPr>
          <w:rFonts w:hint="eastAsia" w:ascii="仿宋" w:hAnsi="仿宋" w:eastAsia="仿宋"/>
          <w:sz w:val="32"/>
          <w:szCs w:val="32"/>
        </w:rPr>
        <w:t>软件开发成本为</w:t>
      </w:r>
      <w:r>
        <w:rPr>
          <w:rFonts w:ascii="仿宋" w:hAnsi="仿宋" w:eastAsia="仿宋"/>
          <w:sz w:val="32"/>
          <w:szCs w:val="32"/>
        </w:rPr>
        <w:t>54.45</w:t>
      </w:r>
      <w:r>
        <w:rPr>
          <w:rFonts w:hint="eastAsia" w:ascii="仿宋" w:hAnsi="仿宋" w:eastAsia="仿宋"/>
          <w:sz w:val="32"/>
          <w:szCs w:val="32"/>
        </w:rPr>
        <w:t>（人月）*</w:t>
      </w:r>
      <w:r>
        <w:rPr>
          <w:rFonts w:ascii="仿宋" w:hAnsi="仿宋" w:eastAsia="仿宋"/>
          <w:sz w:val="32"/>
          <w:szCs w:val="32"/>
        </w:rPr>
        <w:t>5.25</w:t>
      </w:r>
      <w:r>
        <w:rPr>
          <w:rFonts w:hint="eastAsia" w:ascii="仿宋" w:hAnsi="仿宋" w:eastAsia="仿宋"/>
          <w:sz w:val="32"/>
          <w:szCs w:val="32"/>
        </w:rPr>
        <w:t>（万元/人月）=（万元），构件采购X</w:t>
      </w:r>
      <w:r>
        <w:rPr>
          <w:rFonts w:ascii="仿宋" w:hAnsi="仿宋" w:eastAsia="仿宋"/>
          <w:sz w:val="32"/>
          <w:szCs w:val="32"/>
        </w:rPr>
        <w:t>X</w:t>
      </w:r>
      <w:r>
        <w:rPr>
          <w:rFonts w:hint="eastAsia" w:ascii="仿宋" w:hAnsi="仿宋" w:eastAsia="仿宋"/>
          <w:sz w:val="32"/>
          <w:szCs w:val="32"/>
        </w:rPr>
        <w:t>万元，合计万元。</w:t>
      </w:r>
    </w:p>
    <w:p>
      <w:pPr>
        <w:pStyle w:val="3"/>
        <w:numPr>
          <w:ilvl w:val="1"/>
          <w:numId w:val="4"/>
        </w:numPr>
      </w:pPr>
      <w:r>
        <w:rPr>
          <w:rFonts w:hint="eastAsia"/>
        </w:rPr>
        <w:t>软件开发</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5"/>
        <w:gridCol w:w="1616"/>
        <w:gridCol w:w="2330"/>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noWrap/>
            <w:vAlign w:val="center"/>
          </w:tcPr>
          <w:p>
            <w:pPr>
              <w:spacing w:line="560" w:lineRule="exact"/>
              <w:jc w:val="center"/>
              <w:rPr>
                <w:rFonts w:ascii="仿宋" w:hAnsi="仿宋" w:eastAsia="仿宋"/>
                <w:b/>
                <w:bCs/>
                <w:sz w:val="32"/>
                <w:szCs w:val="32"/>
              </w:rPr>
            </w:pPr>
            <w:r>
              <w:rPr>
                <w:rFonts w:hint="eastAsia" w:ascii="仿宋" w:hAnsi="仿宋" w:eastAsia="仿宋"/>
                <w:b/>
                <w:bCs/>
                <w:sz w:val="32"/>
                <w:szCs w:val="32"/>
              </w:rPr>
              <w:t>系统名称</w:t>
            </w:r>
          </w:p>
        </w:tc>
        <w:tc>
          <w:tcPr>
            <w:tcW w:w="1616" w:type="dxa"/>
            <w:vAlign w:val="center"/>
          </w:tcPr>
          <w:p>
            <w:pPr>
              <w:spacing w:line="560" w:lineRule="exact"/>
              <w:jc w:val="center"/>
              <w:rPr>
                <w:rFonts w:ascii="仿宋" w:hAnsi="仿宋" w:eastAsia="仿宋"/>
                <w:b/>
                <w:bCs/>
                <w:sz w:val="32"/>
                <w:szCs w:val="32"/>
              </w:rPr>
            </w:pPr>
            <w:r>
              <w:rPr>
                <w:rFonts w:hint="eastAsia" w:ascii="仿宋" w:hAnsi="仿宋" w:eastAsia="仿宋"/>
                <w:b/>
                <w:bCs/>
                <w:sz w:val="32"/>
                <w:szCs w:val="32"/>
              </w:rPr>
              <w:t>计划版本</w:t>
            </w:r>
          </w:p>
        </w:tc>
        <w:tc>
          <w:tcPr>
            <w:tcW w:w="2330" w:type="dxa"/>
            <w:shd w:val="clear" w:color="auto" w:fill="auto"/>
            <w:noWrap/>
            <w:vAlign w:val="center"/>
          </w:tcPr>
          <w:p>
            <w:pPr>
              <w:spacing w:line="560" w:lineRule="exact"/>
              <w:jc w:val="center"/>
              <w:rPr>
                <w:rFonts w:ascii="仿宋" w:hAnsi="仿宋" w:eastAsia="仿宋"/>
                <w:b/>
                <w:bCs/>
                <w:sz w:val="32"/>
                <w:szCs w:val="32"/>
              </w:rPr>
            </w:pPr>
            <w:r>
              <w:rPr>
                <w:rFonts w:hint="eastAsia" w:ascii="仿宋" w:hAnsi="仿宋" w:eastAsia="仿宋"/>
                <w:b/>
                <w:bCs/>
                <w:sz w:val="32"/>
                <w:szCs w:val="32"/>
              </w:rPr>
              <w:t>工作量（人月）</w:t>
            </w:r>
          </w:p>
        </w:tc>
        <w:tc>
          <w:tcPr>
            <w:tcW w:w="1875" w:type="dxa"/>
            <w:shd w:val="clear" w:color="auto" w:fill="auto"/>
            <w:noWrap/>
            <w:vAlign w:val="center"/>
          </w:tcPr>
          <w:p>
            <w:pPr>
              <w:spacing w:line="560" w:lineRule="exact"/>
              <w:jc w:val="center"/>
              <w:rPr>
                <w:rFonts w:ascii="仿宋" w:hAnsi="仿宋" w:eastAsia="仿宋"/>
                <w:b/>
                <w:bCs/>
                <w:sz w:val="32"/>
                <w:szCs w:val="32"/>
              </w:rPr>
            </w:pPr>
            <w:r>
              <w:rPr>
                <w:rFonts w:hint="eastAsia" w:ascii="仿宋" w:hAnsi="仿宋" w:eastAsia="仿宋"/>
                <w:b/>
                <w:bCs/>
                <w:sz w:val="32"/>
                <w:szCs w:val="32"/>
              </w:rPr>
              <w:t>金额（万元）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新一代本币交易系统</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r>
              <w:rPr>
                <w:rFonts w:ascii="仿宋" w:hAnsi="仿宋" w:eastAsia="仿宋"/>
                <w:sz w:val="32"/>
                <w:szCs w:val="32"/>
              </w:rPr>
              <w:t>1.6.0</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本币交易系统</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CMDS</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本币CSTP</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交易后处理系统</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数据仓库系统</w:t>
            </w:r>
          </w:p>
        </w:tc>
        <w:tc>
          <w:tcPr>
            <w:tcW w:w="1616" w:type="dxa"/>
            <w:vAlign w:val="center"/>
          </w:tcPr>
          <w:p>
            <w:pPr>
              <w:spacing w:line="560" w:lineRule="exact"/>
              <w:jc w:val="center"/>
              <w:rPr>
                <w:rFonts w:ascii="仿宋" w:hAnsi="仿宋" w:eastAsia="仿宋"/>
                <w:sz w:val="32"/>
                <w:szCs w:val="32"/>
              </w:rPr>
            </w:pPr>
            <w:r>
              <w:rPr>
                <w:rFonts w:hint="eastAsia"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rPr>
                <w:rFonts w:ascii="仿宋" w:hAnsi="仿宋" w:eastAsia="仿宋"/>
                <w:sz w:val="32"/>
                <w:szCs w:val="32"/>
              </w:rPr>
            </w:pPr>
            <w:r>
              <w:rPr>
                <w:rFonts w:hint="eastAsia" w:ascii="仿宋" w:hAnsi="仿宋" w:eastAsia="仿宋"/>
                <w:sz w:val="32"/>
                <w:szCs w:val="32"/>
              </w:rPr>
              <w:t>DEP</w:t>
            </w:r>
          </w:p>
        </w:tc>
        <w:tc>
          <w:tcPr>
            <w:tcW w:w="1616" w:type="dxa"/>
            <w:vAlign w:val="center"/>
          </w:tcPr>
          <w:p>
            <w:pPr>
              <w:spacing w:line="560" w:lineRule="exact"/>
              <w:jc w:val="center"/>
              <w:rPr>
                <w:rFonts w:ascii="仿宋" w:hAnsi="仿宋" w:eastAsia="仿宋"/>
                <w:sz w:val="32"/>
                <w:szCs w:val="32"/>
              </w:rPr>
            </w:pPr>
            <w:r>
              <w:rPr>
                <w:rFonts w:ascii="仿宋" w:hAnsi="仿宋" w:eastAsia="仿宋"/>
                <w:sz w:val="32"/>
                <w:szCs w:val="32"/>
              </w:rPr>
              <w:t>V</w:t>
            </w:r>
          </w:p>
        </w:tc>
        <w:tc>
          <w:tcPr>
            <w:tcW w:w="2330" w:type="dxa"/>
            <w:shd w:val="clear" w:color="auto" w:fill="auto"/>
            <w:noWrap/>
            <w:vAlign w:val="center"/>
          </w:tcPr>
          <w:p>
            <w:pPr>
              <w:spacing w:line="560" w:lineRule="exact"/>
              <w:jc w:val="center"/>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2475" w:type="dxa"/>
            <w:shd w:val="clear" w:color="auto" w:fill="auto"/>
            <w:vAlign w:val="center"/>
          </w:tcPr>
          <w:p>
            <w:pPr>
              <w:spacing w:line="560" w:lineRule="exact"/>
              <w:ind w:firstLine="640" w:firstLineChars="200"/>
              <w:rPr>
                <w:rFonts w:ascii="仿宋" w:hAnsi="仿宋" w:eastAsia="仿宋"/>
                <w:sz w:val="32"/>
                <w:szCs w:val="32"/>
              </w:rPr>
            </w:pPr>
            <w:r>
              <w:rPr>
                <w:rFonts w:hint="eastAsia" w:ascii="仿宋" w:hAnsi="仿宋" w:eastAsia="仿宋"/>
                <w:sz w:val="32"/>
                <w:szCs w:val="32"/>
              </w:rPr>
              <w:t>总计</w:t>
            </w:r>
          </w:p>
        </w:tc>
        <w:tc>
          <w:tcPr>
            <w:tcW w:w="1616" w:type="dxa"/>
            <w:vAlign w:val="center"/>
          </w:tcPr>
          <w:p>
            <w:pPr>
              <w:spacing w:line="560" w:lineRule="exact"/>
              <w:ind w:firstLine="640" w:firstLineChars="200"/>
              <w:jc w:val="center"/>
              <w:rPr>
                <w:rFonts w:ascii="仿宋" w:hAnsi="仿宋" w:eastAsia="仿宋"/>
                <w:sz w:val="32"/>
                <w:szCs w:val="32"/>
              </w:rPr>
            </w:pPr>
          </w:p>
        </w:tc>
        <w:tc>
          <w:tcPr>
            <w:tcW w:w="2330" w:type="dxa"/>
            <w:shd w:val="clear" w:color="auto" w:fill="auto"/>
            <w:noWrap/>
            <w:vAlign w:val="center"/>
          </w:tcPr>
          <w:p>
            <w:pPr>
              <w:spacing w:line="560" w:lineRule="exact"/>
              <w:ind w:firstLine="640" w:firstLineChars="200"/>
              <w:rPr>
                <w:rFonts w:ascii="仿宋" w:hAnsi="仿宋" w:eastAsia="仿宋"/>
                <w:sz w:val="32"/>
                <w:szCs w:val="32"/>
              </w:rPr>
            </w:pPr>
          </w:p>
        </w:tc>
        <w:tc>
          <w:tcPr>
            <w:tcW w:w="1875" w:type="dxa"/>
            <w:shd w:val="clear" w:color="auto" w:fill="auto"/>
            <w:noWrap/>
            <w:vAlign w:val="center"/>
          </w:tcPr>
          <w:p>
            <w:pPr>
              <w:spacing w:line="560" w:lineRule="exact"/>
              <w:jc w:val="center"/>
              <w:rPr>
                <w:rFonts w:ascii="仿宋" w:hAnsi="仿宋" w:eastAsia="仿宋"/>
                <w:sz w:val="32"/>
                <w:szCs w:val="32"/>
              </w:rPr>
            </w:pPr>
          </w:p>
        </w:tc>
      </w:tr>
    </w:tbl>
    <w:p>
      <w:pPr>
        <w:pStyle w:val="3"/>
        <w:numPr>
          <w:ilvl w:val="1"/>
          <w:numId w:val="4"/>
        </w:numPr>
      </w:pPr>
      <w:r>
        <w:rPr>
          <w:rFonts w:hint="eastAsia"/>
        </w:rPr>
        <w:t>构件采购</w:t>
      </w:r>
    </w:p>
    <w:tbl>
      <w:tblPr>
        <w:tblStyle w:val="15"/>
        <w:tblW w:w="821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2"/>
        <w:gridCol w:w="868"/>
        <w:gridCol w:w="544"/>
        <w:gridCol w:w="887"/>
        <w:gridCol w:w="814"/>
        <w:gridCol w:w="2551"/>
        <w:gridCol w:w="8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96" w:hRule="atLeast"/>
          <w:jc w:val="center"/>
        </w:trPr>
        <w:tc>
          <w:tcPr>
            <w:tcW w:w="1702" w:type="dxa"/>
            <w:tcBorders>
              <w:top w:val="single" w:color="000000" w:sz="4" w:space="0"/>
              <w:left w:val="single" w:color="000000" w:sz="4" w:space="0"/>
              <w:bottom w:val="single" w:color="000000" w:sz="4" w:space="0"/>
              <w:right w:val="single" w:color="auto"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产品名称</w:t>
            </w:r>
          </w:p>
        </w:tc>
        <w:tc>
          <w:tcPr>
            <w:tcW w:w="868" w:type="dxa"/>
            <w:tcBorders>
              <w:top w:val="single" w:color="000000" w:sz="4" w:space="0"/>
              <w:left w:val="single" w:color="auto"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授权时间</w:t>
            </w:r>
          </w:p>
        </w:tc>
        <w:tc>
          <w:tcPr>
            <w:tcW w:w="544" w:type="dxa"/>
            <w:tcBorders>
              <w:top w:val="single" w:color="000000" w:sz="4" w:space="0"/>
              <w:left w:val="single" w:color="000000"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套数</w:t>
            </w:r>
          </w:p>
        </w:tc>
        <w:tc>
          <w:tcPr>
            <w:tcW w:w="887" w:type="dxa"/>
            <w:tcBorders>
              <w:top w:val="single" w:color="000000" w:sz="4" w:space="0"/>
              <w:left w:val="single" w:color="000000"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提供方</w:t>
            </w:r>
          </w:p>
        </w:tc>
        <w:tc>
          <w:tcPr>
            <w:tcW w:w="814" w:type="dxa"/>
            <w:tcBorders>
              <w:top w:val="single" w:color="000000" w:sz="4" w:space="0"/>
              <w:left w:val="single" w:color="000000"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授权费用</w:t>
            </w:r>
          </w:p>
        </w:tc>
        <w:tc>
          <w:tcPr>
            <w:tcW w:w="2551" w:type="dxa"/>
            <w:tcBorders>
              <w:top w:val="single" w:color="000000" w:sz="4" w:space="0"/>
              <w:left w:val="single" w:color="000000"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功能</w:t>
            </w:r>
          </w:p>
        </w:tc>
        <w:tc>
          <w:tcPr>
            <w:tcW w:w="851" w:type="dxa"/>
            <w:tcBorders>
              <w:top w:val="single" w:color="000000" w:sz="4" w:space="0"/>
              <w:left w:val="single" w:color="000000" w:sz="4" w:space="0"/>
              <w:bottom w:val="single" w:color="000000" w:sz="4" w:space="0"/>
              <w:right w:val="single" w:color="000000" w:sz="4" w:space="0"/>
            </w:tcBorders>
            <w:shd w:val="clear" w:color="auto" w:fill="BFBFBF"/>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是否商用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1702" w:type="dxa"/>
            <w:tcBorders>
              <w:top w:val="single" w:color="000000" w:sz="4" w:space="0"/>
              <w:left w:val="single" w:color="000000" w:sz="4" w:space="0"/>
              <w:bottom w:val="single" w:color="000000" w:sz="4" w:space="0"/>
              <w:right w:val="single" w:color="auto" w:sz="4" w:space="0"/>
            </w:tcBorders>
            <w:shd w:val="clear" w:color="auto" w:fill="auto"/>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C</w:t>
            </w:r>
            <w:r>
              <w:rPr>
                <w:rFonts w:ascii="仿宋" w:hAnsi="仿宋" w:eastAsia="仿宋"/>
                <w:sz w:val="24"/>
                <w:szCs w:val="24"/>
              </w:rPr>
              <w:t>DS</w:t>
            </w:r>
            <w:r>
              <w:rPr>
                <w:rFonts w:hint="eastAsia" w:ascii="仿宋" w:hAnsi="仿宋" w:eastAsia="仿宋"/>
                <w:sz w:val="24"/>
                <w:szCs w:val="24"/>
              </w:rPr>
              <w:t>计算构件</w:t>
            </w:r>
            <w:r>
              <w:rPr>
                <w:rFonts w:ascii="仿宋" w:hAnsi="仿宋" w:eastAsia="仿宋"/>
                <w:sz w:val="24"/>
                <w:szCs w:val="24"/>
              </w:rPr>
              <w:t>1.0</w:t>
            </w:r>
          </w:p>
        </w:tc>
        <w:tc>
          <w:tcPr>
            <w:tcW w:w="868"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before="60" w:after="60" w:line="360" w:lineRule="auto"/>
              <w:jc w:val="center"/>
              <w:rPr>
                <w:rFonts w:ascii="仿宋" w:hAnsi="仿宋" w:eastAsia="仿宋"/>
                <w:sz w:val="24"/>
                <w:szCs w:val="24"/>
              </w:rPr>
            </w:pPr>
            <w:r>
              <w:rPr>
                <w:rFonts w:ascii="仿宋" w:hAnsi="仿宋" w:eastAsia="仿宋"/>
                <w:sz w:val="24"/>
                <w:szCs w:val="24"/>
              </w:rPr>
              <w:t>1年</w:t>
            </w:r>
          </w:p>
        </w:tc>
        <w:tc>
          <w:tcPr>
            <w:tcW w:w="54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6</w:t>
            </w:r>
          </w:p>
        </w:tc>
        <w:tc>
          <w:tcPr>
            <w:tcW w:w="8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60" w:after="60" w:line="360" w:lineRule="auto"/>
              <w:rPr>
                <w:rFonts w:ascii="仿宋" w:hAnsi="仿宋" w:eastAsia="仿宋"/>
                <w:sz w:val="24"/>
                <w:szCs w:val="24"/>
              </w:rPr>
            </w:pPr>
            <w:r>
              <w:rPr>
                <w:rFonts w:hint="eastAsia" w:ascii="仿宋" w:hAnsi="仿宋" w:eastAsia="仿宋"/>
                <w:sz w:val="24"/>
                <w:szCs w:val="24"/>
              </w:rPr>
              <w:t>中汇</w:t>
            </w:r>
          </w:p>
        </w:tc>
        <w:tc>
          <w:tcPr>
            <w:tcW w:w="814" w:type="dxa"/>
            <w:tcBorders>
              <w:top w:val="single" w:color="000000" w:sz="4" w:space="0"/>
              <w:left w:val="single" w:color="000000" w:sz="4" w:space="0"/>
              <w:bottom w:val="single" w:color="000000" w:sz="4" w:space="0"/>
              <w:right w:val="single" w:color="000000" w:sz="4" w:space="0"/>
            </w:tcBorders>
            <w:shd w:val="clear" w:color="auto" w:fill="FFFFFF"/>
            <w:vAlign w:val="center"/>
          </w:tcPr>
          <w:p>
            <w:pPr>
              <w:pStyle w:val="7"/>
              <w:spacing w:before="60" w:after="60" w:line="360" w:lineRule="auto"/>
              <w:ind w:firstLine="0" w:firstLineChars="0"/>
              <w:jc w:val="center"/>
              <w:rPr>
                <w:rFonts w:ascii="仿宋" w:hAnsi="仿宋" w:eastAsia="仿宋"/>
              </w:rPr>
            </w:pPr>
            <w:r>
              <w:rPr>
                <w:rFonts w:ascii="仿宋" w:hAnsi="仿宋" w:eastAsia="仿宋"/>
              </w:rPr>
              <w:t>XX</w:t>
            </w:r>
            <w:r>
              <w:rPr>
                <w:rFonts w:hint="eastAsia" w:ascii="仿宋" w:hAnsi="仿宋" w:eastAsia="仿宋"/>
              </w:rPr>
              <w:t>万元</w:t>
            </w:r>
          </w:p>
        </w:tc>
        <w:tc>
          <w:tcPr>
            <w:tcW w:w="2551" w:type="dxa"/>
            <w:tcBorders>
              <w:top w:val="single" w:color="000000" w:sz="4" w:space="0"/>
              <w:left w:val="single" w:color="000000" w:sz="4" w:space="0"/>
              <w:bottom w:val="single" w:color="000000" w:sz="4" w:space="0"/>
              <w:right w:val="single" w:color="000000" w:sz="4" w:space="0"/>
            </w:tcBorders>
          </w:tcPr>
          <w:p>
            <w:pPr>
              <w:pStyle w:val="7"/>
              <w:spacing w:before="60" w:after="60" w:line="360" w:lineRule="auto"/>
              <w:ind w:firstLine="0" w:firstLineChars="0"/>
              <w:jc w:val="center"/>
              <w:rPr>
                <w:rFonts w:ascii="仿宋" w:hAnsi="仿宋" w:eastAsia="仿宋"/>
              </w:rPr>
            </w:pPr>
          </w:p>
        </w:tc>
        <w:tc>
          <w:tcPr>
            <w:tcW w:w="851" w:type="dxa"/>
            <w:tcBorders>
              <w:top w:val="single" w:color="000000" w:sz="4" w:space="0"/>
              <w:left w:val="single" w:color="000000" w:sz="4" w:space="0"/>
              <w:bottom w:val="single" w:color="000000" w:sz="4" w:space="0"/>
              <w:right w:val="single" w:color="000000" w:sz="4" w:space="0"/>
            </w:tcBorders>
            <w:vAlign w:val="center"/>
          </w:tcPr>
          <w:p>
            <w:pPr>
              <w:pStyle w:val="7"/>
              <w:spacing w:before="60" w:after="60" w:line="360" w:lineRule="auto"/>
              <w:ind w:firstLine="0" w:firstLineChars="0"/>
              <w:jc w:val="center"/>
              <w:rPr>
                <w:rFonts w:ascii="仿宋" w:hAnsi="仿宋" w:eastAsia="仿宋"/>
              </w:rPr>
            </w:pPr>
            <w:r>
              <w:rPr>
                <w:rFonts w:hint="eastAsia" w:ascii="仿宋" w:hAnsi="仿宋" w:eastAsia="仿宋"/>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1702" w:type="dxa"/>
            <w:tcBorders>
              <w:top w:val="single" w:color="000000" w:sz="4" w:space="0"/>
              <w:left w:val="single" w:color="000000" w:sz="4" w:space="0"/>
              <w:bottom w:val="single" w:color="000000" w:sz="4" w:space="0"/>
              <w:right w:val="single" w:color="auto" w:sz="4" w:space="0"/>
            </w:tcBorders>
            <w:shd w:val="clear" w:color="auto" w:fill="auto"/>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合计</w:t>
            </w:r>
          </w:p>
        </w:tc>
        <w:tc>
          <w:tcPr>
            <w:tcW w:w="868"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before="60" w:after="60" w:line="360" w:lineRule="auto"/>
              <w:jc w:val="center"/>
              <w:rPr>
                <w:rFonts w:ascii="仿宋" w:hAnsi="仿宋" w:eastAsia="仿宋"/>
                <w:sz w:val="24"/>
                <w:szCs w:val="24"/>
              </w:rPr>
            </w:pPr>
          </w:p>
        </w:tc>
        <w:tc>
          <w:tcPr>
            <w:tcW w:w="54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60" w:after="60" w:line="360" w:lineRule="auto"/>
              <w:jc w:val="center"/>
              <w:rPr>
                <w:rFonts w:ascii="仿宋" w:hAnsi="仿宋" w:eastAsia="仿宋"/>
                <w:sz w:val="24"/>
                <w:szCs w:val="24"/>
              </w:rPr>
            </w:pPr>
            <w:r>
              <w:rPr>
                <w:rFonts w:hint="eastAsia" w:ascii="仿宋" w:hAnsi="仿宋" w:eastAsia="仿宋"/>
                <w:sz w:val="24"/>
                <w:szCs w:val="24"/>
              </w:rPr>
              <w:t>6</w:t>
            </w:r>
          </w:p>
        </w:tc>
        <w:tc>
          <w:tcPr>
            <w:tcW w:w="8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60" w:after="60" w:line="360" w:lineRule="auto"/>
              <w:rPr>
                <w:rFonts w:ascii="仿宋" w:hAnsi="仿宋" w:eastAsia="仿宋"/>
                <w:sz w:val="24"/>
                <w:szCs w:val="24"/>
              </w:rPr>
            </w:pPr>
          </w:p>
        </w:tc>
        <w:tc>
          <w:tcPr>
            <w:tcW w:w="814" w:type="dxa"/>
            <w:tcBorders>
              <w:top w:val="single" w:color="000000" w:sz="4" w:space="0"/>
              <w:left w:val="single" w:color="000000" w:sz="4" w:space="0"/>
              <w:bottom w:val="single" w:color="000000" w:sz="4" w:space="0"/>
              <w:right w:val="single" w:color="000000" w:sz="4" w:space="0"/>
            </w:tcBorders>
            <w:shd w:val="clear" w:color="auto" w:fill="FFFFFF"/>
            <w:vAlign w:val="center"/>
          </w:tcPr>
          <w:p>
            <w:pPr>
              <w:pStyle w:val="7"/>
              <w:spacing w:before="60" w:after="60" w:line="360" w:lineRule="auto"/>
              <w:ind w:firstLine="0" w:firstLineChars="0"/>
              <w:jc w:val="center"/>
              <w:rPr>
                <w:rFonts w:ascii="仿宋" w:hAnsi="仿宋" w:eastAsia="仿宋"/>
              </w:rPr>
            </w:pPr>
            <w:r>
              <w:rPr>
                <w:rFonts w:ascii="仿宋" w:hAnsi="仿宋" w:eastAsia="仿宋"/>
              </w:rPr>
              <w:t>XX</w:t>
            </w:r>
            <w:r>
              <w:rPr>
                <w:rFonts w:hint="eastAsia" w:ascii="仿宋" w:hAnsi="仿宋" w:eastAsia="仿宋"/>
              </w:rPr>
              <w:t>万</w:t>
            </w:r>
          </w:p>
        </w:tc>
        <w:tc>
          <w:tcPr>
            <w:tcW w:w="2551" w:type="dxa"/>
            <w:tcBorders>
              <w:top w:val="single" w:color="000000" w:sz="4" w:space="0"/>
              <w:left w:val="single" w:color="000000" w:sz="4" w:space="0"/>
              <w:bottom w:val="single" w:color="000000" w:sz="4" w:space="0"/>
              <w:right w:val="single" w:color="000000" w:sz="4" w:space="0"/>
            </w:tcBorders>
          </w:tcPr>
          <w:p>
            <w:pPr>
              <w:pStyle w:val="7"/>
              <w:spacing w:before="60" w:after="60" w:line="360" w:lineRule="auto"/>
              <w:ind w:firstLine="0" w:firstLineChars="0"/>
              <w:jc w:val="center"/>
              <w:rPr>
                <w:rFonts w:ascii="仿宋" w:hAnsi="仿宋" w:eastAsia="仿宋"/>
              </w:rPr>
            </w:pPr>
          </w:p>
        </w:tc>
        <w:tc>
          <w:tcPr>
            <w:tcW w:w="851" w:type="dxa"/>
            <w:tcBorders>
              <w:top w:val="single" w:color="000000" w:sz="4" w:space="0"/>
              <w:left w:val="single" w:color="000000" w:sz="4" w:space="0"/>
              <w:bottom w:val="single" w:color="000000" w:sz="4" w:space="0"/>
              <w:right w:val="single" w:color="000000" w:sz="4" w:space="0"/>
            </w:tcBorders>
            <w:vAlign w:val="center"/>
          </w:tcPr>
          <w:p>
            <w:pPr>
              <w:pStyle w:val="7"/>
              <w:spacing w:before="60" w:after="60" w:line="360" w:lineRule="auto"/>
              <w:ind w:firstLine="0" w:firstLineChars="0"/>
              <w:jc w:val="center"/>
              <w:rPr>
                <w:rFonts w:ascii="仿宋" w:hAnsi="仿宋" w:eastAsia="仿宋"/>
              </w:rPr>
            </w:pPr>
          </w:p>
        </w:tc>
      </w:tr>
    </w:tbl>
    <w:p>
      <w:pPr>
        <w:ind w:firstLine="420"/>
        <w:rPr>
          <w:rFonts w:eastAsia="仿宋"/>
        </w:rPr>
      </w:pPr>
    </w:p>
    <w:p>
      <w:pPr>
        <w:pStyle w:val="3"/>
        <w:numPr>
          <w:ilvl w:val="1"/>
          <w:numId w:val="4"/>
        </w:numPr>
      </w:pPr>
      <w:r>
        <w:rPr>
          <w:rFonts w:hint="eastAsia"/>
        </w:rPr>
        <w:t>硬件采购</w:t>
      </w:r>
    </w:p>
    <w:p>
      <w:pPr>
        <w:ind w:firstLine="420"/>
        <w:rPr>
          <w:rFonts w:eastAsia="仿宋"/>
        </w:rPr>
      </w:pPr>
      <w:r>
        <w:rPr>
          <w:rFonts w:hint="eastAsia" w:ascii="仿宋_GB2312" w:eastAsia="仿宋_GB2312"/>
          <w:sz w:val="32"/>
          <w:szCs w:val="32"/>
        </w:rPr>
        <w:t>无</w:t>
      </w:r>
      <w:r>
        <w:rPr>
          <w:rFonts w:hint="eastAsia" w:ascii="仿宋" w:hAnsi="仿宋" w:eastAsia="仿宋" w:cs="Helvetica Neue"/>
          <w:color w:val="000000"/>
          <w:kern w:val="0"/>
          <w:sz w:val="32"/>
          <w:szCs w:val="32"/>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48589A"/>
    <w:multiLevelType w:val="singleLevel"/>
    <w:tmpl w:val="DF48589A"/>
    <w:lvl w:ilvl="0" w:tentative="0">
      <w:start w:val="1"/>
      <w:numFmt w:val="bullet"/>
      <w:lvlText w:val=""/>
      <w:lvlJc w:val="left"/>
      <w:pPr>
        <w:ind w:left="420" w:hanging="420"/>
      </w:pPr>
      <w:rPr>
        <w:rFonts w:hint="default" w:ascii="Wingdings" w:hAnsi="Wingdings"/>
      </w:rPr>
    </w:lvl>
  </w:abstractNum>
  <w:abstractNum w:abstractNumId="1">
    <w:nsid w:val="120E05F4"/>
    <w:multiLevelType w:val="multilevel"/>
    <w:tmpl w:val="120E05F4"/>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2">
    <w:nsid w:val="455B0EE9"/>
    <w:multiLevelType w:val="multilevel"/>
    <w:tmpl w:val="455B0E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412EE4"/>
    <w:rsid w:val="00022B67"/>
    <w:rsid w:val="0002701B"/>
    <w:rsid w:val="00037EE1"/>
    <w:rsid w:val="000455AC"/>
    <w:rsid w:val="00056AF0"/>
    <w:rsid w:val="00065D18"/>
    <w:rsid w:val="00066963"/>
    <w:rsid w:val="00072813"/>
    <w:rsid w:val="00073F78"/>
    <w:rsid w:val="000A2F64"/>
    <w:rsid w:val="000A4ADA"/>
    <w:rsid w:val="000A4CFE"/>
    <w:rsid w:val="000A6282"/>
    <w:rsid w:val="000B13EC"/>
    <w:rsid w:val="000B4701"/>
    <w:rsid w:val="000D385E"/>
    <w:rsid w:val="000D4AFA"/>
    <w:rsid w:val="000D6A4B"/>
    <w:rsid w:val="000E1990"/>
    <w:rsid w:val="000E5253"/>
    <w:rsid w:val="000F35B2"/>
    <w:rsid w:val="000F5433"/>
    <w:rsid w:val="000F6D68"/>
    <w:rsid w:val="00103809"/>
    <w:rsid w:val="00133450"/>
    <w:rsid w:val="00152179"/>
    <w:rsid w:val="00171061"/>
    <w:rsid w:val="001801C9"/>
    <w:rsid w:val="001A01BE"/>
    <w:rsid w:val="001A6F03"/>
    <w:rsid w:val="001A7C5B"/>
    <w:rsid w:val="001C4558"/>
    <w:rsid w:val="001D0797"/>
    <w:rsid w:val="001D27FB"/>
    <w:rsid w:val="001D2887"/>
    <w:rsid w:val="001D74C9"/>
    <w:rsid w:val="001F52E6"/>
    <w:rsid w:val="00216D5C"/>
    <w:rsid w:val="002376CE"/>
    <w:rsid w:val="00240E3E"/>
    <w:rsid w:val="00243690"/>
    <w:rsid w:val="00252D95"/>
    <w:rsid w:val="00256BB7"/>
    <w:rsid w:val="00266325"/>
    <w:rsid w:val="0026634B"/>
    <w:rsid w:val="002830DB"/>
    <w:rsid w:val="002955FD"/>
    <w:rsid w:val="002A64C8"/>
    <w:rsid w:val="002A653E"/>
    <w:rsid w:val="002B194F"/>
    <w:rsid w:val="002C6D58"/>
    <w:rsid w:val="002D1D68"/>
    <w:rsid w:val="002F1F08"/>
    <w:rsid w:val="002F2B37"/>
    <w:rsid w:val="003025BD"/>
    <w:rsid w:val="00313765"/>
    <w:rsid w:val="003243A3"/>
    <w:rsid w:val="00335656"/>
    <w:rsid w:val="003415F6"/>
    <w:rsid w:val="0035270E"/>
    <w:rsid w:val="00356EC8"/>
    <w:rsid w:val="003705CA"/>
    <w:rsid w:val="003706BE"/>
    <w:rsid w:val="00392634"/>
    <w:rsid w:val="00396406"/>
    <w:rsid w:val="00397C89"/>
    <w:rsid w:val="003A097B"/>
    <w:rsid w:val="003A4877"/>
    <w:rsid w:val="003B4804"/>
    <w:rsid w:val="003C39BD"/>
    <w:rsid w:val="003C7D23"/>
    <w:rsid w:val="003E626D"/>
    <w:rsid w:val="003F7A9F"/>
    <w:rsid w:val="0040587F"/>
    <w:rsid w:val="00406E07"/>
    <w:rsid w:val="00410CEB"/>
    <w:rsid w:val="004110D4"/>
    <w:rsid w:val="00413944"/>
    <w:rsid w:val="004148D8"/>
    <w:rsid w:val="00415454"/>
    <w:rsid w:val="004252A4"/>
    <w:rsid w:val="00450FC7"/>
    <w:rsid w:val="00466B71"/>
    <w:rsid w:val="00467A15"/>
    <w:rsid w:val="004707D3"/>
    <w:rsid w:val="00480486"/>
    <w:rsid w:val="00497809"/>
    <w:rsid w:val="004A3FDD"/>
    <w:rsid w:val="004C0740"/>
    <w:rsid w:val="004C285D"/>
    <w:rsid w:val="004C3C3B"/>
    <w:rsid w:val="004C5CCA"/>
    <w:rsid w:val="004D06E9"/>
    <w:rsid w:val="004E6847"/>
    <w:rsid w:val="004F5A4A"/>
    <w:rsid w:val="005013A7"/>
    <w:rsid w:val="00515862"/>
    <w:rsid w:val="005170E3"/>
    <w:rsid w:val="00527510"/>
    <w:rsid w:val="00530915"/>
    <w:rsid w:val="00531EE5"/>
    <w:rsid w:val="005459E6"/>
    <w:rsid w:val="00563124"/>
    <w:rsid w:val="005650EF"/>
    <w:rsid w:val="00570809"/>
    <w:rsid w:val="00575F81"/>
    <w:rsid w:val="005839CF"/>
    <w:rsid w:val="005901DF"/>
    <w:rsid w:val="00593A40"/>
    <w:rsid w:val="00595AE4"/>
    <w:rsid w:val="005A4D32"/>
    <w:rsid w:val="005B7EE5"/>
    <w:rsid w:val="005E2952"/>
    <w:rsid w:val="005E5251"/>
    <w:rsid w:val="005F2615"/>
    <w:rsid w:val="005F2F1E"/>
    <w:rsid w:val="0060564A"/>
    <w:rsid w:val="00606C3F"/>
    <w:rsid w:val="00620772"/>
    <w:rsid w:val="0062442B"/>
    <w:rsid w:val="00626544"/>
    <w:rsid w:val="00631C4A"/>
    <w:rsid w:val="00631DC4"/>
    <w:rsid w:val="006511B4"/>
    <w:rsid w:val="0066076A"/>
    <w:rsid w:val="00664821"/>
    <w:rsid w:val="00671720"/>
    <w:rsid w:val="00675C74"/>
    <w:rsid w:val="006B37F2"/>
    <w:rsid w:val="006B3920"/>
    <w:rsid w:val="006D17B2"/>
    <w:rsid w:val="006E1EFE"/>
    <w:rsid w:val="006F73EE"/>
    <w:rsid w:val="007030C5"/>
    <w:rsid w:val="00707BA6"/>
    <w:rsid w:val="00723C22"/>
    <w:rsid w:val="0072524E"/>
    <w:rsid w:val="00732342"/>
    <w:rsid w:val="007556E9"/>
    <w:rsid w:val="00756A4B"/>
    <w:rsid w:val="00774EA5"/>
    <w:rsid w:val="00787CA0"/>
    <w:rsid w:val="007904B6"/>
    <w:rsid w:val="00792308"/>
    <w:rsid w:val="007A45AB"/>
    <w:rsid w:val="007C778A"/>
    <w:rsid w:val="007D2CBA"/>
    <w:rsid w:val="007D75CE"/>
    <w:rsid w:val="007F5937"/>
    <w:rsid w:val="00800135"/>
    <w:rsid w:val="00801331"/>
    <w:rsid w:val="008026D7"/>
    <w:rsid w:val="00804085"/>
    <w:rsid w:val="00806ECC"/>
    <w:rsid w:val="008103B4"/>
    <w:rsid w:val="00813DFD"/>
    <w:rsid w:val="008228C8"/>
    <w:rsid w:val="008320C7"/>
    <w:rsid w:val="00832A03"/>
    <w:rsid w:val="00836CC6"/>
    <w:rsid w:val="0084613C"/>
    <w:rsid w:val="00862AD0"/>
    <w:rsid w:val="008640CC"/>
    <w:rsid w:val="00867106"/>
    <w:rsid w:val="0087343A"/>
    <w:rsid w:val="00884935"/>
    <w:rsid w:val="00890E98"/>
    <w:rsid w:val="008B37F8"/>
    <w:rsid w:val="008E4560"/>
    <w:rsid w:val="008E49EA"/>
    <w:rsid w:val="009042A0"/>
    <w:rsid w:val="00914EBB"/>
    <w:rsid w:val="00916F14"/>
    <w:rsid w:val="009226AF"/>
    <w:rsid w:val="009263D7"/>
    <w:rsid w:val="009361CC"/>
    <w:rsid w:val="009427E6"/>
    <w:rsid w:val="009523F3"/>
    <w:rsid w:val="0095317D"/>
    <w:rsid w:val="009533E6"/>
    <w:rsid w:val="00955BCE"/>
    <w:rsid w:val="00960B5A"/>
    <w:rsid w:val="009812DB"/>
    <w:rsid w:val="00986BC6"/>
    <w:rsid w:val="00986FD0"/>
    <w:rsid w:val="0099581A"/>
    <w:rsid w:val="009A1517"/>
    <w:rsid w:val="009A1A86"/>
    <w:rsid w:val="009A2141"/>
    <w:rsid w:val="009A5A91"/>
    <w:rsid w:val="009A6FB7"/>
    <w:rsid w:val="009B50E8"/>
    <w:rsid w:val="009B574E"/>
    <w:rsid w:val="009B6B03"/>
    <w:rsid w:val="009C2380"/>
    <w:rsid w:val="009D56F3"/>
    <w:rsid w:val="009E4093"/>
    <w:rsid w:val="009F16C6"/>
    <w:rsid w:val="009F20AD"/>
    <w:rsid w:val="00A0116F"/>
    <w:rsid w:val="00A047D8"/>
    <w:rsid w:val="00A3714B"/>
    <w:rsid w:val="00A701EB"/>
    <w:rsid w:val="00A71C99"/>
    <w:rsid w:val="00A742BD"/>
    <w:rsid w:val="00A77442"/>
    <w:rsid w:val="00A77F78"/>
    <w:rsid w:val="00A8516A"/>
    <w:rsid w:val="00A871E0"/>
    <w:rsid w:val="00A9435C"/>
    <w:rsid w:val="00AA6567"/>
    <w:rsid w:val="00AB7933"/>
    <w:rsid w:val="00AD1FCD"/>
    <w:rsid w:val="00AE37D9"/>
    <w:rsid w:val="00B12E11"/>
    <w:rsid w:val="00B16DEC"/>
    <w:rsid w:val="00B249D6"/>
    <w:rsid w:val="00B27648"/>
    <w:rsid w:val="00B51C6F"/>
    <w:rsid w:val="00B64EA6"/>
    <w:rsid w:val="00B74FA1"/>
    <w:rsid w:val="00B76D0E"/>
    <w:rsid w:val="00B827C4"/>
    <w:rsid w:val="00B90427"/>
    <w:rsid w:val="00BA40D4"/>
    <w:rsid w:val="00BB2956"/>
    <w:rsid w:val="00BB6A04"/>
    <w:rsid w:val="00BC255B"/>
    <w:rsid w:val="00BE0B8D"/>
    <w:rsid w:val="00BE2CBD"/>
    <w:rsid w:val="00BE343D"/>
    <w:rsid w:val="00BF0FC2"/>
    <w:rsid w:val="00BF56BB"/>
    <w:rsid w:val="00BF6C41"/>
    <w:rsid w:val="00C02169"/>
    <w:rsid w:val="00C14C23"/>
    <w:rsid w:val="00C158FE"/>
    <w:rsid w:val="00C2008B"/>
    <w:rsid w:val="00C207A7"/>
    <w:rsid w:val="00C22336"/>
    <w:rsid w:val="00C22C94"/>
    <w:rsid w:val="00C26DB1"/>
    <w:rsid w:val="00C439B4"/>
    <w:rsid w:val="00C43C52"/>
    <w:rsid w:val="00C5714D"/>
    <w:rsid w:val="00C5765C"/>
    <w:rsid w:val="00C77676"/>
    <w:rsid w:val="00C812F2"/>
    <w:rsid w:val="00C93A6C"/>
    <w:rsid w:val="00CA50FB"/>
    <w:rsid w:val="00CB2BDE"/>
    <w:rsid w:val="00CC48B1"/>
    <w:rsid w:val="00CE197D"/>
    <w:rsid w:val="00CF3B46"/>
    <w:rsid w:val="00D10F68"/>
    <w:rsid w:val="00D21967"/>
    <w:rsid w:val="00D24BBE"/>
    <w:rsid w:val="00D34241"/>
    <w:rsid w:val="00D47F33"/>
    <w:rsid w:val="00D534BF"/>
    <w:rsid w:val="00D673C0"/>
    <w:rsid w:val="00D84293"/>
    <w:rsid w:val="00DB21B5"/>
    <w:rsid w:val="00DC0A93"/>
    <w:rsid w:val="00DC167F"/>
    <w:rsid w:val="00DC6B3D"/>
    <w:rsid w:val="00DD0D89"/>
    <w:rsid w:val="00DD64CC"/>
    <w:rsid w:val="00DE074F"/>
    <w:rsid w:val="00DE3E7B"/>
    <w:rsid w:val="00DF47A4"/>
    <w:rsid w:val="00DF7CB4"/>
    <w:rsid w:val="00E04245"/>
    <w:rsid w:val="00E06B23"/>
    <w:rsid w:val="00E157B5"/>
    <w:rsid w:val="00E20209"/>
    <w:rsid w:val="00E279B5"/>
    <w:rsid w:val="00E33F44"/>
    <w:rsid w:val="00E45B7B"/>
    <w:rsid w:val="00E531EC"/>
    <w:rsid w:val="00E617C9"/>
    <w:rsid w:val="00E75A68"/>
    <w:rsid w:val="00E80AC6"/>
    <w:rsid w:val="00E938C9"/>
    <w:rsid w:val="00E93CC3"/>
    <w:rsid w:val="00EA4BB7"/>
    <w:rsid w:val="00EC653D"/>
    <w:rsid w:val="00ED4BEC"/>
    <w:rsid w:val="00ED6F76"/>
    <w:rsid w:val="00EE2A0C"/>
    <w:rsid w:val="00EF6FC0"/>
    <w:rsid w:val="00F062E5"/>
    <w:rsid w:val="00F10A12"/>
    <w:rsid w:val="00F13411"/>
    <w:rsid w:val="00F14CE7"/>
    <w:rsid w:val="00F268E9"/>
    <w:rsid w:val="00F3038C"/>
    <w:rsid w:val="00F572B6"/>
    <w:rsid w:val="00F621E3"/>
    <w:rsid w:val="00F640F2"/>
    <w:rsid w:val="00F6632D"/>
    <w:rsid w:val="00F66A32"/>
    <w:rsid w:val="00F673C9"/>
    <w:rsid w:val="00F75ADF"/>
    <w:rsid w:val="00FA688C"/>
    <w:rsid w:val="00FA6EFA"/>
    <w:rsid w:val="00FB2964"/>
    <w:rsid w:val="00FB54CA"/>
    <w:rsid w:val="00FC07EB"/>
    <w:rsid w:val="00FD3F2E"/>
    <w:rsid w:val="00FD4D06"/>
    <w:rsid w:val="00FE546C"/>
    <w:rsid w:val="00FF483C"/>
    <w:rsid w:val="012B6F30"/>
    <w:rsid w:val="01E23331"/>
    <w:rsid w:val="02127247"/>
    <w:rsid w:val="024D3AAF"/>
    <w:rsid w:val="02516333"/>
    <w:rsid w:val="0260389B"/>
    <w:rsid w:val="026A28CA"/>
    <w:rsid w:val="029A4975"/>
    <w:rsid w:val="029F5C30"/>
    <w:rsid w:val="02A969A0"/>
    <w:rsid w:val="032479B8"/>
    <w:rsid w:val="03722ADC"/>
    <w:rsid w:val="03CD7289"/>
    <w:rsid w:val="03E405C7"/>
    <w:rsid w:val="044D74EA"/>
    <w:rsid w:val="04B93076"/>
    <w:rsid w:val="051D54D5"/>
    <w:rsid w:val="052074D7"/>
    <w:rsid w:val="05702CB5"/>
    <w:rsid w:val="0592536B"/>
    <w:rsid w:val="05E645F3"/>
    <w:rsid w:val="0646448C"/>
    <w:rsid w:val="0647610F"/>
    <w:rsid w:val="06C62D68"/>
    <w:rsid w:val="06C757F1"/>
    <w:rsid w:val="06F65F48"/>
    <w:rsid w:val="070644F9"/>
    <w:rsid w:val="078E08E8"/>
    <w:rsid w:val="07A649CD"/>
    <w:rsid w:val="081A1FB1"/>
    <w:rsid w:val="086A0999"/>
    <w:rsid w:val="087959D3"/>
    <w:rsid w:val="095611FC"/>
    <w:rsid w:val="099D0DD8"/>
    <w:rsid w:val="0A1B56EB"/>
    <w:rsid w:val="0A41731F"/>
    <w:rsid w:val="0A473F0F"/>
    <w:rsid w:val="0ACC4865"/>
    <w:rsid w:val="0B540F2F"/>
    <w:rsid w:val="0B9FF784"/>
    <w:rsid w:val="0BBA5AD9"/>
    <w:rsid w:val="0BD91AEA"/>
    <w:rsid w:val="0BDC710D"/>
    <w:rsid w:val="0C3B4E41"/>
    <w:rsid w:val="0D5D2939"/>
    <w:rsid w:val="0D5E6518"/>
    <w:rsid w:val="0E4409E0"/>
    <w:rsid w:val="0E5C589F"/>
    <w:rsid w:val="0E701068"/>
    <w:rsid w:val="0EA95C4F"/>
    <w:rsid w:val="0EC36B1E"/>
    <w:rsid w:val="0ED45DCA"/>
    <w:rsid w:val="0ED50990"/>
    <w:rsid w:val="0EE10CFD"/>
    <w:rsid w:val="0EFC3AEF"/>
    <w:rsid w:val="0F0D19E7"/>
    <w:rsid w:val="0F3C60EE"/>
    <w:rsid w:val="0F865D91"/>
    <w:rsid w:val="0F8C51BC"/>
    <w:rsid w:val="0F9E1F77"/>
    <w:rsid w:val="101A4520"/>
    <w:rsid w:val="10A07063"/>
    <w:rsid w:val="10E376DD"/>
    <w:rsid w:val="10F05329"/>
    <w:rsid w:val="11CE5864"/>
    <w:rsid w:val="126F4EFF"/>
    <w:rsid w:val="128F58B5"/>
    <w:rsid w:val="12B972EB"/>
    <w:rsid w:val="12D77463"/>
    <w:rsid w:val="12F12CE8"/>
    <w:rsid w:val="132814D2"/>
    <w:rsid w:val="13666E4D"/>
    <w:rsid w:val="13BD1AB2"/>
    <w:rsid w:val="143605EE"/>
    <w:rsid w:val="14966835"/>
    <w:rsid w:val="14BF095E"/>
    <w:rsid w:val="14F05282"/>
    <w:rsid w:val="15031260"/>
    <w:rsid w:val="15225E73"/>
    <w:rsid w:val="157921A6"/>
    <w:rsid w:val="1579359F"/>
    <w:rsid w:val="15811422"/>
    <w:rsid w:val="16493446"/>
    <w:rsid w:val="165A6AE3"/>
    <w:rsid w:val="16601B14"/>
    <w:rsid w:val="16AB69E8"/>
    <w:rsid w:val="16EDFA94"/>
    <w:rsid w:val="1728639F"/>
    <w:rsid w:val="175F0339"/>
    <w:rsid w:val="179E2F88"/>
    <w:rsid w:val="18215983"/>
    <w:rsid w:val="1829695F"/>
    <w:rsid w:val="183B3FC2"/>
    <w:rsid w:val="18984A9E"/>
    <w:rsid w:val="18F1552D"/>
    <w:rsid w:val="195F5FFB"/>
    <w:rsid w:val="196B5B48"/>
    <w:rsid w:val="19B46772"/>
    <w:rsid w:val="19DC20DC"/>
    <w:rsid w:val="1A6D341B"/>
    <w:rsid w:val="1A801891"/>
    <w:rsid w:val="1AA81AED"/>
    <w:rsid w:val="1AE553F1"/>
    <w:rsid w:val="1B364CE5"/>
    <w:rsid w:val="1B9C69D3"/>
    <w:rsid w:val="1BFF62D3"/>
    <w:rsid w:val="1C250F99"/>
    <w:rsid w:val="1C2A281B"/>
    <w:rsid w:val="1C397963"/>
    <w:rsid w:val="1CB63B67"/>
    <w:rsid w:val="1CBD3EBE"/>
    <w:rsid w:val="1CDD03CC"/>
    <w:rsid w:val="1CEC745C"/>
    <w:rsid w:val="1D543CB2"/>
    <w:rsid w:val="1DBE4CED"/>
    <w:rsid w:val="1DD35CE7"/>
    <w:rsid w:val="1E117482"/>
    <w:rsid w:val="1E2F4265"/>
    <w:rsid w:val="1E3B7F7B"/>
    <w:rsid w:val="1E7C4581"/>
    <w:rsid w:val="1E8B560E"/>
    <w:rsid w:val="1E93169B"/>
    <w:rsid w:val="1EAF54A8"/>
    <w:rsid w:val="1EEA0C3F"/>
    <w:rsid w:val="1F056584"/>
    <w:rsid w:val="1F2C18F5"/>
    <w:rsid w:val="1F7FE090"/>
    <w:rsid w:val="1FBCC96D"/>
    <w:rsid w:val="1FE1086D"/>
    <w:rsid w:val="1FE20380"/>
    <w:rsid w:val="1FED2DBB"/>
    <w:rsid w:val="1FFE93CF"/>
    <w:rsid w:val="1FFFA0AE"/>
    <w:rsid w:val="2007386F"/>
    <w:rsid w:val="20153D8E"/>
    <w:rsid w:val="208C7B5C"/>
    <w:rsid w:val="20F12BCE"/>
    <w:rsid w:val="210110A8"/>
    <w:rsid w:val="21027A5C"/>
    <w:rsid w:val="21297FA4"/>
    <w:rsid w:val="21387608"/>
    <w:rsid w:val="217561B9"/>
    <w:rsid w:val="218254F7"/>
    <w:rsid w:val="21C66624"/>
    <w:rsid w:val="22531950"/>
    <w:rsid w:val="22921259"/>
    <w:rsid w:val="22E04611"/>
    <w:rsid w:val="231F3CBC"/>
    <w:rsid w:val="23FD1689"/>
    <w:rsid w:val="24530DA4"/>
    <w:rsid w:val="24736EEF"/>
    <w:rsid w:val="249A171F"/>
    <w:rsid w:val="24AE1BBF"/>
    <w:rsid w:val="251738B6"/>
    <w:rsid w:val="25443D79"/>
    <w:rsid w:val="25463E6B"/>
    <w:rsid w:val="256A5699"/>
    <w:rsid w:val="256E1969"/>
    <w:rsid w:val="257F16E4"/>
    <w:rsid w:val="2585187A"/>
    <w:rsid w:val="25DA6ACA"/>
    <w:rsid w:val="25E841AD"/>
    <w:rsid w:val="266A268E"/>
    <w:rsid w:val="26F65697"/>
    <w:rsid w:val="27684A82"/>
    <w:rsid w:val="277E6B18"/>
    <w:rsid w:val="27C05F45"/>
    <w:rsid w:val="27EB64D9"/>
    <w:rsid w:val="28025BA3"/>
    <w:rsid w:val="283C4BB2"/>
    <w:rsid w:val="28576C42"/>
    <w:rsid w:val="28586FAF"/>
    <w:rsid w:val="28F26B56"/>
    <w:rsid w:val="28FE5771"/>
    <w:rsid w:val="29072809"/>
    <w:rsid w:val="293733C1"/>
    <w:rsid w:val="29910B4D"/>
    <w:rsid w:val="29A36587"/>
    <w:rsid w:val="29B12341"/>
    <w:rsid w:val="2A812175"/>
    <w:rsid w:val="2AEF1E50"/>
    <w:rsid w:val="2AFB6C64"/>
    <w:rsid w:val="2BD73C89"/>
    <w:rsid w:val="2BFFBA0B"/>
    <w:rsid w:val="2C043F2B"/>
    <w:rsid w:val="2C2653AC"/>
    <w:rsid w:val="2C5F0057"/>
    <w:rsid w:val="2D09176B"/>
    <w:rsid w:val="2DB17CA1"/>
    <w:rsid w:val="2DFD2F09"/>
    <w:rsid w:val="2ECC5F12"/>
    <w:rsid w:val="2EDE9999"/>
    <w:rsid w:val="2F06737B"/>
    <w:rsid w:val="2F421193"/>
    <w:rsid w:val="2F4B29C8"/>
    <w:rsid w:val="2F527DA2"/>
    <w:rsid w:val="2FAF3710"/>
    <w:rsid w:val="2FF7D8F2"/>
    <w:rsid w:val="30481929"/>
    <w:rsid w:val="30696D47"/>
    <w:rsid w:val="30F52617"/>
    <w:rsid w:val="312E7DD0"/>
    <w:rsid w:val="31383B64"/>
    <w:rsid w:val="314A13E6"/>
    <w:rsid w:val="32992E0F"/>
    <w:rsid w:val="32BA3AF8"/>
    <w:rsid w:val="32BE3BEC"/>
    <w:rsid w:val="32DD9DF4"/>
    <w:rsid w:val="32E77FB8"/>
    <w:rsid w:val="33407298"/>
    <w:rsid w:val="337025F7"/>
    <w:rsid w:val="339B398A"/>
    <w:rsid w:val="33B47DE6"/>
    <w:rsid w:val="33B607C5"/>
    <w:rsid w:val="33D567BD"/>
    <w:rsid w:val="34731B17"/>
    <w:rsid w:val="356D311F"/>
    <w:rsid w:val="35E91E13"/>
    <w:rsid w:val="361A0E63"/>
    <w:rsid w:val="36303F75"/>
    <w:rsid w:val="373D6A58"/>
    <w:rsid w:val="377B65C3"/>
    <w:rsid w:val="37CC478B"/>
    <w:rsid w:val="37E757FB"/>
    <w:rsid w:val="381D5617"/>
    <w:rsid w:val="381F095D"/>
    <w:rsid w:val="3850594E"/>
    <w:rsid w:val="386911DC"/>
    <w:rsid w:val="38CC45CC"/>
    <w:rsid w:val="39013634"/>
    <w:rsid w:val="39261375"/>
    <w:rsid w:val="39AA2659"/>
    <w:rsid w:val="39B44031"/>
    <w:rsid w:val="39B962FA"/>
    <w:rsid w:val="39EB1949"/>
    <w:rsid w:val="39FB30FD"/>
    <w:rsid w:val="3A3462C0"/>
    <w:rsid w:val="3A3559F0"/>
    <w:rsid w:val="3A4C1F17"/>
    <w:rsid w:val="3A570FD5"/>
    <w:rsid w:val="3A8216C7"/>
    <w:rsid w:val="3A84092F"/>
    <w:rsid w:val="3ABB44CA"/>
    <w:rsid w:val="3AFF415C"/>
    <w:rsid w:val="3B3E41EA"/>
    <w:rsid w:val="3B812806"/>
    <w:rsid w:val="3B8D29CD"/>
    <w:rsid w:val="3BA95DA2"/>
    <w:rsid w:val="3BBDBEEB"/>
    <w:rsid w:val="3BC84E0B"/>
    <w:rsid w:val="3C590985"/>
    <w:rsid w:val="3C68066B"/>
    <w:rsid w:val="3C8022FB"/>
    <w:rsid w:val="3C80584E"/>
    <w:rsid w:val="3CF5701D"/>
    <w:rsid w:val="3D051424"/>
    <w:rsid w:val="3D4F2EE2"/>
    <w:rsid w:val="3D773208"/>
    <w:rsid w:val="3DB22EFF"/>
    <w:rsid w:val="3DB865E7"/>
    <w:rsid w:val="3DF51825"/>
    <w:rsid w:val="3DF9755C"/>
    <w:rsid w:val="3E687666"/>
    <w:rsid w:val="3E792CFA"/>
    <w:rsid w:val="3E8DBF15"/>
    <w:rsid w:val="3ECB1C61"/>
    <w:rsid w:val="3EFEBD36"/>
    <w:rsid w:val="3F3B53EA"/>
    <w:rsid w:val="3F4734A1"/>
    <w:rsid w:val="3F505EA3"/>
    <w:rsid w:val="3F5D10DC"/>
    <w:rsid w:val="3F71AF4A"/>
    <w:rsid w:val="3F9FE352"/>
    <w:rsid w:val="3FBF2527"/>
    <w:rsid w:val="3FC01760"/>
    <w:rsid w:val="3FF58EAD"/>
    <w:rsid w:val="3FFBF28D"/>
    <w:rsid w:val="40107EBC"/>
    <w:rsid w:val="401C393D"/>
    <w:rsid w:val="40610C96"/>
    <w:rsid w:val="410568A7"/>
    <w:rsid w:val="4170675A"/>
    <w:rsid w:val="41714D4A"/>
    <w:rsid w:val="41B32BBE"/>
    <w:rsid w:val="41BD41DC"/>
    <w:rsid w:val="41F90455"/>
    <w:rsid w:val="4247001D"/>
    <w:rsid w:val="42802593"/>
    <w:rsid w:val="42A44EF4"/>
    <w:rsid w:val="42C778AF"/>
    <w:rsid w:val="43327E0C"/>
    <w:rsid w:val="436A3604"/>
    <w:rsid w:val="439D0046"/>
    <w:rsid w:val="43B535A7"/>
    <w:rsid w:val="440F3987"/>
    <w:rsid w:val="441D0062"/>
    <w:rsid w:val="44813CBC"/>
    <w:rsid w:val="44AB0404"/>
    <w:rsid w:val="44C73D48"/>
    <w:rsid w:val="44D609E0"/>
    <w:rsid w:val="44FC7487"/>
    <w:rsid w:val="45562AC1"/>
    <w:rsid w:val="455852A7"/>
    <w:rsid w:val="459C7B59"/>
    <w:rsid w:val="45AB394B"/>
    <w:rsid w:val="45B504E6"/>
    <w:rsid w:val="45F3445A"/>
    <w:rsid w:val="463755CF"/>
    <w:rsid w:val="47003C7C"/>
    <w:rsid w:val="47034FC0"/>
    <w:rsid w:val="47477D2E"/>
    <w:rsid w:val="47FC7A05"/>
    <w:rsid w:val="480D563A"/>
    <w:rsid w:val="48225178"/>
    <w:rsid w:val="488C6A8C"/>
    <w:rsid w:val="48AA3934"/>
    <w:rsid w:val="4906718C"/>
    <w:rsid w:val="491F20A8"/>
    <w:rsid w:val="4A074514"/>
    <w:rsid w:val="4AD13B7E"/>
    <w:rsid w:val="4AFC5478"/>
    <w:rsid w:val="4B070460"/>
    <w:rsid w:val="4B0D0C4A"/>
    <w:rsid w:val="4B267025"/>
    <w:rsid w:val="4B6C1152"/>
    <w:rsid w:val="4BB03FEB"/>
    <w:rsid w:val="4BD62445"/>
    <w:rsid w:val="4BEB1799"/>
    <w:rsid w:val="4C045704"/>
    <w:rsid w:val="4C411507"/>
    <w:rsid w:val="4C832148"/>
    <w:rsid w:val="4CDF5B36"/>
    <w:rsid w:val="4CE52B68"/>
    <w:rsid w:val="4D3846ED"/>
    <w:rsid w:val="4D40620B"/>
    <w:rsid w:val="4DD3180C"/>
    <w:rsid w:val="4E23366F"/>
    <w:rsid w:val="4EC636D6"/>
    <w:rsid w:val="4F3D25E6"/>
    <w:rsid w:val="4F4E9106"/>
    <w:rsid w:val="4FB140B8"/>
    <w:rsid w:val="4FE7A2BC"/>
    <w:rsid w:val="4FEFA27B"/>
    <w:rsid w:val="501B3E00"/>
    <w:rsid w:val="50545C33"/>
    <w:rsid w:val="513F8C50"/>
    <w:rsid w:val="51A26CF4"/>
    <w:rsid w:val="51C52676"/>
    <w:rsid w:val="51EA55C3"/>
    <w:rsid w:val="524B58F6"/>
    <w:rsid w:val="527C54E0"/>
    <w:rsid w:val="529C10DF"/>
    <w:rsid w:val="52B74848"/>
    <w:rsid w:val="52CD6187"/>
    <w:rsid w:val="52D57EFA"/>
    <w:rsid w:val="52D669BF"/>
    <w:rsid w:val="52E8162C"/>
    <w:rsid w:val="52FF0890"/>
    <w:rsid w:val="53A94576"/>
    <w:rsid w:val="53CE31AE"/>
    <w:rsid w:val="543D4821"/>
    <w:rsid w:val="548072FC"/>
    <w:rsid w:val="549566BD"/>
    <w:rsid w:val="54DA5A3C"/>
    <w:rsid w:val="55646A94"/>
    <w:rsid w:val="55786C0D"/>
    <w:rsid w:val="55887251"/>
    <w:rsid w:val="55A049E6"/>
    <w:rsid w:val="56510DD8"/>
    <w:rsid w:val="56601A61"/>
    <w:rsid w:val="56727040"/>
    <w:rsid w:val="5678567A"/>
    <w:rsid w:val="567C7AE6"/>
    <w:rsid w:val="56957A94"/>
    <w:rsid w:val="56F31FD1"/>
    <w:rsid w:val="57666318"/>
    <w:rsid w:val="57811FAB"/>
    <w:rsid w:val="57FFB562"/>
    <w:rsid w:val="58210A38"/>
    <w:rsid w:val="58660919"/>
    <w:rsid w:val="58A35BCE"/>
    <w:rsid w:val="58B1618D"/>
    <w:rsid w:val="58D1018C"/>
    <w:rsid w:val="590149B9"/>
    <w:rsid w:val="59326449"/>
    <w:rsid w:val="5977003F"/>
    <w:rsid w:val="5A1A5CC4"/>
    <w:rsid w:val="5A7A4C7F"/>
    <w:rsid w:val="5AAC026B"/>
    <w:rsid w:val="5B8C7C36"/>
    <w:rsid w:val="5BCB61F9"/>
    <w:rsid w:val="5BFFEA39"/>
    <w:rsid w:val="5C106B80"/>
    <w:rsid w:val="5C65ABC9"/>
    <w:rsid w:val="5C7A2F60"/>
    <w:rsid w:val="5CB53BB9"/>
    <w:rsid w:val="5CC1554E"/>
    <w:rsid w:val="5D142109"/>
    <w:rsid w:val="5D4232D9"/>
    <w:rsid w:val="5D585327"/>
    <w:rsid w:val="5D73754D"/>
    <w:rsid w:val="5DD4246C"/>
    <w:rsid w:val="5E3F0F34"/>
    <w:rsid w:val="5ED71104"/>
    <w:rsid w:val="5EDA72D7"/>
    <w:rsid w:val="5EEF5855"/>
    <w:rsid w:val="5EFC019A"/>
    <w:rsid w:val="5EFE5DC5"/>
    <w:rsid w:val="5F251824"/>
    <w:rsid w:val="5F2929BF"/>
    <w:rsid w:val="5F9D38E9"/>
    <w:rsid w:val="5FB81356"/>
    <w:rsid w:val="5FBF198A"/>
    <w:rsid w:val="5FF5B5FA"/>
    <w:rsid w:val="5FFB8210"/>
    <w:rsid w:val="60354538"/>
    <w:rsid w:val="60BC3C6E"/>
    <w:rsid w:val="613E75F1"/>
    <w:rsid w:val="614A1B26"/>
    <w:rsid w:val="619B0DEA"/>
    <w:rsid w:val="61CE40E6"/>
    <w:rsid w:val="625348E9"/>
    <w:rsid w:val="62675D8A"/>
    <w:rsid w:val="62861C14"/>
    <w:rsid w:val="62A106D7"/>
    <w:rsid w:val="62D44EB3"/>
    <w:rsid w:val="63313C61"/>
    <w:rsid w:val="63397639"/>
    <w:rsid w:val="6464697A"/>
    <w:rsid w:val="64E27AE0"/>
    <w:rsid w:val="64FE78BD"/>
    <w:rsid w:val="657D706A"/>
    <w:rsid w:val="658176C8"/>
    <w:rsid w:val="659DC7C0"/>
    <w:rsid w:val="65B51B19"/>
    <w:rsid w:val="65F78BEC"/>
    <w:rsid w:val="65FE254B"/>
    <w:rsid w:val="66AD01C2"/>
    <w:rsid w:val="66D8038A"/>
    <w:rsid w:val="67042177"/>
    <w:rsid w:val="67457929"/>
    <w:rsid w:val="67AF00B7"/>
    <w:rsid w:val="67BB782B"/>
    <w:rsid w:val="67CF0B77"/>
    <w:rsid w:val="67DA7B91"/>
    <w:rsid w:val="68217F09"/>
    <w:rsid w:val="6825141C"/>
    <w:rsid w:val="684B2E94"/>
    <w:rsid w:val="691C3A72"/>
    <w:rsid w:val="6951521B"/>
    <w:rsid w:val="69C149DD"/>
    <w:rsid w:val="69D360BA"/>
    <w:rsid w:val="69FDDBDC"/>
    <w:rsid w:val="69FE4084"/>
    <w:rsid w:val="6A2E24CD"/>
    <w:rsid w:val="6A65EFE0"/>
    <w:rsid w:val="6A67400F"/>
    <w:rsid w:val="6A680B98"/>
    <w:rsid w:val="6A6B7320"/>
    <w:rsid w:val="6B2F57D0"/>
    <w:rsid w:val="6B3813E0"/>
    <w:rsid w:val="6B3B5EFC"/>
    <w:rsid w:val="6BCD346D"/>
    <w:rsid w:val="6BDFC4A2"/>
    <w:rsid w:val="6BF7069A"/>
    <w:rsid w:val="6C0940F6"/>
    <w:rsid w:val="6C0B6682"/>
    <w:rsid w:val="6C10551F"/>
    <w:rsid w:val="6C2023DA"/>
    <w:rsid w:val="6C8F53FF"/>
    <w:rsid w:val="6C957216"/>
    <w:rsid w:val="6C9F395D"/>
    <w:rsid w:val="6CB9438F"/>
    <w:rsid w:val="6CC35F34"/>
    <w:rsid w:val="6D1A7DD8"/>
    <w:rsid w:val="6D412EE4"/>
    <w:rsid w:val="6DA308AC"/>
    <w:rsid w:val="6DED987C"/>
    <w:rsid w:val="6E021E7B"/>
    <w:rsid w:val="6E337126"/>
    <w:rsid w:val="6E581A99"/>
    <w:rsid w:val="6E7143BE"/>
    <w:rsid w:val="6F672862"/>
    <w:rsid w:val="6F7A1366"/>
    <w:rsid w:val="6F9B1BB1"/>
    <w:rsid w:val="6F9E402A"/>
    <w:rsid w:val="6FC71D40"/>
    <w:rsid w:val="6FCB0D1E"/>
    <w:rsid w:val="6FF194A3"/>
    <w:rsid w:val="6FF72635"/>
    <w:rsid w:val="6FF963FC"/>
    <w:rsid w:val="6FFD14C6"/>
    <w:rsid w:val="6FFE8201"/>
    <w:rsid w:val="6FFF2431"/>
    <w:rsid w:val="6FFFD533"/>
    <w:rsid w:val="70762420"/>
    <w:rsid w:val="707700FE"/>
    <w:rsid w:val="70C2523F"/>
    <w:rsid w:val="70D70958"/>
    <w:rsid w:val="70E25946"/>
    <w:rsid w:val="7114640E"/>
    <w:rsid w:val="71246DB0"/>
    <w:rsid w:val="712647E7"/>
    <w:rsid w:val="719A6037"/>
    <w:rsid w:val="727146CE"/>
    <w:rsid w:val="7296557C"/>
    <w:rsid w:val="729B7B6F"/>
    <w:rsid w:val="72A16C31"/>
    <w:rsid w:val="72AC13AB"/>
    <w:rsid w:val="72DC46DB"/>
    <w:rsid w:val="732006E4"/>
    <w:rsid w:val="735A1CEE"/>
    <w:rsid w:val="73664D4B"/>
    <w:rsid w:val="739C02CB"/>
    <w:rsid w:val="73AC336B"/>
    <w:rsid w:val="73CE5A9B"/>
    <w:rsid w:val="73E813B0"/>
    <w:rsid w:val="740321B9"/>
    <w:rsid w:val="742E75E0"/>
    <w:rsid w:val="746451E5"/>
    <w:rsid w:val="746A33F0"/>
    <w:rsid w:val="74797916"/>
    <w:rsid w:val="74856B9E"/>
    <w:rsid w:val="74A56B60"/>
    <w:rsid w:val="74F10978"/>
    <w:rsid w:val="75AF0DEE"/>
    <w:rsid w:val="75FEDF7F"/>
    <w:rsid w:val="761E6511"/>
    <w:rsid w:val="762B10D8"/>
    <w:rsid w:val="76931152"/>
    <w:rsid w:val="76D877AF"/>
    <w:rsid w:val="76DF5A8A"/>
    <w:rsid w:val="76FA07FD"/>
    <w:rsid w:val="76FF34A5"/>
    <w:rsid w:val="76FF4532"/>
    <w:rsid w:val="76FFCDD5"/>
    <w:rsid w:val="772A0FB2"/>
    <w:rsid w:val="774D4141"/>
    <w:rsid w:val="775353EC"/>
    <w:rsid w:val="775F2547"/>
    <w:rsid w:val="776C271F"/>
    <w:rsid w:val="776E28F6"/>
    <w:rsid w:val="777F6E63"/>
    <w:rsid w:val="77AB5633"/>
    <w:rsid w:val="77D3918B"/>
    <w:rsid w:val="77DF6E57"/>
    <w:rsid w:val="77FEF007"/>
    <w:rsid w:val="77FF287D"/>
    <w:rsid w:val="789405FF"/>
    <w:rsid w:val="78EB683C"/>
    <w:rsid w:val="78EB7FCF"/>
    <w:rsid w:val="79030D06"/>
    <w:rsid w:val="79A75A16"/>
    <w:rsid w:val="79FF6F8B"/>
    <w:rsid w:val="7A035F42"/>
    <w:rsid w:val="7A0B78FF"/>
    <w:rsid w:val="7A291248"/>
    <w:rsid w:val="7A3EBCDC"/>
    <w:rsid w:val="7A7FDAF9"/>
    <w:rsid w:val="7A901ABA"/>
    <w:rsid w:val="7AC341B7"/>
    <w:rsid w:val="7AFF4885"/>
    <w:rsid w:val="7B37CE4A"/>
    <w:rsid w:val="7B396AEB"/>
    <w:rsid w:val="7BBE168E"/>
    <w:rsid w:val="7BD0771D"/>
    <w:rsid w:val="7BFBDA33"/>
    <w:rsid w:val="7C0D5B07"/>
    <w:rsid w:val="7C19600D"/>
    <w:rsid w:val="7C6C189C"/>
    <w:rsid w:val="7C736E3B"/>
    <w:rsid w:val="7CFC27ED"/>
    <w:rsid w:val="7D2707AA"/>
    <w:rsid w:val="7D311D5F"/>
    <w:rsid w:val="7D4B7293"/>
    <w:rsid w:val="7DD5ECE2"/>
    <w:rsid w:val="7DE86364"/>
    <w:rsid w:val="7DF1A515"/>
    <w:rsid w:val="7DFADB18"/>
    <w:rsid w:val="7E712F71"/>
    <w:rsid w:val="7E73C69F"/>
    <w:rsid w:val="7E758849"/>
    <w:rsid w:val="7E7B2CD2"/>
    <w:rsid w:val="7E7FA046"/>
    <w:rsid w:val="7E8B5BAB"/>
    <w:rsid w:val="7E9DFC96"/>
    <w:rsid w:val="7ED00D5A"/>
    <w:rsid w:val="7EFE0B7C"/>
    <w:rsid w:val="7EFF3F18"/>
    <w:rsid w:val="7F09329F"/>
    <w:rsid w:val="7F335640"/>
    <w:rsid w:val="7F44024D"/>
    <w:rsid w:val="7F656480"/>
    <w:rsid w:val="7F722187"/>
    <w:rsid w:val="7F92817D"/>
    <w:rsid w:val="7FAB6BE0"/>
    <w:rsid w:val="7FB72BEE"/>
    <w:rsid w:val="7FBE074C"/>
    <w:rsid w:val="7FBFFA0F"/>
    <w:rsid w:val="7FC74131"/>
    <w:rsid w:val="7FCF118D"/>
    <w:rsid w:val="7FD12526"/>
    <w:rsid w:val="7FDFCC85"/>
    <w:rsid w:val="7FE246D3"/>
    <w:rsid w:val="7FEB3933"/>
    <w:rsid w:val="7FEF38B2"/>
    <w:rsid w:val="7FF5CA76"/>
    <w:rsid w:val="86B51C72"/>
    <w:rsid w:val="87AD1A06"/>
    <w:rsid w:val="976A6317"/>
    <w:rsid w:val="9BED15D2"/>
    <w:rsid w:val="9BFCC640"/>
    <w:rsid w:val="9D79CC92"/>
    <w:rsid w:val="9EBBA135"/>
    <w:rsid w:val="9FF850EF"/>
    <w:rsid w:val="A2DA6336"/>
    <w:rsid w:val="A5775D23"/>
    <w:rsid w:val="A5FE7201"/>
    <w:rsid w:val="AA4D2A04"/>
    <w:rsid w:val="AD237CD9"/>
    <w:rsid w:val="ADF5A7C9"/>
    <w:rsid w:val="AFEFD93A"/>
    <w:rsid w:val="B4F66051"/>
    <w:rsid w:val="B57BE4AF"/>
    <w:rsid w:val="B5EE1010"/>
    <w:rsid w:val="B5FF2C88"/>
    <w:rsid w:val="B7FB2BD1"/>
    <w:rsid w:val="B7FF8DB2"/>
    <w:rsid w:val="B8E58DFC"/>
    <w:rsid w:val="BBDF8199"/>
    <w:rsid w:val="BC6E7F03"/>
    <w:rsid w:val="BC7F901E"/>
    <w:rsid w:val="BCD7F229"/>
    <w:rsid w:val="BD7DB27E"/>
    <w:rsid w:val="BE9EF706"/>
    <w:rsid w:val="BEBF3A13"/>
    <w:rsid w:val="BF8C0CD1"/>
    <w:rsid w:val="BFDFC6E8"/>
    <w:rsid w:val="BFEF76D5"/>
    <w:rsid w:val="BFFA5B43"/>
    <w:rsid w:val="C06F597E"/>
    <w:rsid w:val="CE5B5150"/>
    <w:rsid w:val="CFAD90F9"/>
    <w:rsid w:val="CFBB58C0"/>
    <w:rsid w:val="CFDF0EC4"/>
    <w:rsid w:val="CFDF97C4"/>
    <w:rsid w:val="D77D9F6C"/>
    <w:rsid w:val="D7DF79E8"/>
    <w:rsid w:val="DBB908B9"/>
    <w:rsid w:val="DBC62D28"/>
    <w:rsid w:val="DD0EE48F"/>
    <w:rsid w:val="DDFEC432"/>
    <w:rsid w:val="DDFFEE92"/>
    <w:rsid w:val="DEBFB8A2"/>
    <w:rsid w:val="DEF7CC7F"/>
    <w:rsid w:val="DFDD8671"/>
    <w:rsid w:val="DFDF60CF"/>
    <w:rsid w:val="DFF3C6E7"/>
    <w:rsid w:val="E0E655F9"/>
    <w:rsid w:val="E5FF6C4A"/>
    <w:rsid w:val="E7B3623E"/>
    <w:rsid w:val="E7DB1C08"/>
    <w:rsid w:val="E9AFEE8B"/>
    <w:rsid w:val="EDD7CB44"/>
    <w:rsid w:val="EDF7A36F"/>
    <w:rsid w:val="EF26D888"/>
    <w:rsid w:val="EF793029"/>
    <w:rsid w:val="EFEEFE75"/>
    <w:rsid w:val="F5B115D2"/>
    <w:rsid w:val="F6DBE3EC"/>
    <w:rsid w:val="F7FF97A1"/>
    <w:rsid w:val="F9558D93"/>
    <w:rsid w:val="F9EEEF5D"/>
    <w:rsid w:val="FA9F7A78"/>
    <w:rsid w:val="FAF5FEF2"/>
    <w:rsid w:val="FBDFC97A"/>
    <w:rsid w:val="FBF69A3E"/>
    <w:rsid w:val="FD5B8698"/>
    <w:rsid w:val="FD5FD00B"/>
    <w:rsid w:val="FD984730"/>
    <w:rsid w:val="FDED3432"/>
    <w:rsid w:val="FDEE834A"/>
    <w:rsid w:val="FDF96405"/>
    <w:rsid w:val="FDFF6D24"/>
    <w:rsid w:val="FDFF79A3"/>
    <w:rsid w:val="FDFF7D34"/>
    <w:rsid w:val="FF5162D5"/>
    <w:rsid w:val="FF636DAA"/>
    <w:rsid w:val="FF7B78BF"/>
    <w:rsid w:val="FF7FFA6B"/>
    <w:rsid w:val="FF9E8F11"/>
    <w:rsid w:val="FFDB991E"/>
    <w:rsid w:val="FFE41CD8"/>
    <w:rsid w:val="FFEFB95E"/>
    <w:rsid w:val="FFF56A9B"/>
    <w:rsid w:val="FFFB55A1"/>
    <w:rsid w:val="FFFCED1C"/>
    <w:rsid w:val="FFFDB03D"/>
    <w:rsid w:val="FFFF2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iPriority="99"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qFormat/>
    <w:uiPriority w:val="9"/>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numPr>
        <w:ilvl w:val="2"/>
        <w:numId w:val="1"/>
      </w:numPr>
      <w:spacing w:before="260" w:after="260" w:line="413" w:lineRule="auto"/>
      <w:outlineLvl w:val="2"/>
    </w:pPr>
    <w:rPr>
      <w:b/>
      <w:sz w:val="32"/>
    </w:rPr>
  </w:style>
  <w:style w:type="character" w:default="1" w:styleId="12">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5">
    <w:name w:val="annotation subject"/>
    <w:basedOn w:val="6"/>
    <w:next w:val="6"/>
    <w:link w:val="28"/>
    <w:qFormat/>
    <w:uiPriority w:val="0"/>
    <w:pPr>
      <w:spacing w:line="240" w:lineRule="auto"/>
      <w:jc w:val="both"/>
    </w:pPr>
    <w:rPr>
      <w:b/>
      <w:bCs/>
      <w:sz w:val="20"/>
      <w:szCs w:val="20"/>
    </w:rPr>
  </w:style>
  <w:style w:type="paragraph" w:styleId="6">
    <w:name w:val="annotation text"/>
    <w:basedOn w:val="1"/>
    <w:link w:val="24"/>
    <w:qFormat/>
    <w:uiPriority w:val="99"/>
    <w:pPr>
      <w:jc w:val="left"/>
    </w:pPr>
  </w:style>
  <w:style w:type="paragraph" w:styleId="7">
    <w:name w:val="Normal Indent"/>
    <w:basedOn w:val="1"/>
    <w:link w:val="23"/>
    <w:qFormat/>
    <w:uiPriority w:val="0"/>
    <w:pPr>
      <w:spacing w:line="300" w:lineRule="auto"/>
      <w:ind w:firstLine="420" w:firstLineChars="200"/>
    </w:pPr>
    <w:rPr>
      <w:rFonts w:ascii="Times New Roman" w:hAnsi="Times New Roman"/>
      <w:sz w:val="24"/>
      <w:szCs w:val="24"/>
    </w:rPr>
  </w:style>
  <w:style w:type="paragraph" w:styleId="8">
    <w:name w:val="Document Map"/>
    <w:basedOn w:val="1"/>
    <w:link w:val="26"/>
    <w:unhideWhenUsed/>
    <w:qFormat/>
    <w:uiPriority w:val="99"/>
    <w:rPr>
      <w:rFonts w:ascii="宋体"/>
      <w:sz w:val="18"/>
      <w:szCs w:val="18"/>
    </w:rPr>
  </w:style>
  <w:style w:type="paragraph" w:styleId="9">
    <w:name w:val="Balloon Text"/>
    <w:basedOn w:val="1"/>
    <w:link w:val="20"/>
    <w:qFormat/>
    <w:uiPriority w:val="0"/>
    <w:rPr>
      <w:rFonts w:ascii="宋体"/>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3">
    <w:name w:val="Hyperlink"/>
    <w:basedOn w:val="12"/>
    <w:qFormat/>
    <w:uiPriority w:val="0"/>
    <w:rPr>
      <w:color w:val="0563C1" w:themeColor="hyperlink"/>
      <w:u w:val="single"/>
      <w14:textFill>
        <w14:solidFill>
          <w14:schemeClr w14:val="hlink"/>
        </w14:solidFill>
      </w14:textFill>
    </w:rPr>
  </w:style>
  <w:style w:type="character" w:styleId="14">
    <w:name w:val="annotation reference"/>
    <w:basedOn w:val="12"/>
    <w:qFormat/>
    <w:uiPriority w:val="0"/>
    <w:rPr>
      <w:sz w:val="21"/>
      <w:szCs w:val="21"/>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列表段落1"/>
    <w:basedOn w:val="1"/>
    <w:qFormat/>
    <w:uiPriority w:val="34"/>
    <w:pPr>
      <w:ind w:firstLine="420" w:firstLineChars="200"/>
    </w:pPr>
  </w:style>
  <w:style w:type="paragraph" w:customStyle="1" w:styleId="18">
    <w:name w:val="TAG_注解"/>
    <w:basedOn w:val="1"/>
    <w:qFormat/>
    <w:uiPriority w:val="0"/>
    <w:pPr>
      <w:ind w:firstLine="200" w:firstLineChars="200"/>
    </w:pPr>
    <w:rPr>
      <w:rFonts w:ascii="微软雅黑" w:hAnsi="微软雅黑" w:eastAsia="微软雅黑" w:cs="微软雅黑"/>
      <w:i/>
      <w:color w:val="0000FF"/>
      <w:sz w:val="24"/>
      <w:szCs w:val="24"/>
    </w:rPr>
  </w:style>
  <w:style w:type="paragraph" w:customStyle="1" w:styleId="19">
    <w:name w:val="无间隔1"/>
    <w:qFormat/>
    <w:uiPriority w:val="1"/>
    <w:pPr>
      <w:widowControl w:val="0"/>
      <w:spacing w:after="160" w:line="259" w:lineRule="auto"/>
      <w:jc w:val="both"/>
    </w:pPr>
    <w:rPr>
      <w:rFonts w:ascii="Calibri" w:hAnsi="Calibri" w:eastAsia="宋体" w:cs="Times New Roman"/>
      <w:kern w:val="2"/>
      <w:sz w:val="24"/>
      <w:szCs w:val="24"/>
      <w:lang w:val="en-US" w:eastAsia="zh-CN" w:bidi="ar-SA"/>
    </w:rPr>
  </w:style>
  <w:style w:type="character" w:customStyle="1" w:styleId="20">
    <w:name w:val="批注框文本 字符"/>
    <w:basedOn w:val="12"/>
    <w:link w:val="9"/>
    <w:qFormat/>
    <w:uiPriority w:val="0"/>
    <w:rPr>
      <w:rFonts w:ascii="宋体" w:hAnsi="Calibri"/>
      <w:kern w:val="2"/>
      <w:sz w:val="18"/>
      <w:szCs w:val="18"/>
    </w:rPr>
  </w:style>
  <w:style w:type="character" w:customStyle="1" w:styleId="21">
    <w:name w:val="未处理的提及1"/>
    <w:basedOn w:val="12"/>
    <w:unhideWhenUsed/>
    <w:qFormat/>
    <w:uiPriority w:val="99"/>
    <w:rPr>
      <w:color w:val="605E5C"/>
      <w:shd w:val="clear" w:color="auto" w:fill="E1DFDD"/>
    </w:rPr>
  </w:style>
  <w:style w:type="table" w:customStyle="1" w:styleId="22">
    <w:name w:val="网格表 41"/>
    <w:basedOn w:val="15"/>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23">
    <w:name w:val="正文缩进 字符"/>
    <w:link w:val="7"/>
    <w:qFormat/>
    <w:uiPriority w:val="0"/>
    <w:rPr>
      <w:kern w:val="2"/>
      <w:sz w:val="24"/>
      <w:szCs w:val="24"/>
    </w:rPr>
  </w:style>
  <w:style w:type="character" w:customStyle="1" w:styleId="24">
    <w:name w:val="批注文字 字符"/>
    <w:link w:val="6"/>
    <w:qFormat/>
    <w:uiPriority w:val="99"/>
    <w:rPr>
      <w:rFonts w:ascii="Calibri" w:hAnsi="Calibri"/>
      <w:kern w:val="2"/>
      <w:sz w:val="21"/>
      <w:szCs w:val="22"/>
    </w:rPr>
  </w:style>
  <w:style w:type="paragraph" w:customStyle="1" w:styleId="25">
    <w:name w:val="TAG_项目编号"/>
    <w:basedOn w:val="1"/>
    <w:qFormat/>
    <w:uiPriority w:val="0"/>
    <w:pPr>
      <w:pBdr>
        <w:top w:val="single" w:color="auto" w:sz="76" w:space="31"/>
      </w:pBdr>
      <w:ind w:hanging="30654"/>
    </w:pPr>
    <w:rPr>
      <w:rFonts w:ascii="Wingdings" w:hAnsi="Wingdings" w:eastAsia="微软雅黑" w:cs="微软雅黑"/>
      <w:b/>
      <w:sz w:val="24"/>
      <w:szCs w:val="24"/>
    </w:rPr>
  </w:style>
  <w:style w:type="character" w:customStyle="1" w:styleId="26">
    <w:name w:val="文档结构图 字符"/>
    <w:basedOn w:val="12"/>
    <w:link w:val="8"/>
    <w:qFormat/>
    <w:uiPriority w:val="99"/>
    <w:rPr>
      <w:rFonts w:ascii="宋体" w:hAnsi="Calibri"/>
      <w:kern w:val="2"/>
      <w:sz w:val="18"/>
      <w:szCs w:val="18"/>
    </w:rPr>
  </w:style>
  <w:style w:type="paragraph" w:customStyle="1" w:styleId="27">
    <w:name w:val="列表段落2"/>
    <w:basedOn w:val="1"/>
    <w:qFormat/>
    <w:uiPriority w:val="99"/>
    <w:pPr>
      <w:ind w:firstLine="420" w:firstLineChars="200"/>
    </w:pPr>
  </w:style>
  <w:style w:type="character" w:customStyle="1" w:styleId="28">
    <w:name w:val="批注主题 字符"/>
    <w:basedOn w:val="24"/>
    <w:link w:val="5"/>
    <w:qFormat/>
    <w:uiPriority w:val="0"/>
    <w:rPr>
      <w:rFonts w:ascii="Calibri" w:hAnsi="Calibri"/>
      <w:b/>
      <w:bCs/>
      <w:kern w:val="2"/>
      <w:sz w:val="21"/>
      <w:szCs w:val="22"/>
    </w:rPr>
  </w:style>
  <w:style w:type="paragraph" w:customStyle="1" w:styleId="29">
    <w:name w:val="列表段落3"/>
    <w:basedOn w:val="1"/>
    <w:qFormat/>
    <w:uiPriority w:val="99"/>
    <w:pPr>
      <w:ind w:firstLine="420" w:firstLineChars="200"/>
    </w:pPr>
  </w:style>
  <w:style w:type="paragraph" w:customStyle="1" w:styleId="30">
    <w:name w:val="列表段落4"/>
    <w:basedOn w:val="1"/>
    <w:qFormat/>
    <w:uiPriority w:val="99"/>
    <w:pPr>
      <w:ind w:firstLine="420" w:firstLineChars="200"/>
    </w:pPr>
  </w:style>
  <w:style w:type="paragraph" w:customStyle="1" w:styleId="3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Pages>
  <Words>266</Words>
  <Characters>1517</Characters>
  <Lines>12</Lines>
  <Paragraphs>3</Paragraphs>
  <TotalTime>0</TotalTime>
  <ScaleCrop>false</ScaleCrop>
  <LinksUpToDate>false</LinksUpToDate>
  <CharactersWithSpaces>1780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2021-04-16T11:21:00Z</dcterms:created>
  <dc:creator>yaoooli</dc:creator>
  <cp:lastModifiedBy>sdd</cp:lastModifiedBy>
  <cp:lastPrinted>2020-03-04T20:56:00Z</cp:lastPrinted>
  <dcterms:modified xsi:type="dcterms:W3CDTF">2021-04-21T11:16:21Z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