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09349" w14:textId="77777777" w:rsidR="00BE5362" w:rsidRPr="002E39B9" w:rsidRDefault="00000000" w:rsidP="002E39B9">
      <w:r w:rsidRPr="002E39B9">
        <w:t>CHARTE GRAPHIQUE DE L’ADMINISTRATION BURKINABÈ</w:t>
      </w:r>
    </w:p>
    <w:p w14:paraId="021F0096" w14:textId="77777777" w:rsidR="00BE5362" w:rsidRPr="002E39B9" w:rsidRDefault="00000000" w:rsidP="002E39B9">
      <w:r w:rsidRPr="002E39B9">
        <w:t>Bilan technique et corrections prioritaires</w:t>
      </w:r>
    </w:p>
    <w:p w14:paraId="7A661C48" w14:textId="77777777" w:rsidR="00BE5362" w:rsidRPr="002E39B9" w:rsidRDefault="00000000" w:rsidP="002E39B9">
      <w:r w:rsidRPr="002E39B9">
        <w:t xml:space="preserve">Évaluation du socle et de son intégration </w:t>
      </w:r>
      <w:proofErr w:type="spellStart"/>
      <w:r w:rsidRPr="002E39B9">
        <w:t>Angular</w:t>
      </w:r>
      <w:proofErr w:type="spellEnd"/>
    </w:p>
    <w:p w14:paraId="3A57F34A" w14:textId="77777777" w:rsidR="00BE5362" w:rsidRPr="002E39B9" w:rsidRDefault="00000000" w:rsidP="002E39B9">
      <w:r w:rsidRPr="002E39B9">
        <w:t>Projet : charte_graphique_burkina_v1 • Paquet analysé : 2.0.0 • Date : 23 septembre 2026</w:t>
      </w:r>
    </w:p>
    <w:p w14:paraId="5B1D3579" w14:textId="77777777" w:rsidR="00BE5362" w:rsidRPr="002E39B9" w:rsidRDefault="00000000" w:rsidP="002E39B9">
      <w:r w:rsidRPr="002E39B9">
        <w:t>1. Appréciation générale</w:t>
      </w:r>
    </w:p>
    <w:p w14:paraId="0A9949C3" w14:textId="77777777" w:rsidR="00BE5362" w:rsidRPr="002E39B9" w:rsidRDefault="00000000" w:rsidP="002E39B9">
      <w:r w:rsidRPr="002E39B9">
        <w:t xml:space="preserve">Le projet constitue une bonne base de système de conception pour l’administration burkinabè. Il dépasse une simple charte de couleurs : composants, règles d’usage, gabarits, accessibilité et gouvernance sont déjà présents. Plusieurs garanties annoncées ne sont toutefois pas encore assurées par le code, particulièrement pour </w:t>
      </w:r>
      <w:proofErr w:type="spellStart"/>
      <w:r w:rsidRPr="002E39B9">
        <w:t>Angular</w:t>
      </w:r>
      <w:proofErr w:type="spellEnd"/>
      <w:r w:rsidRPr="002E39B9">
        <w:t>.</w:t>
      </w:r>
    </w:p>
    <w:p w14:paraId="35AF7969" w14:textId="77777777" w:rsidR="00BE5362" w:rsidRPr="002E39B9" w:rsidRDefault="00000000" w:rsidP="002E39B9">
      <w:r w:rsidRPr="002E39B9">
        <w:t>Avis : adapté à un projet pilote après corrections ciblées ; pas encore suffisamment fiabilisé pour une généralisation administrative.</w:t>
      </w:r>
    </w:p>
    <w:p w14:paraId="27D17422" w14:textId="77777777" w:rsidR="00BE5362" w:rsidRPr="002E39B9" w:rsidRDefault="00000000" w:rsidP="002E39B9">
      <w:r w:rsidRPr="002E39B9">
        <w:t xml:space="preserve">Le bilan porte sur les huit pages de documentation, les feuilles CSS, le JavaScript, les déclarations </w:t>
      </w:r>
      <w:proofErr w:type="spellStart"/>
      <w:r w:rsidRPr="002E39B9">
        <w:t>TypeScript</w:t>
      </w:r>
      <w:proofErr w:type="spellEnd"/>
      <w:r w:rsidRPr="002E39B9">
        <w:t xml:space="preserve"> et le paquet </w:t>
      </w:r>
      <w:proofErr w:type="spellStart"/>
      <w:r w:rsidRPr="002E39B9">
        <w:t>npm</w:t>
      </w:r>
      <w:proofErr w:type="spellEnd"/>
      <w:r w:rsidRPr="002E39B9">
        <w:t xml:space="preserve"> dans leur état de travail au moment de l’examen. Les fichiers sources n’ont pas été modifiés pendant cette investigation.</w:t>
      </w:r>
    </w:p>
    <w:p w14:paraId="2960FEAA" w14:textId="77777777" w:rsidR="00BE5362" w:rsidRPr="002E39B9" w:rsidRDefault="00000000" w:rsidP="002E39B9">
      <w:r w:rsidRPr="002E39B9">
        <w:t xml:space="preserve">Des contrôles de contraste, des essais JavaScript, une simulation de conditionnement </w:t>
      </w:r>
      <w:proofErr w:type="spellStart"/>
      <w:r w:rsidRPr="002E39B9">
        <w:t>npm</w:t>
      </w:r>
      <w:proofErr w:type="spellEnd"/>
      <w:r w:rsidRPr="002E39B9">
        <w:t xml:space="preserve"> et une compilation ciblée de l’exemple </w:t>
      </w:r>
      <w:proofErr w:type="spellStart"/>
      <w:r w:rsidRPr="002E39B9">
        <w:t>Angular</w:t>
      </w:r>
      <w:proofErr w:type="spellEnd"/>
      <w:r w:rsidRPr="002E39B9">
        <w:t xml:space="preserve"> complètent l’analyse du code. Il ne s’agit pas d’un audit complet d’accessibilité ni d’une validation fonctionnelle de bout en bout.</w:t>
      </w:r>
    </w:p>
    <w:p w14:paraId="09169016" w14:textId="77777777" w:rsidR="00BE5362" w:rsidRPr="002E39B9" w:rsidRDefault="00000000" w:rsidP="002E39B9">
      <w:r w:rsidRPr="002E39B9">
        <w:t>2. Points forts à conserver</w:t>
      </w:r>
    </w:p>
    <w:p w14:paraId="41A244AE" w14:textId="77777777" w:rsidR="00BE5362" w:rsidRPr="002E39B9" w:rsidRDefault="00000000" w:rsidP="002E39B9">
      <w:r w:rsidRPr="002E39B9">
        <w:t>•  Architecture visuelle cohérente. Les couleurs de base sont séparées des jetons fonctionnels — action, texte, surface, erreur — ce qui facilite les thèmes et les évolutions. La typographie, les espacements et les composants partagent un vocabulaire commun.</w:t>
      </w:r>
    </w:p>
    <w:p w14:paraId="093192E4" w14:textId="77777777" w:rsidR="00BE5362" w:rsidRPr="002E39B9" w:rsidRDefault="00000000" w:rsidP="002E39B9">
      <w:r w:rsidRPr="002E39B9">
        <w:t>•  Adaptation aux services publics. Les démarches, dossiers, paiements en F CFA, notifications, SMS et documents imprimables donnent au projet une pertinence métier.</w:t>
      </w:r>
    </w:p>
    <w:p w14:paraId="4DDCF9D6" w14:textId="77777777" w:rsidR="00BE5362" w:rsidRPr="002E39B9" w:rsidRDefault="00000000" w:rsidP="002E39B9">
      <w:r w:rsidRPr="002E39B9">
        <w:t>•  Autonomie technique. Les polices sont locales et le JavaScript n’a pas de dépendance externe. Le fonctionnement statique aide à maîtriser l’hébergement et les coûts de connexion.</w:t>
      </w:r>
    </w:p>
    <w:p w14:paraId="31696BBF" w14:textId="77777777" w:rsidR="00BE5362" w:rsidRPr="002E39B9" w:rsidRDefault="00000000" w:rsidP="002E39B9">
      <w:r w:rsidRPr="002E39B9">
        <w:t>•  Fondations d’accessibilité. Liens d’évitement, focus visible, navigation au clavier, éléments HTML natifs, réduction des animations et tableaux équivalents aux graphiques constituent des choix utiles à préserver.</w:t>
      </w:r>
    </w:p>
    <w:p w14:paraId="34575288" w14:textId="77777777" w:rsidR="00BE5362" w:rsidRPr="002E39B9" w:rsidRDefault="00000000" w:rsidP="002E39B9">
      <w:r w:rsidRPr="002E39B9">
        <w:t xml:space="preserve">•  Documentation substantielle. Les pages expliquent les usages et les responsabilités. La distinction entre composants purement visuels et composants pilotés par les données est particulièrement pertinente pour </w:t>
      </w:r>
      <w:proofErr w:type="spellStart"/>
      <w:r w:rsidRPr="002E39B9">
        <w:t>Angular</w:t>
      </w:r>
      <w:proofErr w:type="spellEnd"/>
      <w:r w:rsidRPr="002E39B9">
        <w:t>.</w:t>
      </w:r>
    </w:p>
    <w:p w14:paraId="15060493" w14:textId="77777777" w:rsidR="00BE5362" w:rsidRPr="002E39B9" w:rsidRDefault="00000000" w:rsidP="002E39B9">
      <w:r w:rsidRPr="002E39B9">
        <w:t xml:space="preserve">•  Distribution déjà exploitable. Le paquet possède des exports et des types </w:t>
      </w:r>
      <w:proofErr w:type="spellStart"/>
      <w:r w:rsidRPr="002E39B9">
        <w:t>TypeScript</w:t>
      </w:r>
      <w:proofErr w:type="spellEnd"/>
      <w:r w:rsidRPr="002E39B9">
        <w:t xml:space="preserve">. La simulation </w:t>
      </w:r>
      <w:proofErr w:type="spellStart"/>
      <w:r w:rsidRPr="002E39B9">
        <w:t>npm</w:t>
      </w:r>
      <w:proofErr w:type="spellEnd"/>
      <w:r w:rsidRPr="002E39B9">
        <w:t xml:space="preserve"> pack réussit. Elle valide le contenu conditionné, sans démontrer une publication sur un registre ni une intégration complète dans une application.</w:t>
      </w:r>
    </w:p>
    <w:p w14:paraId="22EA34B9" w14:textId="77777777" w:rsidR="00BE5362" w:rsidRPr="002E39B9" w:rsidRDefault="00000000" w:rsidP="002E39B9">
      <w:r w:rsidRPr="002E39B9">
        <w:t>3. Faiblesses générales et corrections</w:t>
      </w:r>
    </w:p>
    <w:tbl>
      <w:tblPr>
        <w:tblW w:w="0" w:type="auto"/>
        <w:tblInd w:w="110" w:type="dxa"/>
        <w:tblBorders>
          <w:top w:val="single" w:sz="4" w:space="0" w:color="D9E1DB"/>
          <w:left w:val="single" w:sz="4" w:space="0" w:color="D9E1DB"/>
          <w:bottom w:val="single" w:sz="4" w:space="0" w:color="D9E1DB"/>
          <w:right w:val="single" w:sz="4" w:space="0" w:color="D9E1DB"/>
          <w:insideH w:val="single" w:sz="4" w:space="0" w:color="D9E1DB"/>
          <w:insideV w:val="single" w:sz="4" w:space="0" w:color="D9E1DB"/>
        </w:tblBorders>
        <w:tblLayout w:type="fixed"/>
        <w:tblCellMar>
          <w:top w:w="100" w:type="dxa"/>
          <w:left w:w="110" w:type="dxa"/>
          <w:bottom w:w="100" w:type="dxa"/>
          <w:right w:w="110" w:type="dxa"/>
        </w:tblCellMar>
        <w:tblLook w:val="0000" w:firstRow="0" w:lastRow="0" w:firstColumn="0" w:lastColumn="0" w:noHBand="0" w:noVBand="0"/>
      </w:tblPr>
      <w:tblGrid>
        <w:gridCol w:w="1380"/>
        <w:gridCol w:w="3750"/>
        <w:gridCol w:w="3940"/>
      </w:tblGrid>
      <w:tr w:rsidR="00BE5362" w:rsidRPr="002E39B9" w14:paraId="4402BA2C" w14:textId="77777777">
        <w:trPr>
          <w:cantSplit/>
          <w:tblHeader/>
        </w:trPr>
        <w:tc>
          <w:tcPr>
            <w:tcW w:w="1380" w:type="dxa"/>
            <w:shd w:val="clear" w:color="auto" w:fill="E4EFE8"/>
          </w:tcPr>
          <w:p w14:paraId="0DF57553" w14:textId="77777777" w:rsidR="00BE5362" w:rsidRPr="002E39B9" w:rsidRDefault="00000000" w:rsidP="002E39B9">
            <w:r w:rsidRPr="002E39B9">
              <w:t>Priorité</w:t>
            </w:r>
          </w:p>
        </w:tc>
        <w:tc>
          <w:tcPr>
            <w:tcW w:w="3750" w:type="dxa"/>
            <w:shd w:val="clear" w:color="auto" w:fill="E4EFE8"/>
          </w:tcPr>
          <w:p w14:paraId="1CA2BC02" w14:textId="77777777" w:rsidR="00BE5362" w:rsidRPr="002E39B9" w:rsidRDefault="00000000" w:rsidP="002E39B9">
            <w:r w:rsidRPr="002E39B9">
              <w:t>Constat</w:t>
            </w:r>
          </w:p>
        </w:tc>
        <w:tc>
          <w:tcPr>
            <w:tcW w:w="3940" w:type="dxa"/>
            <w:shd w:val="clear" w:color="auto" w:fill="E4EFE8"/>
          </w:tcPr>
          <w:p w14:paraId="2A135DD0" w14:textId="77777777" w:rsidR="00BE5362" w:rsidRPr="002E39B9" w:rsidRDefault="00000000" w:rsidP="002E39B9">
            <w:r w:rsidRPr="002E39B9">
              <w:t>Correction recommandée</w:t>
            </w:r>
          </w:p>
        </w:tc>
      </w:tr>
      <w:tr w:rsidR="00BE5362" w:rsidRPr="002E39B9" w14:paraId="72671C29" w14:textId="77777777">
        <w:trPr>
          <w:cantSplit/>
        </w:trPr>
        <w:tc>
          <w:tcPr>
            <w:tcW w:w="1380" w:type="dxa"/>
            <w:shd w:val="clear" w:color="auto" w:fill="FFFFFF"/>
          </w:tcPr>
          <w:p w14:paraId="37ACFA02" w14:textId="77777777" w:rsidR="00BE5362" w:rsidRPr="002E39B9" w:rsidRDefault="00000000" w:rsidP="002E39B9">
            <w:r w:rsidRPr="002E39B9">
              <w:lastRenderedPageBreak/>
              <w:t>Haute</w:t>
            </w:r>
          </w:p>
        </w:tc>
        <w:tc>
          <w:tcPr>
            <w:tcW w:w="3750" w:type="dxa"/>
            <w:shd w:val="clear" w:color="auto" w:fill="FFFFFF"/>
          </w:tcPr>
          <w:p w14:paraId="01FFF845" w14:textId="77777777" w:rsidR="00BE5362" w:rsidRPr="002E39B9" w:rsidRDefault="00000000" w:rsidP="002E39B9">
            <w:r w:rsidRPr="002E39B9">
              <w:t>Contrastes insuffisants : en thème clair, la bordure des champs #cfc8bf sur blanc atteint 1,</w:t>
            </w:r>
            <w:proofErr w:type="gramStart"/>
            <w:r w:rsidRPr="002E39B9">
              <w:t>66:</w:t>
            </w:r>
            <w:proofErr w:type="gramEnd"/>
            <w:r w:rsidRPr="002E39B9">
              <w:t>1. Le texte secondaire #837b73 sur blanc atteint 4,16:1.</w:t>
            </w:r>
          </w:p>
        </w:tc>
        <w:tc>
          <w:tcPr>
            <w:tcW w:w="3940" w:type="dxa"/>
            <w:shd w:val="clear" w:color="auto" w:fill="FFFFFF"/>
          </w:tcPr>
          <w:p w14:paraId="53E424DD" w14:textId="77777777" w:rsidR="00BE5362" w:rsidRPr="002E39B9" w:rsidRDefault="00000000" w:rsidP="002E39B9">
            <w:r w:rsidRPr="002E39B9">
              <w:t>Créer un jeton de bordure de champ suffisamment contrasté et assombrir les petits textes secondaires. Vérifier les deux thèmes.</w:t>
            </w:r>
          </w:p>
        </w:tc>
      </w:tr>
      <w:tr w:rsidR="00BE5362" w:rsidRPr="002E39B9" w14:paraId="7D9795CC" w14:textId="77777777">
        <w:trPr>
          <w:cantSplit/>
        </w:trPr>
        <w:tc>
          <w:tcPr>
            <w:tcW w:w="1380" w:type="dxa"/>
            <w:shd w:val="clear" w:color="auto" w:fill="F7F9F7"/>
          </w:tcPr>
          <w:p w14:paraId="78B0349F" w14:textId="77777777" w:rsidR="00BE5362" w:rsidRPr="002E39B9" w:rsidRDefault="00000000" w:rsidP="002E39B9">
            <w:r w:rsidRPr="002E39B9">
              <w:t>Haute</w:t>
            </w:r>
          </w:p>
        </w:tc>
        <w:tc>
          <w:tcPr>
            <w:tcW w:w="3750" w:type="dxa"/>
            <w:shd w:val="clear" w:color="auto" w:fill="F7F9F7"/>
          </w:tcPr>
          <w:p w14:paraId="1ADFAEFA" w14:textId="77777777" w:rsidR="00BE5362" w:rsidRPr="002E39B9" w:rsidRDefault="00000000" w:rsidP="002E39B9">
            <w:r w:rsidRPr="002E39B9">
              <w:t>Conformité annoncée trop largement : la documentation affirme que les composants satisfont déjà les critères, malgré les écarts de contraste et l’absence de suite de tests ou de rapport d’audit livré.</w:t>
            </w:r>
          </w:p>
        </w:tc>
        <w:tc>
          <w:tcPr>
            <w:tcW w:w="3940" w:type="dxa"/>
            <w:shd w:val="clear" w:color="auto" w:fill="F7F9F7"/>
          </w:tcPr>
          <w:p w14:paraId="12486000" w14:textId="77777777" w:rsidR="00BE5362" w:rsidRPr="002E39B9" w:rsidRDefault="00000000" w:rsidP="002E39B9">
            <w:r w:rsidRPr="002E39B9">
              <w:t>Présenter un objectif de conformité ; publier les résultats vérifiés et les limites connues.</w:t>
            </w:r>
          </w:p>
        </w:tc>
      </w:tr>
      <w:tr w:rsidR="00BE5362" w:rsidRPr="002E39B9" w14:paraId="7D6A49A0" w14:textId="77777777">
        <w:trPr>
          <w:cantSplit/>
        </w:trPr>
        <w:tc>
          <w:tcPr>
            <w:tcW w:w="1380" w:type="dxa"/>
            <w:shd w:val="clear" w:color="auto" w:fill="FFFFFF"/>
          </w:tcPr>
          <w:p w14:paraId="3B5A9CFC" w14:textId="77777777" w:rsidR="00BE5362" w:rsidRPr="002E39B9" w:rsidRDefault="00000000" w:rsidP="002E39B9">
            <w:r w:rsidRPr="002E39B9">
              <w:t>Haute</w:t>
            </w:r>
          </w:p>
        </w:tc>
        <w:tc>
          <w:tcPr>
            <w:tcW w:w="3750" w:type="dxa"/>
            <w:shd w:val="clear" w:color="auto" w:fill="FFFFFF"/>
          </w:tcPr>
          <w:p w14:paraId="1E453C5A" w14:textId="77777777" w:rsidR="00BE5362" w:rsidRPr="002E39B9" w:rsidRDefault="00000000" w:rsidP="002E39B9">
            <w:r w:rsidRPr="002E39B9">
              <w:t xml:space="preserve">Export CSV : </w:t>
            </w:r>
            <w:proofErr w:type="spellStart"/>
            <w:proofErr w:type="gramStart"/>
            <w:r w:rsidRPr="002E39B9">
              <w:t>versCsv</w:t>
            </w:r>
            <w:proofErr w:type="spellEnd"/>
            <w:r w:rsidRPr="002E39B9">
              <w:t>(</w:t>
            </w:r>
            <w:proofErr w:type="gramEnd"/>
            <w:r w:rsidRPr="002E39B9">
              <w:t>) conserve =1+1, susceptible d’être interprété comme une formule dans un tableur. Les espaces multiples et sauts de ligne des données sont aussi transformés.</w:t>
            </w:r>
          </w:p>
        </w:tc>
        <w:tc>
          <w:tcPr>
            <w:tcW w:w="3940" w:type="dxa"/>
            <w:shd w:val="clear" w:color="auto" w:fill="FFFFFF"/>
          </w:tcPr>
          <w:p w14:paraId="61290323" w14:textId="77777777" w:rsidR="00BE5362" w:rsidRPr="002E39B9" w:rsidRDefault="00000000" w:rsidP="002E39B9">
            <w:r w:rsidRPr="002E39B9">
              <w:t>Définir une politique contre les formules dans les cellules textuelles et préserver le contenu original pendant l’échappement.</w:t>
            </w:r>
          </w:p>
        </w:tc>
      </w:tr>
      <w:tr w:rsidR="00BE5362" w:rsidRPr="002E39B9" w14:paraId="251BBBB1" w14:textId="77777777">
        <w:trPr>
          <w:cantSplit/>
        </w:trPr>
        <w:tc>
          <w:tcPr>
            <w:tcW w:w="1380" w:type="dxa"/>
            <w:shd w:val="clear" w:color="auto" w:fill="F7F9F7"/>
          </w:tcPr>
          <w:p w14:paraId="71977F40" w14:textId="77777777" w:rsidR="00BE5362" w:rsidRPr="002E39B9" w:rsidRDefault="00000000" w:rsidP="002E39B9">
            <w:r w:rsidRPr="002E39B9">
              <w:t>Haute avant diffusion officielle</w:t>
            </w:r>
          </w:p>
        </w:tc>
        <w:tc>
          <w:tcPr>
            <w:tcW w:w="3750" w:type="dxa"/>
            <w:shd w:val="clear" w:color="auto" w:fill="F7F9F7"/>
          </w:tcPr>
          <w:p w14:paraId="5BF9AB77" w14:textId="77777777" w:rsidR="00BE5362" w:rsidRPr="002E39B9" w:rsidRDefault="00000000" w:rsidP="002E39B9">
            <w:r w:rsidRPr="002E39B9">
              <w:t>Gouvernance et réutilisation : autorité à désigner, conditions de licence renvoyées à une décision future, emblème à confirmer pour la production.</w:t>
            </w:r>
          </w:p>
        </w:tc>
        <w:tc>
          <w:tcPr>
            <w:tcW w:w="3940" w:type="dxa"/>
            <w:shd w:val="clear" w:color="auto" w:fill="F7F9F7"/>
          </w:tcPr>
          <w:p w14:paraId="1433DFC1" w14:textId="77777777" w:rsidR="00BE5362" w:rsidRPr="002E39B9" w:rsidRDefault="00000000" w:rsidP="002E39B9">
            <w:r w:rsidRPr="002E39B9">
              <w:t>Finaliser l’autorité responsable, les conditions de réutilisation et la ressource institutionnelle de référence.</w:t>
            </w:r>
          </w:p>
        </w:tc>
      </w:tr>
      <w:tr w:rsidR="00BE5362" w:rsidRPr="002E39B9" w14:paraId="7D28A1A9" w14:textId="77777777">
        <w:trPr>
          <w:cantSplit/>
        </w:trPr>
        <w:tc>
          <w:tcPr>
            <w:tcW w:w="1380" w:type="dxa"/>
            <w:shd w:val="clear" w:color="auto" w:fill="FFFFFF"/>
          </w:tcPr>
          <w:p w14:paraId="33FC4134" w14:textId="77777777" w:rsidR="00BE5362" w:rsidRPr="002E39B9" w:rsidRDefault="00000000" w:rsidP="002E39B9">
            <w:r w:rsidRPr="002E39B9">
              <w:t>Moyenne</w:t>
            </w:r>
          </w:p>
        </w:tc>
        <w:tc>
          <w:tcPr>
            <w:tcW w:w="3750" w:type="dxa"/>
            <w:shd w:val="clear" w:color="auto" w:fill="FFFFFF"/>
          </w:tcPr>
          <w:p w14:paraId="6F5E41CD" w14:textId="77777777" w:rsidR="00BE5362" w:rsidRPr="002E39B9" w:rsidRDefault="00000000" w:rsidP="002E39B9">
            <w:r w:rsidRPr="002E39B9">
              <w:t>Promesse tactile incohérente : 44 × 44 px annoncés, contre 36 × 36 px pour les petits boutons à icône et 40 × 40 px pour les jours du calendrier.</w:t>
            </w:r>
          </w:p>
        </w:tc>
        <w:tc>
          <w:tcPr>
            <w:tcW w:w="3940" w:type="dxa"/>
            <w:shd w:val="clear" w:color="auto" w:fill="FFFFFF"/>
          </w:tcPr>
          <w:p w14:paraId="0E0F547B" w14:textId="77777777" w:rsidR="00BE5362" w:rsidRPr="002E39B9" w:rsidRDefault="00000000" w:rsidP="002E39B9">
            <w:r w:rsidRPr="002E39B9">
              <w:t>Agrandir la zone interactive ou documenter précisément les exceptions.</w:t>
            </w:r>
          </w:p>
        </w:tc>
      </w:tr>
      <w:tr w:rsidR="00BE5362" w:rsidRPr="002E39B9" w14:paraId="29D8CED0" w14:textId="77777777">
        <w:trPr>
          <w:cantSplit/>
        </w:trPr>
        <w:tc>
          <w:tcPr>
            <w:tcW w:w="1380" w:type="dxa"/>
            <w:shd w:val="clear" w:color="auto" w:fill="F7F9F7"/>
          </w:tcPr>
          <w:p w14:paraId="1ACECC54" w14:textId="77777777" w:rsidR="00BE5362" w:rsidRPr="002E39B9" w:rsidRDefault="00000000" w:rsidP="002E39B9">
            <w:r w:rsidRPr="002E39B9">
              <w:t>Moyenne</w:t>
            </w:r>
          </w:p>
        </w:tc>
        <w:tc>
          <w:tcPr>
            <w:tcW w:w="3750" w:type="dxa"/>
            <w:shd w:val="clear" w:color="auto" w:fill="F7F9F7"/>
          </w:tcPr>
          <w:p w14:paraId="0A8176C7" w14:textId="77777777" w:rsidR="00BE5362" w:rsidRPr="002E39B9" w:rsidRDefault="00000000" w:rsidP="002E39B9">
            <w:r w:rsidRPr="002E39B9">
              <w:t xml:space="preserve">Jetons désynchronisés : police-mono mentionne </w:t>
            </w:r>
            <w:proofErr w:type="spellStart"/>
            <w:r w:rsidRPr="002E39B9">
              <w:t>JetBrains</w:t>
            </w:r>
            <w:proofErr w:type="spellEnd"/>
            <w:r w:rsidRPr="002E39B9">
              <w:t xml:space="preserve"> Mono dans le JSON, alors que le CSS utilise une pile système différente.</w:t>
            </w:r>
          </w:p>
        </w:tc>
        <w:tc>
          <w:tcPr>
            <w:tcW w:w="3940" w:type="dxa"/>
            <w:shd w:val="clear" w:color="auto" w:fill="F7F9F7"/>
          </w:tcPr>
          <w:p w14:paraId="23B675FA" w14:textId="77777777" w:rsidR="00BE5362" w:rsidRPr="002E39B9" w:rsidRDefault="00000000" w:rsidP="002E39B9">
            <w:r w:rsidRPr="002E39B9">
              <w:t>Livrer un générateur CSS → JSON et un contrôle automatique de cohérence.</w:t>
            </w:r>
          </w:p>
        </w:tc>
      </w:tr>
    </w:tbl>
    <w:p w14:paraId="7D82D6FA" w14:textId="77777777" w:rsidR="00BE5362" w:rsidRPr="002E39B9" w:rsidRDefault="00BE5362" w:rsidP="002E39B9"/>
    <w:p w14:paraId="1F7E37B9" w14:textId="77777777" w:rsidR="00BE5362" w:rsidRPr="002E39B9" w:rsidRDefault="00000000" w:rsidP="002E39B9">
      <w:r w:rsidRPr="002E39B9">
        <w:t>3.1. Contrastes et accessibilité</w:t>
      </w:r>
    </w:p>
    <w:p w14:paraId="482C7445" w14:textId="77777777" w:rsidR="00BE5362" w:rsidRPr="002E39B9" w:rsidRDefault="00000000" w:rsidP="002E39B9">
      <w:r w:rsidRPr="002E39B9">
        <w:t>Les valeurs mesurées proviennent de tokens.css et des règles des champs de saisie de faso.css. Le seuil pertinent est de 4,</w:t>
      </w:r>
      <w:proofErr w:type="gramStart"/>
      <w:r w:rsidRPr="002E39B9">
        <w:t>5:</w:t>
      </w:r>
      <w:proofErr w:type="gramEnd"/>
      <w:r w:rsidRPr="002E39B9">
        <w:t>1 pour le texte courant et de 3:1 pour les contours nécessaires à l’identification des contrôles. Le texte secondaire atteint également 3,</w:t>
      </w:r>
      <w:proofErr w:type="gramStart"/>
      <w:r w:rsidRPr="002E39B9">
        <w:t>82:</w:t>
      </w:r>
      <w:proofErr w:type="gramEnd"/>
      <w:r w:rsidRPr="002E39B9">
        <w:t>1 sur la surface enfoncée #f7f5f2. À titre de comparaison, le blanc sur le vert d’action #00843b atteint 4,</w:t>
      </w:r>
      <w:proofErr w:type="gramStart"/>
      <w:r w:rsidRPr="002E39B9">
        <w:t>81:</w:t>
      </w:r>
      <w:proofErr w:type="gramEnd"/>
      <w:r w:rsidRPr="002E39B9">
        <w:t>1.</w:t>
      </w:r>
    </w:p>
    <w:p w14:paraId="6C756084" w14:textId="77777777" w:rsidR="00BE5362" w:rsidRPr="002E39B9" w:rsidRDefault="00000000" w:rsidP="002E39B9">
      <w:r w:rsidRPr="002E39B9">
        <w:lastRenderedPageBreak/>
        <w:t>Les petits boutons et le calendrier présentent un écart à la règle de 44 px du projet. Cet écart ne constitue pas, à lui seul, une preuve automatique de non-conformité WCAG AA : il faut distinguer les exigences propres à la charte des critères du référentiel.</w:t>
      </w:r>
    </w:p>
    <w:p w14:paraId="6E04A5E8" w14:textId="77777777" w:rsidR="00BE5362" w:rsidRPr="002E39B9" w:rsidRDefault="00000000" w:rsidP="002E39B9">
      <w:r w:rsidRPr="002E39B9">
        <w:t xml:space="preserve">Référence : </w:t>
      </w:r>
      <w:proofErr w:type="gramStart"/>
      <w:r w:rsidRPr="002E39B9">
        <w:t>assets/</w:t>
      </w:r>
      <w:proofErr w:type="spellStart"/>
      <w:r w:rsidRPr="002E39B9">
        <w:t>css</w:t>
      </w:r>
      <w:proofErr w:type="spellEnd"/>
      <w:r w:rsidRPr="002E39B9">
        <w:t>/tokens.css:</w:t>
      </w:r>
      <w:proofErr w:type="gramEnd"/>
      <w:r w:rsidRPr="002E39B9">
        <w:t>303 ; assets/</w:t>
      </w:r>
      <w:proofErr w:type="spellStart"/>
      <w:r w:rsidRPr="002E39B9">
        <w:t>css</w:t>
      </w:r>
      <w:proofErr w:type="spellEnd"/>
      <w:r w:rsidRPr="002E39B9">
        <w:t>/faso.css:606 ; assets/</w:t>
      </w:r>
      <w:proofErr w:type="spellStart"/>
      <w:r w:rsidRPr="002E39B9">
        <w:t>css</w:t>
      </w:r>
      <w:proofErr w:type="spellEnd"/>
      <w:r w:rsidRPr="002E39B9">
        <w:t>/faso.css:478 ; assets/</w:t>
      </w:r>
      <w:proofErr w:type="spellStart"/>
      <w:r w:rsidRPr="002E39B9">
        <w:t>css</w:t>
      </w:r>
      <w:proofErr w:type="spellEnd"/>
      <w:r w:rsidRPr="002E39B9">
        <w:t>/faso.css:3016 ; accessibilite.html:76.</w:t>
      </w:r>
    </w:p>
    <w:p w14:paraId="435D9C28" w14:textId="77777777" w:rsidR="00BE5362" w:rsidRPr="002E39B9" w:rsidRDefault="00000000" w:rsidP="002E39B9">
      <w:r w:rsidRPr="002E39B9">
        <w:t>3.2. Export CSV</w:t>
      </w:r>
    </w:p>
    <w:p w14:paraId="793C9381" w14:textId="77777777" w:rsidR="00BE5362" w:rsidRPr="002E39B9" w:rsidRDefault="00000000" w:rsidP="002E39B9">
      <w:r w:rsidRPr="002E39B9">
        <w:t xml:space="preserve">L’essai de </w:t>
      </w:r>
      <w:proofErr w:type="spellStart"/>
      <w:proofErr w:type="gramStart"/>
      <w:r w:rsidRPr="002E39B9">
        <w:t>versCsv</w:t>
      </w:r>
      <w:proofErr w:type="spellEnd"/>
      <w:r w:rsidRPr="002E39B9">
        <w:t>(</w:t>
      </w:r>
      <w:proofErr w:type="gramEnd"/>
      <w:r w:rsidRPr="002E39B9">
        <w:t>) confirme que la chaîne =1+1 est conservée et qu’un texte contenant plusieurs espaces et un saut de ligne est réduit à une seule ligne avec des espaces simples. L’interprétation en formule dépend du tableur utilisé. Ce risque est documenté par OWASP.</w:t>
      </w:r>
    </w:p>
    <w:p w14:paraId="23F3A810" w14:textId="77777777" w:rsidR="00BE5362" w:rsidRPr="002E39B9" w:rsidRDefault="00000000" w:rsidP="002E39B9">
      <w:r w:rsidRPr="002E39B9">
        <w:t>La correction doit distinguer les valeurs numériques des cellules textuelles, définir le traitement des textes pouvant être interprétés comme des formules et préserver les données pendant la sérialisation.</w:t>
      </w:r>
    </w:p>
    <w:p w14:paraId="55832C60" w14:textId="77777777" w:rsidR="00BE5362" w:rsidRPr="002E39B9" w:rsidRDefault="00000000" w:rsidP="002E39B9">
      <w:r w:rsidRPr="002E39B9">
        <w:t xml:space="preserve">Référence : </w:t>
      </w:r>
      <w:proofErr w:type="gramStart"/>
      <w:r w:rsidRPr="002E39B9">
        <w:t>assets/</w:t>
      </w:r>
      <w:proofErr w:type="spellStart"/>
      <w:r w:rsidRPr="002E39B9">
        <w:t>js</w:t>
      </w:r>
      <w:proofErr w:type="spellEnd"/>
      <w:r w:rsidRPr="002E39B9">
        <w:t>/faso.js:</w:t>
      </w:r>
      <w:proofErr w:type="gramEnd"/>
      <w:r w:rsidRPr="002E39B9">
        <w:t xml:space="preserve">1371 — </w:t>
      </w:r>
      <w:proofErr w:type="spellStart"/>
      <w:r w:rsidRPr="002E39B9">
        <w:t>echapperCsv</w:t>
      </w:r>
      <w:proofErr w:type="spellEnd"/>
      <w:r w:rsidRPr="002E39B9">
        <w:t>() ; assets/</w:t>
      </w:r>
      <w:proofErr w:type="spellStart"/>
      <w:r w:rsidRPr="002E39B9">
        <w:t>js</w:t>
      </w:r>
      <w:proofErr w:type="spellEnd"/>
      <w:r w:rsidRPr="002E39B9">
        <w:t xml:space="preserve">/faso.js:1771 — </w:t>
      </w:r>
      <w:proofErr w:type="spellStart"/>
      <w:r w:rsidRPr="002E39B9">
        <w:t>versCsv</w:t>
      </w:r>
      <w:proofErr w:type="spellEnd"/>
      <w:r w:rsidRPr="002E39B9">
        <w:t>().</w:t>
      </w:r>
    </w:p>
    <w:p w14:paraId="244A526B" w14:textId="77777777" w:rsidR="00BE5362" w:rsidRPr="002E39B9" w:rsidRDefault="00000000" w:rsidP="002E39B9">
      <w:r w:rsidRPr="002E39B9">
        <w:t>3.3. Gouvernance et portée nationale</w:t>
      </w:r>
    </w:p>
    <w:p w14:paraId="524889CB" w14:textId="77777777" w:rsidR="00BE5362" w:rsidRPr="002E39B9" w:rsidRDefault="00000000" w:rsidP="002E39B9">
      <w:r w:rsidRPr="002E39B9">
        <w:t>Le projet indique lui-même que les rôles institutionnels sont des propositions et que les organismes doivent être désignés avant l’entrée en vigueur de la charte. Le fichier de présentation ne fournit pas encore des conditions de licence arrêtées pour le code et la documentation. Il demande aussi de confirmer la version de référence des armoiries pour la production.</w:t>
      </w:r>
    </w:p>
    <w:p w14:paraId="43DB100E" w14:textId="77777777" w:rsidR="00BE5362" w:rsidRPr="002E39B9" w:rsidRDefault="00000000" w:rsidP="002E39B9">
      <w:r w:rsidRPr="002E39B9">
        <w:t xml:space="preserve">Référence : </w:t>
      </w:r>
      <w:proofErr w:type="gramStart"/>
      <w:r w:rsidRPr="002E39B9">
        <w:t>gouvernance.html:</w:t>
      </w:r>
      <w:proofErr w:type="gramEnd"/>
      <w:r w:rsidRPr="002E39B9">
        <w:t>76 ; LISEZMOI-PAQUET.txt:65 et :85.</w:t>
      </w:r>
    </w:p>
    <w:p w14:paraId="4603C4B9" w14:textId="77777777" w:rsidR="00BE5362" w:rsidRPr="002E39B9" w:rsidRDefault="00000000" w:rsidP="002E39B9">
      <w:r w:rsidRPr="002E39B9">
        <w:t>Prévoir également la prise en charge explicite du multilinguisme. Les messages JavaScript sont directement écrits en français. Les plages de caractères déclarées pour les polices ne couvrent pas, notamment, ɛ, ɔ et ŋ : ces caractères dépendront des polices de repli. Il convient de définir les langues visées, de vérifier leur couverture typographique et d’externaliser les messages à traduire.</w:t>
      </w:r>
    </w:p>
    <w:p w14:paraId="199ECCAB" w14:textId="77777777" w:rsidR="00BE5362" w:rsidRPr="002E39B9" w:rsidRDefault="00000000" w:rsidP="002E39B9">
      <w:r w:rsidRPr="002E39B9">
        <w:t xml:space="preserve">Référence : </w:t>
      </w:r>
      <w:proofErr w:type="gramStart"/>
      <w:r w:rsidRPr="002E39B9">
        <w:t>assets/</w:t>
      </w:r>
      <w:proofErr w:type="spellStart"/>
      <w:r w:rsidRPr="002E39B9">
        <w:t>css</w:t>
      </w:r>
      <w:proofErr w:type="spellEnd"/>
      <w:r w:rsidRPr="002E39B9">
        <w:t>/tokens.css:</w:t>
      </w:r>
      <w:proofErr w:type="gramEnd"/>
      <w:r w:rsidRPr="002E39B9">
        <w:t>35 ; assets/</w:t>
      </w:r>
      <w:proofErr w:type="spellStart"/>
      <w:r w:rsidRPr="002E39B9">
        <w:t>js</w:t>
      </w:r>
      <w:proofErr w:type="spellEnd"/>
      <w:r w:rsidRPr="002E39B9">
        <w:t>/faso.js.</w:t>
      </w:r>
    </w:p>
    <w:p w14:paraId="7C1E7F54" w14:textId="77777777" w:rsidR="00BE5362" w:rsidRPr="002E39B9" w:rsidRDefault="00000000" w:rsidP="002E39B9">
      <w:r w:rsidRPr="002E39B9">
        <w:t xml:space="preserve">4. Intégration </w:t>
      </w:r>
      <w:proofErr w:type="spellStart"/>
      <w:r w:rsidRPr="002E39B9">
        <w:t>Angular</w:t>
      </w:r>
      <w:proofErr w:type="spellEnd"/>
      <w:r w:rsidRPr="002E39B9">
        <w:t xml:space="preserve"> : constats et corrections</w:t>
      </w:r>
    </w:p>
    <w:p w14:paraId="3907B719" w14:textId="77777777" w:rsidR="00BE5362" w:rsidRPr="002E39B9" w:rsidRDefault="00000000" w:rsidP="002E39B9">
      <w:r w:rsidRPr="002E39B9">
        <w:t xml:space="preserve">La couche CSS est facilement réutilisable dans </w:t>
      </w:r>
      <w:proofErr w:type="spellStart"/>
      <w:r w:rsidRPr="002E39B9">
        <w:t>Angular</w:t>
      </w:r>
      <w:proofErr w:type="spellEnd"/>
      <w:r w:rsidRPr="002E39B9">
        <w:t>. La couche comportementale demande davantage de travail, car elle initialise des éléments, attache des écouteurs et écrit directement dans le DOM. Les constats ci-dessous distinguent les erreurs reproduites des risques identifiés par lecture du code.</w:t>
      </w:r>
    </w:p>
    <w:p w14:paraId="7807FE0A" w14:textId="77777777" w:rsidR="00BE5362" w:rsidRPr="002E39B9" w:rsidRDefault="00000000" w:rsidP="002E39B9">
      <w:r w:rsidRPr="002E39B9">
        <w:t>4.1. Initialisation automatique et hydratation</w:t>
      </w:r>
    </w:p>
    <w:p w14:paraId="65A9BC2B" w14:textId="77777777" w:rsidR="00BE5362" w:rsidRPr="002E39B9" w:rsidRDefault="00000000" w:rsidP="002E39B9">
      <w:r w:rsidRPr="002E39B9">
        <w:t xml:space="preserve">Constat par lecture du code : faso.js appelle </w:t>
      </w:r>
      <w:proofErr w:type="gramStart"/>
      <w:r w:rsidRPr="002E39B9">
        <w:t>initialiser(</w:t>
      </w:r>
      <w:proofErr w:type="gramEnd"/>
      <w:r w:rsidRPr="002E39B9">
        <w:t xml:space="preserve">) au chargement dans le navigateur. L’application </w:t>
      </w:r>
      <w:proofErr w:type="spellStart"/>
      <w:r w:rsidRPr="002E39B9">
        <w:t>Angular</w:t>
      </w:r>
      <w:proofErr w:type="spellEnd"/>
      <w:r w:rsidRPr="002E39B9">
        <w:t xml:space="preserve"> ne maîtrise donc pas complètement le moment des modifications. Cela crée un risque avec l’hydratation. L’exemple </w:t>
      </w:r>
      <w:proofErr w:type="spellStart"/>
      <w:proofErr w:type="gramStart"/>
      <w:r w:rsidRPr="002E39B9">
        <w:t>runOutsideAngular</w:t>
      </w:r>
      <w:proofErr w:type="spellEnd"/>
      <w:r w:rsidRPr="002E39B9">
        <w:t>(</w:t>
      </w:r>
      <w:proofErr w:type="gramEnd"/>
      <w:r w:rsidRPr="002E39B9">
        <w:t>) peut aussi être inefficace si les écouteurs ont déjà été installés lors de l’import.</w:t>
      </w:r>
    </w:p>
    <w:p w14:paraId="3BA4A53F" w14:textId="77777777" w:rsidR="00BE5362" w:rsidRPr="002E39B9" w:rsidRDefault="00000000" w:rsidP="002E39B9">
      <w:r w:rsidRPr="002E39B9">
        <w:t xml:space="preserve">Correction : séparer un module à initialisation explicite d’une entrée destinée aux pages HTML avec démarrage automatique. Initialiser ensuite les éléments concernés après leur rendu. </w:t>
      </w:r>
      <w:proofErr w:type="spellStart"/>
      <w:r w:rsidRPr="002E39B9">
        <w:t>Angular</w:t>
      </w:r>
      <w:proofErr w:type="spellEnd"/>
      <w:r w:rsidRPr="002E39B9">
        <w:t xml:space="preserve"> recommande les callbacks de rendu pour intégrer ces bibliothèques. Avec l’hydratation incrémentale, il faut également respecter les sous-arbres encore non hydratés ; un appel global après un premier rendu ne suffit pas à prouver leur compatibilité.</w:t>
      </w:r>
    </w:p>
    <w:p w14:paraId="366443BE" w14:textId="77777777" w:rsidR="00BE5362" w:rsidRPr="002E39B9" w:rsidRDefault="00000000" w:rsidP="002E39B9">
      <w:r w:rsidRPr="002E39B9">
        <w:lastRenderedPageBreak/>
        <w:t>Validation attendue : une application de référence testée en rendu client et en SSR avec hydratation, y compris lors des navigations et des rendus différés.</w:t>
      </w:r>
    </w:p>
    <w:p w14:paraId="3F87B268" w14:textId="77777777" w:rsidR="00BE5362" w:rsidRPr="002E39B9" w:rsidRDefault="00000000" w:rsidP="002E39B9">
      <w:r w:rsidRPr="002E39B9">
        <w:t xml:space="preserve">Référence : </w:t>
      </w:r>
      <w:proofErr w:type="gramStart"/>
      <w:r w:rsidRPr="002E39B9">
        <w:t>assets/</w:t>
      </w:r>
      <w:proofErr w:type="spellStart"/>
      <w:r w:rsidRPr="002E39B9">
        <w:t>js</w:t>
      </w:r>
      <w:proofErr w:type="spellEnd"/>
      <w:r w:rsidRPr="002E39B9">
        <w:t>/faso.js:</w:t>
      </w:r>
      <w:proofErr w:type="gramEnd"/>
      <w:r w:rsidRPr="002E39B9">
        <w:t>1834 ; integration.html:266 et :381.</w:t>
      </w:r>
    </w:p>
    <w:p w14:paraId="53D40637" w14:textId="77777777" w:rsidR="00BE5362" w:rsidRPr="002E39B9" w:rsidRDefault="00000000" w:rsidP="002E39B9">
      <w:r w:rsidRPr="002E39B9">
        <w:t>4.2. API serveur incomplètement protégée</w:t>
      </w:r>
    </w:p>
    <w:p w14:paraId="07FF3BEF" w14:textId="77777777" w:rsidR="00BE5362" w:rsidRPr="002E39B9" w:rsidRDefault="00000000" w:rsidP="002E39B9">
      <w:r w:rsidRPr="002E39B9">
        <w:t xml:space="preserve">Erreur reproduite dans Node : l’import du module sans DOM fonctionne, tout comme </w:t>
      </w:r>
      <w:proofErr w:type="gramStart"/>
      <w:r w:rsidRPr="002E39B9">
        <w:t>initialiser(</w:t>
      </w:r>
      <w:proofErr w:type="gramEnd"/>
      <w:r w:rsidRPr="002E39B9">
        <w:t xml:space="preserve">) et observer(). En revanche, appeler </w:t>
      </w:r>
      <w:proofErr w:type="spellStart"/>
      <w:r w:rsidRPr="002E39B9">
        <w:t>Faso.appliquerTheme</w:t>
      </w:r>
      <w:proofErr w:type="spellEnd"/>
      <w:r w:rsidRPr="002E39B9">
        <w:t>('</w:t>
      </w:r>
      <w:proofErr w:type="spellStart"/>
      <w:r w:rsidRPr="002E39B9">
        <w:t>dark</w:t>
      </w:r>
      <w:proofErr w:type="spellEnd"/>
      <w:r w:rsidRPr="002E39B9">
        <w:t>') sans navigateur provoque l’erreur suivante :</w:t>
      </w:r>
    </w:p>
    <w:p w14:paraId="65AAEC08" w14:textId="77777777" w:rsidR="00BE5362" w:rsidRPr="002E39B9" w:rsidRDefault="00000000" w:rsidP="002E39B9">
      <w:proofErr w:type="spellStart"/>
      <w:proofErr w:type="gramStart"/>
      <w:r w:rsidRPr="002E39B9">
        <w:t>ReferenceError</w:t>
      </w:r>
      <w:proofErr w:type="spellEnd"/>
      <w:r w:rsidRPr="002E39B9">
        <w:t>:</w:t>
      </w:r>
      <w:proofErr w:type="gramEnd"/>
      <w:r w:rsidRPr="002E39B9">
        <w:t xml:space="preserve"> document </w:t>
      </w:r>
      <w:proofErr w:type="spellStart"/>
      <w:r w:rsidRPr="002E39B9">
        <w:t>is</w:t>
      </w:r>
      <w:proofErr w:type="spellEnd"/>
      <w:r w:rsidRPr="002E39B9">
        <w:t xml:space="preserve"> not </w:t>
      </w:r>
      <w:proofErr w:type="spellStart"/>
      <w:r w:rsidRPr="002E39B9">
        <w:t>defined</w:t>
      </w:r>
      <w:proofErr w:type="spellEnd"/>
    </w:p>
    <w:p w14:paraId="692DCF30" w14:textId="77777777" w:rsidR="00BE5362" w:rsidRPr="002E39B9" w:rsidRDefault="00000000" w:rsidP="002E39B9">
      <w:r w:rsidRPr="002E39B9">
        <w:t>Correction : protéger cette méthode comme les autres et tester chaque méthode publique sans navigateur. La compatibilité de l’import serveur ne doit pas être assimilée à celle de toutes les méthodes de l’API.</w:t>
      </w:r>
    </w:p>
    <w:p w14:paraId="1D724DF0" w14:textId="77777777" w:rsidR="00BE5362" w:rsidRPr="002E39B9" w:rsidRDefault="00000000" w:rsidP="002E39B9">
      <w:r w:rsidRPr="002E39B9">
        <w:t xml:space="preserve">Référence : </w:t>
      </w:r>
      <w:proofErr w:type="gramStart"/>
      <w:r w:rsidRPr="002E39B9">
        <w:t>assets/</w:t>
      </w:r>
      <w:proofErr w:type="spellStart"/>
      <w:r w:rsidRPr="002E39B9">
        <w:t>js</w:t>
      </w:r>
      <w:proofErr w:type="spellEnd"/>
      <w:r w:rsidRPr="002E39B9">
        <w:t>/faso.js:</w:t>
      </w:r>
      <w:proofErr w:type="gramEnd"/>
      <w:r w:rsidRPr="002E39B9">
        <w:t xml:space="preserve">215 — </w:t>
      </w:r>
      <w:proofErr w:type="spellStart"/>
      <w:r w:rsidRPr="002E39B9">
        <w:t>appliquerTheme</w:t>
      </w:r>
      <w:proofErr w:type="spellEnd"/>
      <w:r w:rsidRPr="002E39B9">
        <w:t>().</w:t>
      </w:r>
    </w:p>
    <w:p w14:paraId="4524C070" w14:textId="77777777" w:rsidR="00BE5362" w:rsidRPr="002E39B9" w:rsidRDefault="00000000" w:rsidP="002E39B9">
      <w:r w:rsidRPr="002E39B9">
        <w:t>4.3. Exemple d’événement incompatible avec le typage strict</w:t>
      </w:r>
    </w:p>
    <w:p w14:paraId="2DF750C5" w14:textId="77777777" w:rsidR="00BE5362" w:rsidRPr="002E39B9" w:rsidRDefault="00000000" w:rsidP="002E39B9">
      <w:r w:rsidRPr="002E39B9">
        <w:t xml:space="preserve">Erreur reproduite en compilation ciblée avec </w:t>
      </w:r>
      <w:proofErr w:type="spellStart"/>
      <w:r w:rsidRPr="002E39B9">
        <w:t>Angular</w:t>
      </w:r>
      <w:proofErr w:type="spellEnd"/>
      <w:r w:rsidRPr="002E39B9">
        <w:t xml:space="preserve"> 22.1.4 et </w:t>
      </w:r>
      <w:proofErr w:type="spellStart"/>
      <w:r w:rsidRPr="002E39B9">
        <w:t>strictTemplates</w:t>
      </w:r>
      <w:proofErr w:type="spellEnd"/>
      <w:r w:rsidRPr="002E39B9">
        <w:t xml:space="preserve"> : le motif (</w:t>
      </w:r>
      <w:proofErr w:type="spellStart"/>
      <w:r w:rsidRPr="002E39B9">
        <w:t>fs</w:t>
      </w:r>
      <w:proofErr w:type="spellEnd"/>
      <w:r w:rsidRPr="002E39B9">
        <w:t>-</w:t>
      </w:r>
      <w:proofErr w:type="gramStart"/>
      <w:r w:rsidRPr="002E39B9">
        <w:t>onglet)=</w:t>
      </w:r>
      <w:proofErr w:type="gramEnd"/>
      <w:r w:rsidRPr="002E39B9">
        <w:t>"reprendre($</w:t>
      </w:r>
      <w:proofErr w:type="spellStart"/>
      <w:r w:rsidRPr="002E39B9">
        <w:t>event</w:t>
      </w:r>
      <w:proofErr w:type="spellEnd"/>
      <w:r w:rsidRPr="002E39B9">
        <w:t xml:space="preserve">)" appelle une méthode qui attend </w:t>
      </w:r>
      <w:proofErr w:type="spellStart"/>
      <w:r w:rsidRPr="002E39B9">
        <w:t>CustomEvent</w:t>
      </w:r>
      <w:proofErr w:type="spellEnd"/>
      <w:r w:rsidRPr="002E39B9">
        <w:t>, alors qu’</w:t>
      </w:r>
      <w:proofErr w:type="spellStart"/>
      <w:r w:rsidRPr="002E39B9">
        <w:t>Angular</w:t>
      </w:r>
      <w:proofErr w:type="spellEnd"/>
      <w:r w:rsidRPr="002E39B9">
        <w:t xml:space="preserve"> considère ici $</w:t>
      </w:r>
      <w:proofErr w:type="spellStart"/>
      <w:r w:rsidRPr="002E39B9">
        <w:t>event</w:t>
      </w:r>
      <w:proofErr w:type="spellEnd"/>
      <w:r w:rsidRPr="002E39B9">
        <w:t xml:space="preserve"> comme un événement DOM générique.</w:t>
      </w:r>
    </w:p>
    <w:p w14:paraId="03E2655E" w14:textId="77777777" w:rsidR="00BE5362" w:rsidRPr="002E39B9" w:rsidRDefault="00000000" w:rsidP="002E39B9">
      <w:pPr>
        <w:rPr>
          <w:lang w:val="en-US"/>
        </w:rPr>
      </w:pPr>
      <w:r w:rsidRPr="002E39B9">
        <w:rPr>
          <w:lang w:val="en-US"/>
        </w:rPr>
        <w:t>Argument of type 'Event' is not assignable to parameter of type '</w:t>
      </w:r>
      <w:proofErr w:type="spellStart"/>
      <w:r w:rsidRPr="002E39B9">
        <w:rPr>
          <w:lang w:val="en-US"/>
        </w:rPr>
        <w:t>CustomEvent</w:t>
      </w:r>
      <w:proofErr w:type="spellEnd"/>
      <w:r w:rsidRPr="002E39B9">
        <w:rPr>
          <w:lang w:val="en-US"/>
        </w:rPr>
        <w:t>&lt;any&gt;'.</w:t>
      </w:r>
    </w:p>
    <w:p w14:paraId="1F578BC9" w14:textId="77777777" w:rsidR="00BE5362" w:rsidRPr="002E39B9" w:rsidRDefault="00000000" w:rsidP="002E39B9">
      <w:r w:rsidRPr="002E39B9">
        <w:t>Correction : accepter Event puis affiner son type, ou fournir une directive possédant une sortie typée. Le gabarit de l’exemple doit aussi fournir data-</w:t>
      </w:r>
      <w:proofErr w:type="spellStart"/>
      <w:r w:rsidRPr="002E39B9">
        <w:t>cle</w:t>
      </w:r>
      <w:proofErr w:type="spellEnd"/>
      <w:r w:rsidRPr="002E39B9">
        <w:t xml:space="preserve">, puisque le gestionnaire lit </w:t>
      </w:r>
      <w:proofErr w:type="spellStart"/>
      <w:r w:rsidRPr="002E39B9">
        <w:t>ev.detail.onglet.dataset.cle</w:t>
      </w:r>
      <w:proofErr w:type="spellEnd"/>
      <w:r w:rsidRPr="002E39B9">
        <w:t xml:space="preserve">. Le contrôle réalisé porte sur cet extrait, pas sur une application </w:t>
      </w:r>
      <w:proofErr w:type="spellStart"/>
      <w:r w:rsidRPr="002E39B9">
        <w:t>Angular</w:t>
      </w:r>
      <w:proofErr w:type="spellEnd"/>
      <w:r w:rsidRPr="002E39B9">
        <w:t xml:space="preserve"> complète.</w:t>
      </w:r>
    </w:p>
    <w:p w14:paraId="7C9A602E" w14:textId="77777777" w:rsidR="00BE5362" w:rsidRPr="002E39B9" w:rsidRDefault="00000000" w:rsidP="002E39B9">
      <w:r w:rsidRPr="002E39B9">
        <w:t xml:space="preserve">Référence : </w:t>
      </w:r>
      <w:proofErr w:type="gramStart"/>
      <w:r w:rsidRPr="002E39B9">
        <w:t>integration.html:</w:t>
      </w:r>
      <w:proofErr w:type="gramEnd"/>
      <w:r w:rsidRPr="002E39B9">
        <w:t>583 ; assets/</w:t>
      </w:r>
      <w:proofErr w:type="spellStart"/>
      <w:r w:rsidRPr="002E39B9">
        <w:t>js</w:t>
      </w:r>
      <w:proofErr w:type="spellEnd"/>
      <w:r w:rsidRPr="002E39B9">
        <w:t>/</w:t>
      </w:r>
      <w:proofErr w:type="spellStart"/>
      <w:r w:rsidRPr="002E39B9">
        <w:t>faso.d.ts</w:t>
      </w:r>
      <w:proofErr w:type="spellEnd"/>
      <w:r w:rsidRPr="002E39B9">
        <w:t xml:space="preserve"> — annonces personnalisées.</w:t>
      </w:r>
    </w:p>
    <w:p w14:paraId="4968AD76" w14:textId="77777777" w:rsidR="00BE5362" w:rsidRPr="002E39B9" w:rsidRDefault="00000000" w:rsidP="002E39B9">
      <w:r w:rsidRPr="002E39B9">
        <w:t>4.4. Composants dynamiques et idempotence</w:t>
      </w:r>
    </w:p>
    <w:p w14:paraId="4FD35F4F" w14:textId="77777777" w:rsidR="00BE5362" w:rsidRPr="002E39B9" w:rsidRDefault="00000000" w:rsidP="002E39B9">
      <w:r w:rsidRPr="002E39B9">
        <w:t>Comportement reproduit dans un DOM simulé : les onglets sont mémorisés lors de la première initialisation. Un onglet ajouté dans la même liste n’obtient pas ses écouteurs, même après réinitialisation. Le premier onglet émet bien l’événement attendu ; le nouvel onglet n’en émet aucun.</w:t>
      </w:r>
    </w:p>
    <w:p w14:paraId="7AFC3290" w14:textId="77777777" w:rsidR="00BE5362" w:rsidRPr="002E39B9" w:rsidRDefault="00000000" w:rsidP="002E39B9">
      <w:r w:rsidRPr="002E39B9">
        <w:t xml:space="preserve">Correction : prendre en charge les enfants ajoutés ou remplacés, notamment par @if et @for, ou confier ce comportement à </w:t>
      </w:r>
      <w:proofErr w:type="spellStart"/>
      <w:r w:rsidRPr="002E39B9">
        <w:t>Angular</w:t>
      </w:r>
      <w:proofErr w:type="spellEnd"/>
      <w:r w:rsidRPr="002E39B9">
        <w:t>. Le fait d’éviter les doubles écouteurs ne garantit pas que les nouveaux enfants seront initialisés.</w:t>
      </w:r>
    </w:p>
    <w:p w14:paraId="382CA87D" w14:textId="77777777" w:rsidR="00BE5362" w:rsidRPr="002E39B9" w:rsidRDefault="00000000" w:rsidP="002E39B9">
      <w:r w:rsidRPr="002E39B9">
        <w:t xml:space="preserve">Référence : </w:t>
      </w:r>
      <w:proofErr w:type="gramStart"/>
      <w:r w:rsidRPr="002E39B9">
        <w:t>assets/</w:t>
      </w:r>
      <w:proofErr w:type="spellStart"/>
      <w:r w:rsidRPr="002E39B9">
        <w:t>js</w:t>
      </w:r>
      <w:proofErr w:type="spellEnd"/>
      <w:r w:rsidRPr="002E39B9">
        <w:t>/faso.js:</w:t>
      </w:r>
      <w:proofErr w:type="gramEnd"/>
      <w:r w:rsidRPr="002E39B9">
        <w:t xml:space="preserve">269 — </w:t>
      </w:r>
      <w:proofErr w:type="spellStart"/>
      <w:r w:rsidRPr="002E39B9">
        <w:t>initOnglets</w:t>
      </w:r>
      <w:proofErr w:type="spellEnd"/>
      <w:r w:rsidRPr="002E39B9">
        <w:t>().</w:t>
      </w:r>
    </w:p>
    <w:p w14:paraId="244885B9" w14:textId="77777777" w:rsidR="00BE5362" w:rsidRPr="002E39B9" w:rsidRDefault="00000000" w:rsidP="002E39B9">
      <w:r w:rsidRPr="002E39B9">
        <w:t>4.5. Nettoyage au démontage</w:t>
      </w:r>
    </w:p>
    <w:p w14:paraId="0D3EDA89" w14:textId="77777777" w:rsidR="00BE5362" w:rsidRPr="002E39B9" w:rsidRDefault="00000000" w:rsidP="002E39B9">
      <w:r w:rsidRPr="002E39B9">
        <w:t xml:space="preserve">Constat par lecture du code : aucune API </w:t>
      </w:r>
      <w:proofErr w:type="spellStart"/>
      <w:proofErr w:type="gramStart"/>
      <w:r w:rsidRPr="002E39B9">
        <w:t>detruire</w:t>
      </w:r>
      <w:proofErr w:type="spellEnd"/>
      <w:r w:rsidRPr="002E39B9">
        <w:t>(</w:t>
      </w:r>
      <w:proofErr w:type="gramEnd"/>
      <w:r w:rsidRPr="002E39B9">
        <w:t>) n’est proposée. Le panneau latéral purge les éléments retirés uniquement à certaines interactions. Sa suppression pendant une navigation peut donc laisser temporairement le défilement verrouillé. L’</w:t>
      </w:r>
      <w:proofErr w:type="spellStart"/>
      <w:r w:rsidRPr="002E39B9">
        <w:t>autocomplétion</w:t>
      </w:r>
      <w:proofErr w:type="spellEnd"/>
      <w:r w:rsidRPr="002E39B9">
        <w:t xml:space="preserve"> installe également un écouteur sur document par instance, sans mécanisme de retrait.</w:t>
      </w:r>
    </w:p>
    <w:p w14:paraId="3F526275" w14:textId="77777777" w:rsidR="00BE5362" w:rsidRPr="002E39B9" w:rsidRDefault="00000000" w:rsidP="002E39B9">
      <w:r w:rsidRPr="002E39B9">
        <w:t xml:space="preserve">Correction : prévoir un nettoyage par instance, relié à </w:t>
      </w:r>
      <w:proofErr w:type="spellStart"/>
      <w:r w:rsidRPr="002E39B9">
        <w:t>DestroyRef</w:t>
      </w:r>
      <w:proofErr w:type="spellEnd"/>
      <w:r w:rsidRPr="002E39B9">
        <w:t xml:space="preserve"> ou </w:t>
      </w:r>
      <w:proofErr w:type="spellStart"/>
      <w:r w:rsidRPr="002E39B9">
        <w:t>ngOnDestroy</w:t>
      </w:r>
      <w:proofErr w:type="spellEnd"/>
      <w:r w:rsidRPr="002E39B9">
        <w:t>. Ce nettoyage doit supprimer les écouteurs et observations concernés, libérer le verrou de défilement et restaurer le focus quand cela s’applique. Tester les navigations répétées et la destruction d’un panneau ouvert.</w:t>
      </w:r>
    </w:p>
    <w:p w14:paraId="5697EE2E" w14:textId="77777777" w:rsidR="00BE5362" w:rsidRPr="002E39B9" w:rsidRDefault="00000000" w:rsidP="002E39B9">
      <w:r w:rsidRPr="002E39B9">
        <w:lastRenderedPageBreak/>
        <w:t>La documentation recommande déjà de confier l’</w:t>
      </w:r>
      <w:proofErr w:type="spellStart"/>
      <w:r w:rsidRPr="002E39B9">
        <w:t>autocomplétion</w:t>
      </w:r>
      <w:proofErr w:type="spellEnd"/>
      <w:r w:rsidRPr="002E39B9">
        <w:t xml:space="preserve"> pilotée par les données à </w:t>
      </w:r>
      <w:proofErr w:type="spellStart"/>
      <w:r w:rsidRPr="002E39B9">
        <w:t>Angular</w:t>
      </w:r>
      <w:proofErr w:type="spellEnd"/>
      <w:r w:rsidRPr="002E39B9">
        <w:t>. Cette orientation est à conserver ; la limite de nettoyage concerne les usages du comportement JavaScript autonome.</w:t>
      </w:r>
    </w:p>
    <w:p w14:paraId="1D994616" w14:textId="77777777" w:rsidR="00BE5362" w:rsidRPr="002E39B9" w:rsidRDefault="00000000" w:rsidP="002E39B9">
      <w:r w:rsidRPr="002E39B9">
        <w:t xml:space="preserve">Référence : </w:t>
      </w:r>
      <w:proofErr w:type="gramStart"/>
      <w:r w:rsidRPr="002E39B9">
        <w:t>assets/</w:t>
      </w:r>
      <w:proofErr w:type="spellStart"/>
      <w:r w:rsidRPr="002E39B9">
        <w:t>js</w:t>
      </w:r>
      <w:proofErr w:type="spellEnd"/>
      <w:r w:rsidRPr="002E39B9">
        <w:t>/faso.js:</w:t>
      </w:r>
      <w:proofErr w:type="gramEnd"/>
      <w:r w:rsidRPr="002E39B9">
        <w:t>375 — panneaux ; assets/</w:t>
      </w:r>
      <w:proofErr w:type="spellStart"/>
      <w:r w:rsidRPr="002E39B9">
        <w:t>js</w:t>
      </w:r>
      <w:proofErr w:type="spellEnd"/>
      <w:r w:rsidRPr="002E39B9">
        <w:t>/faso.js:856 — écouteur global d’</w:t>
      </w:r>
      <w:proofErr w:type="spellStart"/>
      <w:r w:rsidRPr="002E39B9">
        <w:t>autocomplétion</w:t>
      </w:r>
      <w:proofErr w:type="spellEnd"/>
      <w:r w:rsidRPr="002E39B9">
        <w:t>.</w:t>
      </w:r>
    </w:p>
    <w:p w14:paraId="1C2278A2" w14:textId="77777777" w:rsidR="00BE5362" w:rsidRPr="002E39B9" w:rsidRDefault="00000000" w:rsidP="002E39B9">
      <w:r w:rsidRPr="002E39B9">
        <w:t xml:space="preserve">4.6. Application </w:t>
      </w:r>
      <w:proofErr w:type="spellStart"/>
      <w:r w:rsidRPr="002E39B9">
        <w:t>Angular</w:t>
      </w:r>
      <w:proofErr w:type="spellEnd"/>
      <w:r w:rsidRPr="002E39B9">
        <w:t xml:space="preserve"> de référence manquante</w:t>
      </w:r>
    </w:p>
    <w:p w14:paraId="717AB2FE" w14:textId="77777777" w:rsidR="00BE5362" w:rsidRPr="002E39B9" w:rsidRDefault="00000000" w:rsidP="002E39B9">
      <w:r w:rsidRPr="002E39B9">
        <w:t xml:space="preserve">Les extraits de documentation ne valident pas à eux seuls les formulaires réactifs, le routage, le mode sans zone et le rendu serveur. Une petite application exécutable est nécessaire pour montrer l’installation réelle et vérifier les contrats entre </w:t>
      </w:r>
      <w:proofErr w:type="spellStart"/>
      <w:r w:rsidRPr="002E39B9">
        <w:t>Angular</w:t>
      </w:r>
      <w:proofErr w:type="spellEnd"/>
      <w:r w:rsidRPr="002E39B9">
        <w:t xml:space="preserve"> et la charte.</w:t>
      </w:r>
    </w:p>
    <w:p w14:paraId="0B31B9CE" w14:textId="77777777" w:rsidR="00BE5362" w:rsidRPr="002E39B9" w:rsidRDefault="00000000" w:rsidP="002E39B9">
      <w:r w:rsidRPr="002E39B9">
        <w:t>Correction : fournir une application comprenant des composants statiques, un formulaire, des onglets dynamiques, un panneau, une notification et un tableau piloté par les données. Tester les cas utiles au projet : compilation stricte, routage, création et destruction, mise à jour de formulaire, mode sans zone et hydratation.</w:t>
      </w:r>
    </w:p>
    <w:p w14:paraId="0DB1CD4F" w14:textId="77777777" w:rsidR="00BE5362" w:rsidRPr="002E39B9" w:rsidRDefault="00000000" w:rsidP="002E39B9">
      <w:r w:rsidRPr="002E39B9">
        <w:t xml:space="preserve">5. Architecture </w:t>
      </w:r>
      <w:proofErr w:type="spellStart"/>
      <w:r w:rsidRPr="002E39B9">
        <w:t>Angular</w:t>
      </w:r>
      <w:proofErr w:type="spellEnd"/>
      <w:r w:rsidRPr="002E39B9">
        <w:t xml:space="preserve"> recommandée</w:t>
      </w:r>
    </w:p>
    <w:p w14:paraId="791E0F63" w14:textId="77777777" w:rsidR="00BE5362" w:rsidRPr="002E39B9" w:rsidRDefault="00000000" w:rsidP="002E39B9">
      <w:r w:rsidRPr="002E39B9">
        <w:t xml:space="preserve">Conserver le socle indépendant et ajouter progressivement une couche </w:t>
      </w:r>
      <w:proofErr w:type="spellStart"/>
      <w:r w:rsidRPr="002E39B9">
        <w:t>Angular</w:t>
      </w:r>
      <w:proofErr w:type="spellEnd"/>
      <w:r w:rsidRPr="002E39B9">
        <w:t xml:space="preserve"> officielle, sans dupliquer inutilement les règles visuelles.</w:t>
      </w:r>
    </w:p>
    <w:p w14:paraId="114131F1" w14:textId="77777777" w:rsidR="00BE5362" w:rsidRPr="002E39B9" w:rsidRDefault="00000000" w:rsidP="002E39B9">
      <w:r w:rsidRPr="002E39B9">
        <w:t>•  Socle commun. Jetons, CSS, icônes, polices et fonctions utilitaires indépendantes du cadriciel.</w:t>
      </w:r>
    </w:p>
    <w:p w14:paraId="0D25B076" w14:textId="77777777" w:rsidR="00BE5362" w:rsidRPr="002E39B9" w:rsidRDefault="00000000" w:rsidP="002E39B9">
      <w:r w:rsidRPr="002E39B9">
        <w:t xml:space="preserve">•  Adaptation </w:t>
      </w:r>
      <w:proofErr w:type="spellStart"/>
      <w:r w:rsidRPr="002E39B9">
        <w:t>Angular</w:t>
      </w:r>
      <w:proofErr w:type="spellEnd"/>
      <w:r w:rsidRPr="002E39B9">
        <w:t xml:space="preserve">. Directives pour les comportements simples ; composants pour les interactions complexes ; adaptateurs </w:t>
      </w:r>
      <w:proofErr w:type="spellStart"/>
      <w:r w:rsidRPr="002E39B9">
        <w:t>ControlValueAccessor</w:t>
      </w:r>
      <w:proofErr w:type="spellEnd"/>
      <w:r w:rsidRPr="002E39B9">
        <w:t xml:space="preserve"> pour les contrôles de formulaire composites.</w:t>
      </w:r>
    </w:p>
    <w:p w14:paraId="79EF6466" w14:textId="77777777" w:rsidR="00BE5362" w:rsidRPr="002E39B9" w:rsidRDefault="00000000" w:rsidP="002E39B9">
      <w:r w:rsidRPr="002E39B9">
        <w:t xml:space="preserve">•  État des données. Conserver dans </w:t>
      </w:r>
      <w:proofErr w:type="spellStart"/>
      <w:r w:rsidRPr="002E39B9">
        <w:t>Angular</w:t>
      </w:r>
      <w:proofErr w:type="spellEnd"/>
      <w:r w:rsidRPr="002E39B9">
        <w:t xml:space="preserve"> la source et l’état des tableaux, filtres et paginations, conformément à l’orientation déjà retenue dans la documentation.</w:t>
      </w:r>
    </w:p>
    <w:p w14:paraId="6FEB8C78" w14:textId="77777777" w:rsidR="00BE5362" w:rsidRPr="002E39B9" w:rsidRDefault="00000000" w:rsidP="002E39B9">
      <w:r w:rsidRPr="002E39B9">
        <w:t>•  Cycle de vie explicite. Une initialisation maîtrisée, un nettoyage par instance et une intégration qui respecte le rendu et l’hydratation.</w:t>
      </w:r>
    </w:p>
    <w:p w14:paraId="3A78DBB1" w14:textId="77777777" w:rsidR="00BE5362" w:rsidRPr="002E39B9" w:rsidRDefault="00000000" w:rsidP="002E39B9">
      <w:r w:rsidRPr="002E39B9">
        <w:t xml:space="preserve">L’absence actuelle de composants </w:t>
      </w:r>
      <w:proofErr w:type="spellStart"/>
      <w:r w:rsidRPr="002E39B9">
        <w:t>Angular</w:t>
      </w:r>
      <w:proofErr w:type="spellEnd"/>
      <w:r w:rsidRPr="002E39B9">
        <w:t xml:space="preserve"> natifs n’est pas, à elle seule, un défaut. La couche proposée vise à réduire la répétition de code dans les projets et à rendre les garanties d’intégration vérifiables.</w:t>
      </w:r>
    </w:p>
    <w:p w14:paraId="4990F822" w14:textId="77777777" w:rsidR="00BE5362" w:rsidRPr="002E39B9" w:rsidRDefault="00000000" w:rsidP="002E39B9">
      <w:r w:rsidRPr="002E39B9">
        <w:t>6. Vérifications réalisées et limites</w:t>
      </w:r>
    </w:p>
    <w:tbl>
      <w:tblPr>
        <w:tblW w:w="0" w:type="auto"/>
        <w:tblInd w:w="110" w:type="dxa"/>
        <w:tblBorders>
          <w:top w:val="single" w:sz="4" w:space="0" w:color="D9E1DB"/>
          <w:left w:val="single" w:sz="4" w:space="0" w:color="D9E1DB"/>
          <w:bottom w:val="single" w:sz="4" w:space="0" w:color="D9E1DB"/>
          <w:right w:val="single" w:sz="4" w:space="0" w:color="D9E1DB"/>
          <w:insideH w:val="single" w:sz="4" w:space="0" w:color="D9E1DB"/>
          <w:insideV w:val="single" w:sz="4" w:space="0" w:color="D9E1DB"/>
        </w:tblBorders>
        <w:tblLayout w:type="fixed"/>
        <w:tblCellMar>
          <w:top w:w="100" w:type="dxa"/>
          <w:left w:w="110" w:type="dxa"/>
          <w:bottom w:w="100" w:type="dxa"/>
          <w:right w:w="110" w:type="dxa"/>
        </w:tblCellMar>
        <w:tblLook w:val="0000" w:firstRow="0" w:lastRow="0" w:firstColumn="0" w:lastColumn="0" w:noHBand="0" w:noVBand="0"/>
      </w:tblPr>
      <w:tblGrid>
        <w:gridCol w:w="2900"/>
        <w:gridCol w:w="6170"/>
      </w:tblGrid>
      <w:tr w:rsidR="00BE5362" w:rsidRPr="002E39B9" w14:paraId="57479FA2" w14:textId="77777777">
        <w:trPr>
          <w:cantSplit/>
          <w:tblHeader/>
        </w:trPr>
        <w:tc>
          <w:tcPr>
            <w:tcW w:w="2900" w:type="dxa"/>
            <w:shd w:val="clear" w:color="auto" w:fill="E4EFE8"/>
          </w:tcPr>
          <w:p w14:paraId="598BFA3B" w14:textId="77777777" w:rsidR="00BE5362" w:rsidRPr="002E39B9" w:rsidRDefault="00000000" w:rsidP="002E39B9">
            <w:r w:rsidRPr="002E39B9">
              <w:t>Vérification</w:t>
            </w:r>
          </w:p>
        </w:tc>
        <w:tc>
          <w:tcPr>
            <w:tcW w:w="6170" w:type="dxa"/>
            <w:shd w:val="clear" w:color="auto" w:fill="E4EFE8"/>
          </w:tcPr>
          <w:p w14:paraId="6A0B8704" w14:textId="77777777" w:rsidR="00BE5362" w:rsidRPr="002E39B9" w:rsidRDefault="00000000" w:rsidP="002E39B9">
            <w:r w:rsidRPr="002E39B9">
              <w:t>Résultat</w:t>
            </w:r>
          </w:p>
        </w:tc>
      </w:tr>
      <w:tr w:rsidR="00BE5362" w:rsidRPr="002E39B9" w14:paraId="3CB5B572" w14:textId="77777777">
        <w:trPr>
          <w:cantSplit/>
        </w:trPr>
        <w:tc>
          <w:tcPr>
            <w:tcW w:w="2900" w:type="dxa"/>
            <w:shd w:val="clear" w:color="auto" w:fill="FFFFFF"/>
          </w:tcPr>
          <w:p w14:paraId="71C3FB5D" w14:textId="77777777" w:rsidR="00BE5362" w:rsidRPr="002E39B9" w:rsidRDefault="00000000" w:rsidP="002E39B9">
            <w:r w:rsidRPr="002E39B9">
              <w:t>Syntaxe JavaScript</w:t>
            </w:r>
          </w:p>
        </w:tc>
        <w:tc>
          <w:tcPr>
            <w:tcW w:w="6170" w:type="dxa"/>
            <w:shd w:val="clear" w:color="auto" w:fill="FFFFFF"/>
          </w:tcPr>
          <w:p w14:paraId="068F261C" w14:textId="77777777" w:rsidR="00BE5362" w:rsidRPr="002E39B9" w:rsidRDefault="00000000" w:rsidP="002E39B9">
            <w:proofErr w:type="spellStart"/>
            <w:proofErr w:type="gramStart"/>
            <w:r w:rsidRPr="002E39B9">
              <w:t>node</w:t>
            </w:r>
            <w:proofErr w:type="spellEnd"/>
            <w:proofErr w:type="gramEnd"/>
            <w:r w:rsidRPr="002E39B9">
              <w:t xml:space="preserve"> --check réussit pour faso.js, docs.js et faso-amorce.js.</w:t>
            </w:r>
          </w:p>
        </w:tc>
      </w:tr>
      <w:tr w:rsidR="00BE5362" w:rsidRPr="002E39B9" w14:paraId="230CF2B6" w14:textId="77777777">
        <w:trPr>
          <w:cantSplit/>
        </w:trPr>
        <w:tc>
          <w:tcPr>
            <w:tcW w:w="2900" w:type="dxa"/>
            <w:shd w:val="clear" w:color="auto" w:fill="F7F9F7"/>
          </w:tcPr>
          <w:p w14:paraId="21FEB5E0" w14:textId="77777777" w:rsidR="00BE5362" w:rsidRPr="002E39B9" w:rsidRDefault="00000000" w:rsidP="002E39B9">
            <w:r w:rsidRPr="002E39B9">
              <w:t xml:space="preserve">Conditionnement </w:t>
            </w:r>
            <w:proofErr w:type="spellStart"/>
            <w:r w:rsidRPr="002E39B9">
              <w:t>npm</w:t>
            </w:r>
            <w:proofErr w:type="spellEnd"/>
          </w:p>
        </w:tc>
        <w:tc>
          <w:tcPr>
            <w:tcW w:w="6170" w:type="dxa"/>
            <w:shd w:val="clear" w:color="auto" w:fill="F7F9F7"/>
          </w:tcPr>
          <w:p w14:paraId="43941596" w14:textId="77777777" w:rsidR="00BE5362" w:rsidRPr="002E39B9" w:rsidRDefault="00000000" w:rsidP="002E39B9">
            <w:proofErr w:type="spellStart"/>
            <w:proofErr w:type="gramStart"/>
            <w:r w:rsidRPr="002E39B9">
              <w:t>npm</w:t>
            </w:r>
            <w:proofErr w:type="spellEnd"/>
            <w:proofErr w:type="gramEnd"/>
            <w:r w:rsidRPr="002E39B9">
              <w:t xml:space="preserve"> pack --dry-run --</w:t>
            </w:r>
            <w:proofErr w:type="spellStart"/>
            <w:r w:rsidRPr="002E39B9">
              <w:t>json</w:t>
            </w:r>
            <w:proofErr w:type="spellEnd"/>
            <w:r w:rsidRPr="002E39B9">
              <w:t xml:space="preserve"> --ignore-scripts réussit : 17 fichiers, environ 201 Ko compressés et 587 Ko décompressés. Aucune publication réalisée.</w:t>
            </w:r>
          </w:p>
        </w:tc>
      </w:tr>
      <w:tr w:rsidR="00BE5362" w:rsidRPr="002E39B9" w14:paraId="62B87729" w14:textId="77777777">
        <w:trPr>
          <w:cantSplit/>
        </w:trPr>
        <w:tc>
          <w:tcPr>
            <w:tcW w:w="2900" w:type="dxa"/>
            <w:shd w:val="clear" w:color="auto" w:fill="FFFFFF"/>
          </w:tcPr>
          <w:p w14:paraId="42C7F414" w14:textId="77777777" w:rsidR="00BE5362" w:rsidRPr="002E39B9" w:rsidRDefault="00000000" w:rsidP="002E39B9">
            <w:r w:rsidRPr="002E39B9">
              <w:t>API sans navigateur</w:t>
            </w:r>
          </w:p>
        </w:tc>
        <w:tc>
          <w:tcPr>
            <w:tcW w:w="6170" w:type="dxa"/>
            <w:shd w:val="clear" w:color="auto" w:fill="FFFFFF"/>
          </w:tcPr>
          <w:p w14:paraId="0BEB7371" w14:textId="77777777" w:rsidR="00BE5362" w:rsidRPr="002E39B9" w:rsidRDefault="00000000" w:rsidP="002E39B9">
            <w:r w:rsidRPr="002E39B9">
              <w:t xml:space="preserve">Import, </w:t>
            </w:r>
            <w:proofErr w:type="gramStart"/>
            <w:r w:rsidRPr="002E39B9">
              <w:t>initialiser(</w:t>
            </w:r>
            <w:proofErr w:type="gramEnd"/>
            <w:r w:rsidRPr="002E39B9">
              <w:t xml:space="preserve">), observer() et notifier() utilisables dans l’essai ; </w:t>
            </w:r>
            <w:proofErr w:type="spellStart"/>
            <w:r w:rsidRPr="002E39B9">
              <w:t>appliquerTheme</w:t>
            </w:r>
            <w:proofErr w:type="spellEnd"/>
            <w:r w:rsidRPr="002E39B9">
              <w:t xml:space="preserve">() lève </w:t>
            </w:r>
            <w:proofErr w:type="spellStart"/>
            <w:r w:rsidRPr="002E39B9">
              <w:t>ReferenceError</w:t>
            </w:r>
            <w:proofErr w:type="spellEnd"/>
            <w:r w:rsidRPr="002E39B9">
              <w:t>.</w:t>
            </w:r>
          </w:p>
        </w:tc>
      </w:tr>
      <w:tr w:rsidR="00BE5362" w:rsidRPr="002E39B9" w14:paraId="7CBEC823" w14:textId="77777777">
        <w:trPr>
          <w:cantSplit/>
        </w:trPr>
        <w:tc>
          <w:tcPr>
            <w:tcW w:w="2900" w:type="dxa"/>
            <w:shd w:val="clear" w:color="auto" w:fill="F7F9F7"/>
          </w:tcPr>
          <w:p w14:paraId="59C05A2D" w14:textId="77777777" w:rsidR="00BE5362" w:rsidRPr="002E39B9" w:rsidRDefault="00000000" w:rsidP="002E39B9">
            <w:r w:rsidRPr="002E39B9">
              <w:lastRenderedPageBreak/>
              <w:t>Contrastes calculés</w:t>
            </w:r>
          </w:p>
        </w:tc>
        <w:tc>
          <w:tcPr>
            <w:tcW w:w="6170" w:type="dxa"/>
            <w:shd w:val="clear" w:color="auto" w:fill="F7F9F7"/>
          </w:tcPr>
          <w:p w14:paraId="43505AF9" w14:textId="77777777" w:rsidR="00BE5362" w:rsidRPr="002E39B9" w:rsidRDefault="00000000" w:rsidP="002E39B9">
            <w:r w:rsidRPr="002E39B9">
              <w:t>Bordure de champ sur blanc : 1,</w:t>
            </w:r>
            <w:proofErr w:type="gramStart"/>
            <w:r w:rsidRPr="002E39B9">
              <w:t>66:</w:t>
            </w:r>
            <w:proofErr w:type="gramEnd"/>
            <w:r w:rsidRPr="002E39B9">
              <w:t>1 ; texte secondaire sur blanc : 4,16:1 ; sur surface enfoncée : 3,82:1 ; blanc sur vert d’action : 4,81:1.</w:t>
            </w:r>
          </w:p>
        </w:tc>
      </w:tr>
      <w:tr w:rsidR="00BE5362" w:rsidRPr="002E39B9" w14:paraId="0D79826A" w14:textId="77777777">
        <w:trPr>
          <w:cantSplit/>
        </w:trPr>
        <w:tc>
          <w:tcPr>
            <w:tcW w:w="2900" w:type="dxa"/>
            <w:shd w:val="clear" w:color="auto" w:fill="FFFFFF"/>
          </w:tcPr>
          <w:p w14:paraId="3E10E412" w14:textId="77777777" w:rsidR="00BE5362" w:rsidRPr="002E39B9" w:rsidRDefault="00000000" w:rsidP="002E39B9">
            <w:r w:rsidRPr="002E39B9">
              <w:t xml:space="preserve">Compilation </w:t>
            </w:r>
            <w:proofErr w:type="spellStart"/>
            <w:r w:rsidRPr="002E39B9">
              <w:t>Angular</w:t>
            </w:r>
            <w:proofErr w:type="spellEnd"/>
            <w:r w:rsidRPr="002E39B9">
              <w:t xml:space="preserve"> ciblée</w:t>
            </w:r>
          </w:p>
        </w:tc>
        <w:tc>
          <w:tcPr>
            <w:tcW w:w="6170" w:type="dxa"/>
            <w:shd w:val="clear" w:color="auto" w:fill="FFFFFF"/>
          </w:tcPr>
          <w:p w14:paraId="290A5C09" w14:textId="77777777" w:rsidR="00BE5362" w:rsidRPr="002E39B9" w:rsidRDefault="00000000" w:rsidP="002E39B9">
            <w:proofErr w:type="spellStart"/>
            <w:r w:rsidRPr="002E39B9">
              <w:t>Angular</w:t>
            </w:r>
            <w:proofErr w:type="spellEnd"/>
            <w:r w:rsidRPr="002E39B9">
              <w:t xml:space="preserve"> 22.1.4 / </w:t>
            </w:r>
            <w:proofErr w:type="spellStart"/>
            <w:r w:rsidRPr="002E39B9">
              <w:t>TypeScript</w:t>
            </w:r>
            <w:proofErr w:type="spellEnd"/>
            <w:r w:rsidRPr="002E39B9">
              <w:t xml:space="preserve"> 6.0.3 : erreur Event → </w:t>
            </w:r>
            <w:proofErr w:type="spellStart"/>
            <w:r w:rsidRPr="002E39B9">
              <w:t>CustomEvent</w:t>
            </w:r>
            <w:proofErr w:type="spellEnd"/>
            <w:r w:rsidRPr="002E39B9">
              <w:t xml:space="preserve"> reproduite avec </w:t>
            </w:r>
            <w:proofErr w:type="spellStart"/>
            <w:r w:rsidRPr="002E39B9">
              <w:t>strictTemplates</w:t>
            </w:r>
            <w:proofErr w:type="spellEnd"/>
            <w:r w:rsidRPr="002E39B9">
              <w:t>.</w:t>
            </w:r>
          </w:p>
        </w:tc>
      </w:tr>
      <w:tr w:rsidR="00BE5362" w:rsidRPr="002E39B9" w14:paraId="22C3397D" w14:textId="77777777">
        <w:trPr>
          <w:cantSplit/>
        </w:trPr>
        <w:tc>
          <w:tcPr>
            <w:tcW w:w="2900" w:type="dxa"/>
            <w:shd w:val="clear" w:color="auto" w:fill="F7F9F7"/>
          </w:tcPr>
          <w:p w14:paraId="098CD861" w14:textId="77777777" w:rsidR="00BE5362" w:rsidRPr="002E39B9" w:rsidRDefault="00000000" w:rsidP="002E39B9">
            <w:r w:rsidRPr="002E39B9">
              <w:t>Onglets dynamiques</w:t>
            </w:r>
          </w:p>
        </w:tc>
        <w:tc>
          <w:tcPr>
            <w:tcW w:w="6170" w:type="dxa"/>
            <w:shd w:val="clear" w:color="auto" w:fill="F7F9F7"/>
          </w:tcPr>
          <w:p w14:paraId="7B55B9BB" w14:textId="77777777" w:rsidR="00BE5362" w:rsidRPr="002E39B9" w:rsidRDefault="00000000" w:rsidP="002E39B9">
            <w:r w:rsidRPr="002E39B9">
              <w:t>Dans un DOM simulé : événement émis par l’onglet initial ; aucun événement émis par l’onglet ajouté après réinitialisation.</w:t>
            </w:r>
          </w:p>
        </w:tc>
      </w:tr>
      <w:tr w:rsidR="00BE5362" w:rsidRPr="002E39B9" w14:paraId="11C140B7" w14:textId="77777777">
        <w:trPr>
          <w:cantSplit/>
        </w:trPr>
        <w:tc>
          <w:tcPr>
            <w:tcW w:w="2900" w:type="dxa"/>
            <w:shd w:val="clear" w:color="auto" w:fill="FFFFFF"/>
          </w:tcPr>
          <w:p w14:paraId="3681424F" w14:textId="77777777" w:rsidR="00BE5362" w:rsidRPr="002E39B9" w:rsidRDefault="00000000" w:rsidP="002E39B9">
            <w:r w:rsidRPr="002E39B9">
              <w:t>Cohérence des jetons</w:t>
            </w:r>
          </w:p>
        </w:tc>
        <w:tc>
          <w:tcPr>
            <w:tcW w:w="6170" w:type="dxa"/>
            <w:shd w:val="clear" w:color="auto" w:fill="FFFFFF"/>
          </w:tcPr>
          <w:p w14:paraId="17D998A2" w14:textId="77777777" w:rsidR="00BE5362" w:rsidRPr="002E39B9" w:rsidRDefault="00000000" w:rsidP="002E39B9">
            <w:r w:rsidRPr="002E39B9">
              <w:t xml:space="preserve">Divergence confirmée sur police-mono entre tokens.css et </w:t>
            </w:r>
            <w:proofErr w:type="spellStart"/>
            <w:proofErr w:type="gramStart"/>
            <w:r w:rsidRPr="002E39B9">
              <w:t>jetons.json</w:t>
            </w:r>
            <w:proofErr w:type="spellEnd"/>
            <w:proofErr w:type="gramEnd"/>
            <w:r w:rsidRPr="002E39B9">
              <w:t>.</w:t>
            </w:r>
          </w:p>
        </w:tc>
      </w:tr>
    </w:tbl>
    <w:p w14:paraId="3DDC795B" w14:textId="77777777" w:rsidR="00BE5362" w:rsidRPr="002E39B9" w:rsidRDefault="00BE5362" w:rsidP="002E39B9"/>
    <w:p w14:paraId="4E287FD5" w14:textId="77777777" w:rsidR="00BE5362" w:rsidRPr="002E39B9" w:rsidRDefault="00000000" w:rsidP="002E39B9">
      <w:r w:rsidRPr="002E39B9">
        <w:t>Limites : aucun parcours fonctionnel complet dans un navigateur, aucun test avec lecteur d’écran et aucune validation SSR de bout en bout n’ont été réalisés. Les simulations DOM ne remplacent pas les tests navigateur. Les risques d’hydratation et de démontage identifiés par lecture du code restent à reproduire dans l’application de référence.</w:t>
      </w:r>
    </w:p>
    <w:p w14:paraId="02BCFE2D" w14:textId="77777777" w:rsidR="00BE5362" w:rsidRPr="002E39B9" w:rsidRDefault="00000000" w:rsidP="002E39B9">
      <w:r w:rsidRPr="002E39B9">
        <w:t>Les références aux lignes correspondent à l’état du projet examiné le 23 septembre 2026 ; elles peuvent se décaler après modification des fichiers.</w:t>
      </w:r>
    </w:p>
    <w:p w14:paraId="276FB820" w14:textId="77777777" w:rsidR="00BE5362" w:rsidRPr="002E39B9" w:rsidRDefault="00000000" w:rsidP="002E39B9">
      <w:r w:rsidRPr="002E39B9">
        <w:t>7. Ordre de travail proposé</w:t>
      </w:r>
    </w:p>
    <w:p w14:paraId="03F76AD0" w14:textId="77777777" w:rsidR="00BE5362" w:rsidRPr="002E39B9" w:rsidRDefault="00000000" w:rsidP="002E39B9">
      <w:r w:rsidRPr="002E39B9">
        <w:t xml:space="preserve">•  Étape 1 — Corrections prioritaires. Corriger les contrastes, l’export CSV, la protection serveur de l’API et l’exemple </w:t>
      </w:r>
      <w:proofErr w:type="spellStart"/>
      <w:r w:rsidRPr="002E39B9">
        <w:t>Angular</w:t>
      </w:r>
      <w:proofErr w:type="spellEnd"/>
      <w:r w:rsidRPr="002E39B9">
        <w:t xml:space="preserve"> en typage strict. Ajuster les affirmations de conformité aux résultats effectivement établis.</w:t>
      </w:r>
    </w:p>
    <w:p w14:paraId="45C9671B" w14:textId="77777777" w:rsidR="00BE5362" w:rsidRPr="002E39B9" w:rsidRDefault="00000000" w:rsidP="002E39B9">
      <w:r w:rsidRPr="002E39B9">
        <w:t xml:space="preserve">•  Étape 2 — Fiabilisation </w:t>
      </w:r>
      <w:proofErr w:type="spellStart"/>
      <w:r w:rsidRPr="002E39B9">
        <w:t>Angular</w:t>
      </w:r>
      <w:proofErr w:type="spellEnd"/>
      <w:r w:rsidRPr="002E39B9">
        <w:t xml:space="preserve">. Maîtriser l’initialisation et le démontage, corriger les composants dynamiques, puis créer l’application </w:t>
      </w:r>
      <w:proofErr w:type="spellStart"/>
      <w:r w:rsidRPr="002E39B9">
        <w:t>Angular</w:t>
      </w:r>
      <w:proofErr w:type="spellEnd"/>
      <w:r w:rsidRPr="002E39B9">
        <w:t xml:space="preserve"> de référence avec les tests correspondants.</w:t>
      </w:r>
    </w:p>
    <w:p w14:paraId="5A8563D4" w14:textId="77777777" w:rsidR="00BE5362" w:rsidRPr="002E39B9" w:rsidRDefault="00000000" w:rsidP="002E39B9">
      <w:r w:rsidRPr="002E39B9">
        <w:t>•  Étape 3 — Préparation à la généralisation. Finaliser l’audit d’accessibilité, la gouvernance, les conditions de licence et les ressources institutionnelles. Automatiser la génération des jetons et documenter les langues prises en charge.</w:t>
      </w:r>
    </w:p>
    <w:p w14:paraId="4A53A0DE" w14:textId="77777777" w:rsidR="00BE5362" w:rsidRPr="002E39B9" w:rsidRDefault="00000000" w:rsidP="002E39B9">
      <w:r w:rsidRPr="002E39B9">
        <w:t>La généralisation doit s’appuyer sur des résultats reproductibles, des responsabilités identifiées et des exemples d’intégration exécutables.</w:t>
      </w:r>
    </w:p>
    <w:p w14:paraId="054F5139" w14:textId="77777777" w:rsidR="00BE5362" w:rsidRPr="002E39B9" w:rsidRDefault="00000000" w:rsidP="002E39B9">
      <w:r w:rsidRPr="002E39B9">
        <w:t>8. Sources de référence</w:t>
      </w:r>
    </w:p>
    <w:p w14:paraId="4EEBB2C0" w14:textId="77777777" w:rsidR="00BE5362" w:rsidRPr="002E39B9" w:rsidRDefault="00000000" w:rsidP="002E39B9">
      <w:r w:rsidRPr="002E39B9">
        <w:t>Les constats sur le projet proviennent des fichiers cités dans ce document. Les sources externes suivantes étayent les exigences techniques et les recommandations :</w:t>
      </w:r>
    </w:p>
    <w:p w14:paraId="43354EAF" w14:textId="77777777" w:rsidR="00BE5362" w:rsidRPr="002E39B9" w:rsidRDefault="00000000" w:rsidP="002E39B9">
      <w:pPr>
        <w:rPr>
          <w:lang w:val="en-US"/>
        </w:rPr>
      </w:pPr>
      <w:hyperlink r:id="rId6">
        <w:r w:rsidRPr="002E39B9">
          <w:rPr>
            <w:rStyle w:val="Lienhypertexte"/>
            <w:lang w:val="en-US"/>
          </w:rPr>
          <w:t>W3C — Web Content Accessibility Guidelines (WCAG)</w:t>
        </w:r>
      </w:hyperlink>
    </w:p>
    <w:p w14:paraId="6F186EBB" w14:textId="77777777" w:rsidR="00BE5362" w:rsidRPr="002E39B9" w:rsidRDefault="00000000" w:rsidP="002E39B9">
      <w:hyperlink r:id="rId7">
        <w:r w:rsidRPr="002E39B9">
          <w:rPr>
            <w:rStyle w:val="Lienhypertexte"/>
          </w:rPr>
          <w:t>W3C — Comprendre le contraste des éléments non textuels</w:t>
        </w:r>
      </w:hyperlink>
    </w:p>
    <w:p w14:paraId="175CF000" w14:textId="77777777" w:rsidR="00BE5362" w:rsidRPr="002E39B9" w:rsidRDefault="00000000" w:rsidP="002E39B9">
      <w:pPr>
        <w:rPr>
          <w:lang w:val="en-US"/>
        </w:rPr>
      </w:pPr>
      <w:hyperlink r:id="rId8">
        <w:r w:rsidRPr="002E39B9">
          <w:rPr>
            <w:rStyle w:val="Lienhypertexte"/>
            <w:lang w:val="en-US"/>
          </w:rPr>
          <w:t>OWASP — CSV Injection</w:t>
        </w:r>
      </w:hyperlink>
    </w:p>
    <w:p w14:paraId="636FF169" w14:textId="77777777" w:rsidR="00BE5362" w:rsidRPr="002E39B9" w:rsidRDefault="00000000" w:rsidP="002E39B9">
      <w:pPr>
        <w:rPr>
          <w:lang w:val="en-US"/>
        </w:rPr>
      </w:pPr>
      <w:hyperlink r:id="rId9">
        <w:r w:rsidRPr="002E39B9">
          <w:rPr>
            <w:rStyle w:val="Lienhypertexte"/>
            <w:lang w:val="en-US"/>
          </w:rPr>
          <w:t>Angular — Hydration</w:t>
        </w:r>
      </w:hyperlink>
    </w:p>
    <w:p w14:paraId="588D38F0" w14:textId="77777777" w:rsidR="00BE5362" w:rsidRPr="002E39B9" w:rsidRDefault="00000000" w:rsidP="002E39B9">
      <w:pPr>
        <w:rPr>
          <w:lang w:val="en-US"/>
        </w:rPr>
      </w:pPr>
      <w:hyperlink r:id="rId10">
        <w:r w:rsidRPr="002E39B9">
          <w:rPr>
            <w:rStyle w:val="Lienhypertexte"/>
            <w:lang w:val="en-US"/>
          </w:rPr>
          <w:t xml:space="preserve">Angular — </w:t>
        </w:r>
        <w:proofErr w:type="spellStart"/>
        <w:r w:rsidRPr="002E39B9">
          <w:rPr>
            <w:rStyle w:val="Lienhypertexte"/>
            <w:lang w:val="en-US"/>
          </w:rPr>
          <w:t>afterNextRender</w:t>
        </w:r>
        <w:proofErr w:type="spellEnd"/>
      </w:hyperlink>
    </w:p>
    <w:p w14:paraId="3CCE2954" w14:textId="77777777" w:rsidR="00BE5362" w:rsidRPr="002E39B9" w:rsidRDefault="00000000" w:rsidP="002E39B9">
      <w:hyperlink r:id="rId11">
        <w:proofErr w:type="spellStart"/>
        <w:r w:rsidRPr="002E39B9">
          <w:rPr>
            <w:rStyle w:val="Lienhypertexte"/>
          </w:rPr>
          <w:t>Angular</w:t>
        </w:r>
        <w:proofErr w:type="spellEnd"/>
        <w:r w:rsidRPr="002E39B9">
          <w:rPr>
            <w:rStyle w:val="Lienhypertexte"/>
          </w:rPr>
          <w:t xml:space="preserve"> — Template type checking</w:t>
        </w:r>
      </w:hyperlink>
    </w:p>
    <w:sectPr w:rsidR="00BE5362" w:rsidRPr="002E39B9">
      <w:footerReference w:type="default" r:id="rId12"/>
      <w:pgSz w:w="11906" w:h="16838"/>
      <w:pgMar w:top="1134" w:right="1417" w:bottom="1134" w:left="1417"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0821F8" w14:textId="77777777" w:rsidR="00B0468E" w:rsidRDefault="00B0468E">
      <w:pPr>
        <w:spacing w:after="0" w:line="240" w:lineRule="auto"/>
      </w:pPr>
      <w:r>
        <w:separator/>
      </w:r>
    </w:p>
  </w:endnote>
  <w:endnote w:type="continuationSeparator" w:id="0">
    <w:p w14:paraId="05A06A93" w14:textId="77777777" w:rsidR="00B0468E" w:rsidRDefault="00B04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1C274" w14:textId="77777777" w:rsidR="00BE5362" w:rsidRDefault="00000000">
    <w:pPr>
      <w:jc w:val="right"/>
    </w:pPr>
    <w:r>
      <w:rPr>
        <w:color w:val="526459"/>
        <w:sz w:val="18"/>
      </w:rPr>
      <w:t xml:space="preserve">23 septembre 2026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EAAE2" w14:textId="77777777" w:rsidR="00B0468E" w:rsidRDefault="00B0468E">
      <w:pPr>
        <w:spacing w:after="0" w:line="240" w:lineRule="auto"/>
      </w:pPr>
      <w:r>
        <w:separator/>
      </w:r>
    </w:p>
  </w:footnote>
  <w:footnote w:type="continuationSeparator" w:id="0">
    <w:p w14:paraId="157B7961" w14:textId="77777777" w:rsidR="00B0468E" w:rsidRDefault="00B046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5362"/>
    <w:rsid w:val="002E39B9"/>
    <w:rsid w:val="004716F1"/>
    <w:rsid w:val="00823420"/>
    <w:rsid w:val="00B0468E"/>
    <w:rsid w:val="00BE5362"/>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80709"/>
  <w15:docId w15:val="{910A19A4-16BC-4E61-B034-1798C74AB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color w:val="243028"/>
        <w:sz w:val="22"/>
        <w:lang w:val="fr-FR" w:eastAsia="fr-BF" w:bidi="ar-SA"/>
      </w:rPr>
    </w:rPrDefault>
    <w:pPrDefault>
      <w:pPr>
        <w:spacing w:after="140" w:line="27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280"/>
      <w:outlineLvl w:val="0"/>
    </w:pPr>
    <w:rPr>
      <w:b/>
      <w:color w:val="045527"/>
      <w:sz w:val="29"/>
    </w:rPr>
  </w:style>
  <w:style w:type="paragraph" w:styleId="Titre2">
    <w:name w:val="heading 2"/>
    <w:basedOn w:val="Normal"/>
    <w:next w:val="Normal"/>
    <w:uiPriority w:val="9"/>
    <w:unhideWhenUsed/>
    <w:qFormat/>
    <w:pPr>
      <w:keepNext/>
      <w:keepLines/>
      <w:spacing w:before="200" w:after="100"/>
      <w:outlineLvl w:val="1"/>
    </w:pPr>
    <w:rPr>
      <w:b/>
      <w:color w:val="045527"/>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uiPriority w:val="10"/>
    <w:qFormat/>
    <w:pPr>
      <w:keepNext/>
      <w:spacing w:before="220" w:after="200"/>
    </w:pPr>
    <w:rPr>
      <w:b/>
      <w:color w:val="045527"/>
      <w:sz w:val="42"/>
    </w:rPr>
  </w:style>
  <w:style w:type="paragraph" w:styleId="Sous-titre">
    <w:name w:val="Subtitle"/>
    <w:basedOn w:val="Normal"/>
    <w:uiPriority w:val="11"/>
    <w:qFormat/>
    <w:pPr>
      <w:keepNext/>
    </w:pPr>
    <w:rPr>
      <w:color w:val="526459"/>
      <w:sz w:val="24"/>
    </w:rPr>
  </w:style>
  <w:style w:type="paragraph" w:customStyle="1" w:styleId="Reference">
    <w:name w:val="Reference"/>
    <w:basedOn w:val="Normal"/>
    <w:pPr>
      <w:spacing w:after="120"/>
    </w:pPr>
    <w:rPr>
      <w:color w:val="526459"/>
      <w:sz w:val="19"/>
    </w:rPr>
  </w:style>
  <w:style w:type="paragraph" w:customStyle="1" w:styleId="Bullet">
    <w:name w:val="Bullet"/>
    <w:basedOn w:val="Normal"/>
    <w:pPr>
      <w:ind w:left="220" w:hanging="220"/>
    </w:pPr>
  </w:style>
  <w:style w:type="paragraph" w:customStyle="1" w:styleId="Code">
    <w:name w:val="Code"/>
    <w:basedOn w:val="Normal"/>
    <w:pPr>
      <w:shd w:val="clear" w:color="auto" w:fill="F1F4F1"/>
      <w:spacing w:before="80"/>
    </w:pPr>
    <w:rPr>
      <w:rFonts w:ascii="Consolas" w:hAnsi="Consolas"/>
      <w:sz w:val="18"/>
    </w:rPr>
  </w:style>
  <w:style w:type="paragraph" w:customStyle="1" w:styleId="TableText">
    <w:name w:val="Table Text"/>
    <w:basedOn w:val="Normal"/>
    <w:pPr>
      <w:spacing w:after="60" w:line="240" w:lineRule="auto"/>
    </w:pPr>
    <w:rPr>
      <w:sz w:val="20"/>
    </w:rPr>
  </w:style>
  <w:style w:type="character" w:styleId="Lienhypertexte">
    <w:name w:val="Hyperlink"/>
    <w:rPr>
      <w:color w:val="045527"/>
      <w:u w:val="single"/>
    </w:rPr>
  </w:style>
  <w:style w:type="paragraph" w:styleId="En-tte">
    <w:name w:val="header"/>
    <w:basedOn w:val="Normal"/>
    <w:link w:val="En-tteCar"/>
    <w:uiPriority w:val="99"/>
    <w:unhideWhenUsed/>
    <w:rsid w:val="002E39B9"/>
    <w:pPr>
      <w:tabs>
        <w:tab w:val="center" w:pos="4536"/>
        <w:tab w:val="right" w:pos="9072"/>
      </w:tabs>
      <w:spacing w:after="0" w:line="240" w:lineRule="auto"/>
    </w:pPr>
  </w:style>
  <w:style w:type="character" w:customStyle="1" w:styleId="En-tteCar">
    <w:name w:val="En-tête Car"/>
    <w:basedOn w:val="Policepardfaut"/>
    <w:link w:val="En-tte"/>
    <w:uiPriority w:val="99"/>
    <w:rsid w:val="002E39B9"/>
  </w:style>
  <w:style w:type="paragraph" w:styleId="Pieddepage">
    <w:name w:val="footer"/>
    <w:basedOn w:val="Normal"/>
    <w:link w:val="PieddepageCar"/>
    <w:uiPriority w:val="99"/>
    <w:unhideWhenUsed/>
    <w:rsid w:val="002E39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E39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community.owasp.org/attacks/CSV_Injection"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w3.org/WAI/WCAG22/Understanding/non-text-contrast"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3.org/TR/wcag/" TargetMode="External"/><Relationship Id="rId11" Type="http://schemas.openxmlformats.org/officeDocument/2006/relationships/hyperlink" Target="https://angular.dev/tools/cli/template-typecheck" TargetMode="External"/><Relationship Id="rId5" Type="http://schemas.openxmlformats.org/officeDocument/2006/relationships/endnotes" Target="endnotes.xml"/><Relationship Id="rId10" Type="http://schemas.openxmlformats.org/officeDocument/2006/relationships/hyperlink" Target="https://angular.dev/api/core/afterNextRender" TargetMode="External"/><Relationship Id="rId4" Type="http://schemas.openxmlformats.org/officeDocument/2006/relationships/footnotes" Target="footnotes.xml"/><Relationship Id="rId9" Type="http://schemas.openxmlformats.org/officeDocument/2006/relationships/hyperlink" Target="https://angular.dev/guide/hydration"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2330</Words>
  <Characters>13282</Characters>
  <Application>Microsoft Office Word</Application>
  <DocSecurity>0</DocSecurity>
  <Lines>110</Lines>
  <Paragraphs>31</Paragraphs>
  <ScaleCrop>false</ScaleCrop>
  <Company/>
  <LinksUpToDate>false</LinksUpToDate>
  <CharactersWithSpaces>15581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Bilan technique et corrections prioritaires — Charte graphique de l’administration burkinabè</dc:title>
  <dc:subject>Socle de conception et intégration Angular</dc:subject>
  <dc:creator>Codex</dc:creator>
  <cp:lastModifiedBy>Aboudramane DIARRA</cp:lastModifiedBy>
  <cp:revision>4</cp:revision>
  <dcterms:created xsi:type="dcterms:W3CDTF">2026-09-23T12:27:00Z</dcterms:created>
  <dcterms:modified xsi:type="dcterms:W3CDTF">2026-09-23T12:31:00Z</dcterms:modified>
  <dc:language>fr-FR</dc:language>
</cp:coreProperties>
</file>