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7E0ED" w14:textId="33A88138" w:rsidR="00BE4EBD" w:rsidRDefault="002E708C" w:rsidP="00135C8D">
      <w:pPr>
        <w:tabs>
          <w:tab w:val="left" w:pos="90"/>
        </w:tabs>
        <w:rPr>
          <w:rFonts w:ascii="Azo Sans Md" w:hAnsi="Azo Sans Md"/>
          <w:b/>
          <w:bCs/>
          <w:sz w:val="48"/>
          <w:szCs w:val="48"/>
        </w:rPr>
      </w:pPr>
      <w:r>
        <w:rPr>
          <w:rFonts w:ascii="Azo Sans Md" w:hAnsi="Azo Sans Md"/>
          <w:b/>
          <w:bCs/>
          <w:noProof/>
          <w:sz w:val="48"/>
          <w:szCs w:val="48"/>
        </w:rPr>
        <w:drawing>
          <wp:anchor distT="0" distB="0" distL="114300" distR="114300" simplePos="0" relativeHeight="251658239" behindDoc="0" locked="0" layoutInCell="1" allowOverlap="1" wp14:anchorId="10B9895C" wp14:editId="1D5E4EAA">
            <wp:simplePos x="0" y="0"/>
            <wp:positionH relativeFrom="page">
              <wp:align>right</wp:align>
            </wp:positionH>
            <wp:positionV relativeFrom="paragraph">
              <wp:posOffset>0</wp:posOffset>
            </wp:positionV>
            <wp:extent cx="7776210" cy="4914900"/>
            <wp:effectExtent l="0" t="0" r="0" b="0"/>
            <wp:wrapTopAndBottom/>
            <wp:docPr id="167415143" name="Picture 2" descr="A bus parked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5143" name="Picture 2" descr="A bus parked on the road&#10;&#10;Description automatically generated"/>
                    <pic:cNvPicPr/>
                  </pic:nvPicPr>
                  <pic:blipFill rotWithShape="1">
                    <a:blip r:embed="rId7">
                      <a:extLst>
                        <a:ext uri="{28A0092B-C50C-407E-A947-70E740481C1C}">
                          <a14:useLocalDpi xmlns:a14="http://schemas.microsoft.com/office/drawing/2010/main" val="0"/>
                        </a:ext>
                      </a:extLst>
                    </a:blip>
                    <a:srcRect b="2801"/>
                    <a:stretch/>
                  </pic:blipFill>
                  <pic:spPr bwMode="auto">
                    <a:xfrm>
                      <a:off x="0" y="0"/>
                      <a:ext cx="7776210" cy="491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DAE">
        <w:rPr>
          <w:noProof/>
        </w:rPr>
        <w:pict w14:anchorId="6A438404">
          <v:rect id="Rectangle 1215922653" o:spid="_x0000_s1027" alt="rectangle" style="position:absolute;left:0;text-align:left;margin-left:0;margin-top:-71.8pt;width:612.3pt;height:1in;z-index:-2516551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" fillcolor="#2b5258" stroked="f" strokeweight="1pt">
            <v:textbox>
              <w:txbxContent>
                <w:p w14:paraId="468E15BA" w14:textId="18541454" w:rsidR="00135C8D" w:rsidRPr="00CC3ED5" w:rsidRDefault="00135C8D" w:rsidP="002E708C">
                  <w:pPr>
                    <w:tabs>
                      <w:tab w:val="left" w:pos="1260"/>
                      <w:tab w:val="left" w:pos="9630"/>
                    </w:tabs>
                    <w:ind w:left="720" w:right="2310" w:firstLine="720"/>
                    <w:jc w:val="left"/>
                    <w:rPr>
                      <w:rFonts w:ascii="Azo Sans" w:hAnsi="Azo Sans"/>
                      <w:color w:val="FFFFFF" w:themeColor="background1"/>
                      <w:sz w:val="28"/>
                      <w:szCs w:val="28"/>
                    </w:rPr>
                  </w:pPr>
                  <w:r w:rsidRPr="00CC3ED5">
                    <w:rPr>
                      <w:rFonts w:ascii="Azo Sans" w:hAnsi="Azo Sans"/>
                      <w:color w:val="FFFFFF" w:themeColor="background1"/>
                      <w:sz w:val="28"/>
                      <w:szCs w:val="28"/>
                    </w:rPr>
                    <w:t>December 2023</w:t>
                  </w:r>
                  <w:r w:rsidR="002E708C" w:rsidRPr="00CC3ED5">
                    <w:rPr>
                      <w:rFonts w:ascii="Azo Sans" w:hAnsi="Azo Sans"/>
                      <w:color w:val="FFFFFF" w:themeColor="background1"/>
                      <w:sz w:val="28"/>
                      <w:szCs w:val="28"/>
                    </w:rPr>
                    <w:t xml:space="preserve"> – GEO714</w:t>
                  </w:r>
                </w:p>
              </w:txbxContent>
            </v:textbox>
            <w10:wrap anchorx="page"/>
          </v:rect>
        </w:pict>
      </w:r>
      <w:r w:rsidR="00494DAE">
        <w:rPr>
          <w:noProof/>
        </w:rPr>
        <w:pict w14:anchorId="66D18E3C">
          <v:rect id="Rectangle 8" o:spid="_x0000_s1026" alt="rectangle" style="position:absolute;left:0;text-align:left;margin-left:561.1pt;margin-top:383.25pt;width:612.3pt;height:336.45pt;z-index:-25165721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" fillcolor="#404040 [2429]" stroked="f" strokeweight="1pt">
            <v:textbox>
              <w:txbxContent>
                <w:p w14:paraId="071905B1" w14:textId="71661883" w:rsidR="00135C8D" w:rsidRPr="00CC3ED5" w:rsidRDefault="00135C8D" w:rsidP="002E708C">
                  <w:pPr>
                    <w:tabs>
                      <w:tab w:val="left" w:pos="810"/>
                    </w:tabs>
                    <w:spacing w:line="276" w:lineRule="auto"/>
                    <w:ind w:left="1350" w:right="1140"/>
                    <w:jc w:val="left"/>
                    <w:rPr>
                      <w:rFonts w:ascii="Azo Sans Md" w:hAnsi="Azo Sans Md"/>
                      <w:b/>
                      <w:bCs/>
                      <w:color w:val="FFFFFF" w:themeColor="background1"/>
                      <w:sz w:val="48"/>
                      <w:szCs w:val="48"/>
                    </w:rPr>
                  </w:pPr>
                  <w:r w:rsidRPr="00CC3ED5">
                    <w:rPr>
                      <w:rFonts w:ascii="Azo Sans Md" w:hAnsi="Azo Sans Md"/>
                      <w:b/>
                      <w:bCs/>
                      <w:color w:val="FFFFFF" w:themeColor="background1"/>
                      <w:sz w:val="48"/>
                      <w:szCs w:val="48"/>
                    </w:rPr>
                    <w:t>Comparing job accessibility in diverse spatial patterns in the Greater Golden Horseshoe area, Ontario, Canada</w:t>
                  </w:r>
                </w:p>
                <w:p w14:paraId="04191991" w14:textId="77777777" w:rsidR="00316AD4" w:rsidRDefault="00316AD4" w:rsidP="002E708C">
                  <w:pPr>
                    <w:tabs>
                      <w:tab w:val="left" w:pos="810"/>
                    </w:tabs>
                    <w:ind w:left="1350" w:right="1140"/>
                    <w:rPr>
                      <w:rFonts w:ascii="Azo Sans Md" w:hAnsi="Azo Sans Md"/>
                      <w:b/>
                      <w:bCs/>
                      <w:sz w:val="48"/>
                      <w:szCs w:val="48"/>
                    </w:rPr>
                  </w:pPr>
                </w:p>
                <w:p w14:paraId="44356AE6" w14:textId="77777777" w:rsidR="00316AD4" w:rsidRPr="00CC3ED5" w:rsidRDefault="00316AD4" w:rsidP="002E708C">
                  <w:pPr>
                    <w:tabs>
                      <w:tab w:val="left" w:pos="810"/>
                    </w:tabs>
                    <w:ind w:left="1350" w:right="1140"/>
                    <w:rPr>
                      <w:b/>
                      <w:bCs/>
                      <w:color w:val="FFFFFF" w:themeColor="background1"/>
                      <w:sz w:val="24"/>
                      <w:szCs w:val="24"/>
                    </w:rPr>
                  </w:pPr>
                  <w:r w:rsidRPr="00CC3ED5">
                    <w:rPr>
                      <w:b/>
                      <w:bCs/>
                      <w:color w:val="FFFFFF" w:themeColor="background1"/>
                      <w:sz w:val="24"/>
                      <w:szCs w:val="24"/>
                    </w:rPr>
                    <w:t>Bruno Dias dos Santos</w:t>
                  </w:r>
                </w:p>
                <w:p w14:paraId="5052D1AB" w14:textId="77777777" w:rsidR="00316AD4" w:rsidRPr="00CC3ED5" w:rsidRDefault="00316AD4" w:rsidP="002E708C">
                  <w:pPr>
                    <w:tabs>
                      <w:tab w:val="left" w:pos="810"/>
                    </w:tabs>
                    <w:ind w:left="1350" w:right="1140"/>
                    <w:rPr>
                      <w:color w:val="FFFFFF" w:themeColor="background1"/>
                      <w:sz w:val="24"/>
                      <w:szCs w:val="24"/>
                    </w:rPr>
                  </w:pPr>
                  <w:r w:rsidRPr="00CC3ED5">
                    <w:rPr>
                      <w:color w:val="FFFFFF" w:themeColor="background1"/>
                      <w:sz w:val="24"/>
                      <w:szCs w:val="24"/>
                    </w:rPr>
                    <w:t>McMaster University</w:t>
                  </w:r>
                </w:p>
                <w:p w14:paraId="14427E57" w14:textId="77777777" w:rsidR="00316AD4" w:rsidRPr="00CC3ED5" w:rsidRDefault="00316AD4" w:rsidP="002E708C">
                  <w:pPr>
                    <w:tabs>
                      <w:tab w:val="left" w:pos="810"/>
                    </w:tabs>
                    <w:ind w:left="1350" w:right="1140"/>
                    <w:rPr>
                      <w:color w:val="FFFFFF" w:themeColor="background1"/>
                      <w:sz w:val="24"/>
                      <w:szCs w:val="24"/>
                    </w:rPr>
                  </w:pPr>
                  <w:r w:rsidRPr="00CC3ED5">
                    <w:rPr>
                      <w:color w:val="FFFFFF" w:themeColor="background1"/>
                      <w:sz w:val="24"/>
                      <w:szCs w:val="24"/>
                    </w:rPr>
                    <w:t>School of Earth, Environment and Society (SEES)</w:t>
                  </w:r>
                </w:p>
                <w:p w14:paraId="21AADFD5" w14:textId="05AD2DAC" w:rsidR="00135C8D" w:rsidRDefault="00316AD4" w:rsidP="002E708C">
                  <w:pPr>
                    <w:tabs>
                      <w:tab w:val="left" w:pos="810"/>
                    </w:tabs>
                    <w:ind w:left="1350" w:right="1140"/>
                    <w:rPr>
                      <w:rFonts w:ascii="Azo Sans Md" w:hAnsi="Azo Sans Md"/>
                      <w:b/>
                      <w:bCs/>
                      <w:sz w:val="48"/>
                      <w:szCs w:val="48"/>
                    </w:rPr>
                  </w:pPr>
                  <w:r w:rsidRPr="00CC3ED5">
                    <w:rPr>
                      <w:color w:val="FFFFFF" w:themeColor="background1"/>
                      <w:sz w:val="24"/>
                      <w:szCs w:val="24"/>
                    </w:rPr>
                    <w:t>1280 Main Street West, Hamilton, Ontario, Canada, L8S 4K1</w:t>
                  </w:r>
                </w:p>
              </w:txbxContent>
            </v:textbox>
            <w10:wrap anchorx="page"/>
          </v:rect>
        </w:pict>
      </w:r>
    </w:p>
    <w:p w14:paraId="103E5D86" w14:textId="770BE1CD" w:rsidR="00135C8D" w:rsidRDefault="00135C8D" w:rsidP="00135C8D">
      <w:pPr>
        <w:tabs>
          <w:tab w:val="left" w:pos="90"/>
        </w:tabs>
        <w:rPr>
          <w:rFonts w:ascii="Azo Sans Md" w:hAnsi="Azo Sans Md"/>
          <w:b/>
          <w:bCs/>
          <w:sz w:val="48"/>
          <w:szCs w:val="48"/>
        </w:rPr>
      </w:pPr>
    </w:p>
    <w:p w14:paraId="59117A8F" w14:textId="69E1B3AE" w:rsidR="00135C8D" w:rsidRPr="002E708C" w:rsidRDefault="002E708C" w:rsidP="002E708C">
      <w:pPr>
        <w:spacing w:before="240" w:after="160"/>
        <w:jc w:val="left"/>
        <w:rPr>
          <w:rFonts w:ascii="Azo Sans Md" w:hAnsi="Azo Sans Md"/>
          <w:b/>
          <w:bCs/>
          <w:sz w:val="48"/>
          <w:szCs w:val="48"/>
        </w:rPr>
      </w:pPr>
      <w:r>
        <w:rPr>
          <w:rFonts w:ascii="Azo Sans Md" w:hAnsi="Azo Sans Md"/>
          <w:b/>
          <w:bCs/>
          <w:sz w:val="48"/>
          <w:szCs w:val="48"/>
        </w:rPr>
        <w:br w:type="page"/>
      </w:r>
      <w:r w:rsidR="00135C8D" w:rsidRPr="002E708C">
        <w:rPr>
          <w:rFonts w:ascii="Azo Sans Md" w:hAnsi="Azo Sans Md"/>
          <w:b/>
          <w:bCs/>
          <w:color w:val="2B5258"/>
          <w:sz w:val="32"/>
          <w:szCs w:val="32"/>
        </w:rPr>
        <w:lastRenderedPageBreak/>
        <w:t>Comparing job accessibility in diverse spatial patterns in the Greater Golden Horseshoe area, Ontario, Canada</w:t>
      </w:r>
    </w:p>
    <w:p w14:paraId="102CC44C" w14:textId="7666F3EF" w:rsidR="00135C8D" w:rsidRDefault="00316AD4" w:rsidP="00FA7E1C">
      <w:pPr>
        <w:tabs>
          <w:tab w:val="left" w:pos="90"/>
        </w:tabs>
        <w:spacing w:after="240" w:line="276" w:lineRule="auto"/>
        <w:rPr>
          <w:sz w:val="24"/>
          <w:szCs w:val="24"/>
        </w:rPr>
      </w:pPr>
      <w:r w:rsidRPr="00316AD4">
        <w:rPr>
          <w:sz w:val="24"/>
          <w:szCs w:val="24"/>
        </w:rPr>
        <w:t>This work aims to analyze job accessibility across diverse spatial patterns in the Greater Golden Horseshoe area, Ontario, Canada. Focusing on walking, cycling, and public transit during peak and off-peak hours, we identified six distinct spatial patterns with variations in building density, land use, and street layout. Results show that higher building density spatial patterns exhibit elevated accessibility across transportation modes. Despite the region's low overall density, accessibility is concentrated in approximately 10% of the GGH, posing challenges for spatial planners to devise a transportation system that accommodates these territorial differences. Statistical analyses confirm significant differences in job accessibility among spatial patterns.</w:t>
      </w:r>
    </w:p>
    <w:p w14:paraId="5364958F" w14:textId="35ED1DA0" w:rsidR="00FA7E1C" w:rsidRPr="00FA7E1C" w:rsidRDefault="00FA7E1C" w:rsidP="00FA7E1C">
      <w:pPr>
        <w:pStyle w:val="Heading1"/>
        <w:spacing w:after="0"/>
      </w:pPr>
      <w:r w:rsidRPr="00FA7E1C">
        <w:t>RSAccess R Package</w:t>
      </w:r>
    </w:p>
    <w:p w14:paraId="211C0E74" w14:textId="280DD166" w:rsidR="00FA7E1C" w:rsidRDefault="00FA7E1C" w:rsidP="00FA7E1C">
      <w:pPr>
        <w:tabs>
          <w:tab w:val="left" w:pos="90"/>
        </w:tabs>
        <w:spacing w:line="276" w:lineRule="auto"/>
      </w:pPr>
      <w:r w:rsidRPr="00FA7E1C">
        <w:rPr>
          <w:sz w:val="24"/>
          <w:szCs w:val="24"/>
        </w:rPr>
        <w:t xml:space="preserve">In line with best practices in spatial data science and to promote collaboration and further analysis, we have made both our data product and analysis code accessible through the RSAccess R Package on our </w:t>
      </w:r>
      <w:hyperlink r:id="rId8" w:history="1">
        <w:r w:rsidRPr="00FA7E1C">
          <w:t>GitHub page</w:t>
        </w:r>
      </w:hyperlink>
      <w:r w:rsidRPr="00FA7E1C">
        <w:rPr>
          <w:sz w:val="24"/>
          <w:szCs w:val="24"/>
        </w:rPr>
        <w:t>.</w:t>
      </w:r>
    </w:p>
    <w:p w14:paraId="2B6F5250" w14:textId="77777777" w:rsidR="00B04ABD" w:rsidRDefault="00B04ABD" w:rsidP="00316AD4">
      <w:pPr>
        <w:tabs>
          <w:tab w:val="left" w:pos="90"/>
        </w:tabs>
        <w:rPr>
          <w:szCs w:val="24"/>
        </w:rPr>
      </w:pPr>
    </w:p>
    <w:sdt>
      <w:sdtPr>
        <w:rPr>
          <w:rFonts w:ascii="Azo Sans" w:eastAsiaTheme="minorHAnsi" w:hAnsi="Azo Sans" w:cstheme="minorBidi"/>
          <w:color w:val="auto"/>
          <w:kern w:val="2"/>
          <w:sz w:val="22"/>
          <w:szCs w:val="22"/>
        </w:rPr>
        <w:id w:val="1019356023"/>
        <w:docPartObj>
          <w:docPartGallery w:val="Table of Contents"/>
          <w:docPartUnique/>
        </w:docPartObj>
      </w:sdtPr>
      <w:sdtEndPr>
        <w:rPr>
          <w:rFonts w:ascii="Arial Nova" w:hAnsi="Arial Nova"/>
          <w:b/>
          <w:bCs/>
          <w:noProof/>
        </w:rPr>
      </w:sdtEndPr>
      <w:sdtContent>
        <w:p w14:paraId="4B42831F" w14:textId="2A807DA7" w:rsidR="00B04ABD" w:rsidRPr="00B04ABD" w:rsidRDefault="00B04ABD">
          <w:pPr>
            <w:pStyle w:val="TOCHeading"/>
            <w:rPr>
              <w:rFonts w:ascii="Azo Sans" w:hAnsi="Azo Sans"/>
            </w:rPr>
          </w:pPr>
          <w:r w:rsidRPr="00FA7E1C">
            <w:rPr>
              <w:rStyle w:val="Heading1Char"/>
            </w:rPr>
            <w:t>Contents</w:t>
          </w:r>
        </w:p>
        <w:p w14:paraId="7EC52ECF" w14:textId="569CA683" w:rsidR="00EE61A4" w:rsidRDefault="00B04ABD">
          <w:pPr>
            <w:pStyle w:val="TOC1"/>
            <w:tabs>
              <w:tab w:val="right" w:leader="dot" w:pos="9350"/>
            </w:tabs>
            <w:rPr>
              <w:rFonts w:asciiTheme="minorHAnsi" w:eastAsiaTheme="minorEastAsia" w:hAnsiTheme="minorHAnsi"/>
              <w:noProof/>
            </w:rPr>
          </w:pPr>
          <w:r w:rsidRPr="00B04ABD">
            <w:rPr>
              <w:rFonts w:ascii="Azo Sans" w:hAnsi="Azo Sans"/>
            </w:rPr>
            <w:fldChar w:fldCharType="begin"/>
          </w:r>
          <w:r w:rsidRPr="00B04ABD">
            <w:rPr>
              <w:rFonts w:ascii="Azo Sans" w:hAnsi="Azo Sans"/>
            </w:rPr>
            <w:instrText xml:space="preserve"> TOC \o "1-3" \h \z \u </w:instrText>
          </w:r>
          <w:r w:rsidRPr="00B04ABD">
            <w:rPr>
              <w:rFonts w:ascii="Azo Sans" w:hAnsi="Azo Sans"/>
            </w:rPr>
            <w:fldChar w:fldCharType="separate"/>
          </w:r>
          <w:hyperlink w:anchor="_Toc153304699" w:history="1">
            <w:r w:rsidR="00EE61A4" w:rsidRPr="00D1524E">
              <w:rPr>
                <w:rStyle w:val="Hyperlink"/>
                <w:noProof/>
              </w:rPr>
              <w:t>Introduction</w:t>
            </w:r>
            <w:r w:rsidR="00EE61A4">
              <w:rPr>
                <w:noProof/>
                <w:webHidden/>
              </w:rPr>
              <w:tab/>
            </w:r>
            <w:r w:rsidR="00EE61A4">
              <w:rPr>
                <w:noProof/>
                <w:webHidden/>
              </w:rPr>
              <w:fldChar w:fldCharType="begin"/>
            </w:r>
            <w:r w:rsidR="00EE61A4">
              <w:rPr>
                <w:noProof/>
                <w:webHidden/>
              </w:rPr>
              <w:instrText xml:space="preserve"> PAGEREF _Toc153304699 \h </w:instrText>
            </w:r>
            <w:r w:rsidR="00EE61A4">
              <w:rPr>
                <w:noProof/>
                <w:webHidden/>
              </w:rPr>
            </w:r>
            <w:r w:rsidR="00EE61A4">
              <w:rPr>
                <w:noProof/>
                <w:webHidden/>
              </w:rPr>
              <w:fldChar w:fldCharType="separate"/>
            </w:r>
            <w:r w:rsidR="00DF0E60">
              <w:rPr>
                <w:noProof/>
                <w:webHidden/>
              </w:rPr>
              <w:t>2</w:t>
            </w:r>
            <w:r w:rsidR="00EE61A4">
              <w:rPr>
                <w:noProof/>
                <w:webHidden/>
              </w:rPr>
              <w:fldChar w:fldCharType="end"/>
            </w:r>
          </w:hyperlink>
        </w:p>
        <w:p w14:paraId="6DA1AAD7" w14:textId="1256C670" w:rsidR="00EE61A4" w:rsidRDefault="00000000">
          <w:pPr>
            <w:pStyle w:val="TOC1"/>
            <w:tabs>
              <w:tab w:val="right" w:leader="dot" w:pos="9350"/>
            </w:tabs>
            <w:rPr>
              <w:rFonts w:asciiTheme="minorHAnsi" w:eastAsiaTheme="minorEastAsia" w:hAnsiTheme="minorHAnsi"/>
              <w:noProof/>
            </w:rPr>
          </w:pPr>
          <w:hyperlink w:anchor="_Toc153304700" w:history="1">
            <w:r w:rsidR="00EE61A4" w:rsidRPr="00D1524E">
              <w:rPr>
                <w:rStyle w:val="Hyperlink"/>
                <w:noProof/>
              </w:rPr>
              <w:t>Greater Golden Horseshoe</w:t>
            </w:r>
            <w:r w:rsidR="00EE61A4">
              <w:rPr>
                <w:noProof/>
                <w:webHidden/>
              </w:rPr>
              <w:tab/>
            </w:r>
            <w:r w:rsidR="00EE61A4">
              <w:rPr>
                <w:noProof/>
                <w:webHidden/>
              </w:rPr>
              <w:fldChar w:fldCharType="begin"/>
            </w:r>
            <w:r w:rsidR="00EE61A4">
              <w:rPr>
                <w:noProof/>
                <w:webHidden/>
              </w:rPr>
              <w:instrText xml:space="preserve"> PAGEREF _Toc153304700 \h </w:instrText>
            </w:r>
            <w:r w:rsidR="00EE61A4">
              <w:rPr>
                <w:noProof/>
                <w:webHidden/>
              </w:rPr>
            </w:r>
            <w:r w:rsidR="00EE61A4">
              <w:rPr>
                <w:noProof/>
                <w:webHidden/>
              </w:rPr>
              <w:fldChar w:fldCharType="separate"/>
            </w:r>
            <w:r w:rsidR="00DF0E60">
              <w:rPr>
                <w:noProof/>
                <w:webHidden/>
              </w:rPr>
              <w:t>2</w:t>
            </w:r>
            <w:r w:rsidR="00EE61A4">
              <w:rPr>
                <w:noProof/>
                <w:webHidden/>
              </w:rPr>
              <w:fldChar w:fldCharType="end"/>
            </w:r>
          </w:hyperlink>
        </w:p>
        <w:p w14:paraId="6E23ECD1" w14:textId="04138F5C" w:rsidR="00EE61A4" w:rsidRDefault="00000000">
          <w:pPr>
            <w:pStyle w:val="TOC1"/>
            <w:tabs>
              <w:tab w:val="right" w:leader="dot" w:pos="9350"/>
            </w:tabs>
            <w:rPr>
              <w:rFonts w:asciiTheme="minorHAnsi" w:eastAsiaTheme="minorEastAsia" w:hAnsiTheme="minorHAnsi"/>
              <w:noProof/>
            </w:rPr>
          </w:pPr>
          <w:hyperlink w:anchor="_Toc153304701" w:history="1">
            <w:r w:rsidR="00EE61A4" w:rsidRPr="00D1524E">
              <w:rPr>
                <w:rStyle w:val="Hyperlink"/>
                <w:noProof/>
              </w:rPr>
              <w:t>Methods</w:t>
            </w:r>
            <w:r w:rsidR="00EE61A4">
              <w:rPr>
                <w:noProof/>
                <w:webHidden/>
              </w:rPr>
              <w:tab/>
            </w:r>
            <w:r w:rsidR="00EE61A4">
              <w:rPr>
                <w:noProof/>
                <w:webHidden/>
              </w:rPr>
              <w:fldChar w:fldCharType="begin"/>
            </w:r>
            <w:r w:rsidR="00EE61A4">
              <w:rPr>
                <w:noProof/>
                <w:webHidden/>
              </w:rPr>
              <w:instrText xml:space="preserve"> PAGEREF _Toc153304701 \h </w:instrText>
            </w:r>
            <w:r w:rsidR="00EE61A4">
              <w:rPr>
                <w:noProof/>
                <w:webHidden/>
              </w:rPr>
            </w:r>
            <w:r w:rsidR="00EE61A4">
              <w:rPr>
                <w:noProof/>
                <w:webHidden/>
              </w:rPr>
              <w:fldChar w:fldCharType="separate"/>
            </w:r>
            <w:r w:rsidR="00DF0E60">
              <w:rPr>
                <w:noProof/>
                <w:webHidden/>
              </w:rPr>
              <w:t>2</w:t>
            </w:r>
            <w:r w:rsidR="00EE61A4">
              <w:rPr>
                <w:noProof/>
                <w:webHidden/>
              </w:rPr>
              <w:fldChar w:fldCharType="end"/>
            </w:r>
          </w:hyperlink>
        </w:p>
        <w:p w14:paraId="734111B9" w14:textId="350554AC" w:rsidR="00EE61A4" w:rsidRDefault="00000000">
          <w:pPr>
            <w:pStyle w:val="TOC1"/>
            <w:tabs>
              <w:tab w:val="right" w:leader="dot" w:pos="9350"/>
            </w:tabs>
            <w:rPr>
              <w:rFonts w:asciiTheme="minorHAnsi" w:eastAsiaTheme="minorEastAsia" w:hAnsiTheme="minorHAnsi"/>
              <w:noProof/>
            </w:rPr>
          </w:pPr>
          <w:hyperlink w:anchor="_Toc153304702" w:history="1">
            <w:r w:rsidR="00EE61A4" w:rsidRPr="00D1524E">
              <w:rPr>
                <w:rStyle w:val="Hyperlink"/>
                <w:noProof/>
              </w:rPr>
              <w:t>Results</w:t>
            </w:r>
            <w:r w:rsidR="00EE61A4">
              <w:rPr>
                <w:noProof/>
                <w:webHidden/>
              </w:rPr>
              <w:tab/>
            </w:r>
            <w:r w:rsidR="00EE61A4">
              <w:rPr>
                <w:noProof/>
                <w:webHidden/>
              </w:rPr>
              <w:fldChar w:fldCharType="begin"/>
            </w:r>
            <w:r w:rsidR="00EE61A4">
              <w:rPr>
                <w:noProof/>
                <w:webHidden/>
              </w:rPr>
              <w:instrText xml:space="preserve"> PAGEREF _Toc153304702 \h </w:instrText>
            </w:r>
            <w:r w:rsidR="00EE61A4">
              <w:rPr>
                <w:noProof/>
                <w:webHidden/>
              </w:rPr>
            </w:r>
            <w:r w:rsidR="00EE61A4">
              <w:rPr>
                <w:noProof/>
                <w:webHidden/>
              </w:rPr>
              <w:fldChar w:fldCharType="separate"/>
            </w:r>
            <w:r w:rsidR="00DF0E60">
              <w:rPr>
                <w:noProof/>
                <w:webHidden/>
              </w:rPr>
              <w:t>3</w:t>
            </w:r>
            <w:r w:rsidR="00EE61A4">
              <w:rPr>
                <w:noProof/>
                <w:webHidden/>
              </w:rPr>
              <w:fldChar w:fldCharType="end"/>
            </w:r>
          </w:hyperlink>
        </w:p>
        <w:p w14:paraId="2251D388" w14:textId="6C03C4A3" w:rsidR="00EE61A4" w:rsidRDefault="00000000">
          <w:pPr>
            <w:pStyle w:val="TOC2"/>
            <w:tabs>
              <w:tab w:val="right" w:leader="dot" w:pos="9350"/>
            </w:tabs>
            <w:rPr>
              <w:rFonts w:asciiTheme="minorHAnsi" w:eastAsiaTheme="minorEastAsia" w:hAnsiTheme="minorHAnsi"/>
              <w:noProof/>
            </w:rPr>
          </w:pPr>
          <w:hyperlink w:anchor="_Toc153304703" w:history="1">
            <w:r w:rsidR="00EE61A4" w:rsidRPr="00D1524E">
              <w:rPr>
                <w:rStyle w:val="Hyperlink"/>
                <w:noProof/>
              </w:rPr>
              <w:t>Principal Components Analysis</w:t>
            </w:r>
            <w:r w:rsidR="00EE61A4">
              <w:rPr>
                <w:noProof/>
                <w:webHidden/>
              </w:rPr>
              <w:tab/>
            </w:r>
            <w:r w:rsidR="00EE61A4">
              <w:rPr>
                <w:noProof/>
                <w:webHidden/>
              </w:rPr>
              <w:fldChar w:fldCharType="begin"/>
            </w:r>
            <w:r w:rsidR="00EE61A4">
              <w:rPr>
                <w:noProof/>
                <w:webHidden/>
              </w:rPr>
              <w:instrText xml:space="preserve"> PAGEREF _Toc153304703 \h </w:instrText>
            </w:r>
            <w:r w:rsidR="00EE61A4">
              <w:rPr>
                <w:noProof/>
                <w:webHidden/>
              </w:rPr>
            </w:r>
            <w:r w:rsidR="00EE61A4">
              <w:rPr>
                <w:noProof/>
                <w:webHidden/>
              </w:rPr>
              <w:fldChar w:fldCharType="separate"/>
            </w:r>
            <w:r w:rsidR="00DF0E60">
              <w:rPr>
                <w:noProof/>
                <w:webHidden/>
              </w:rPr>
              <w:t>3</w:t>
            </w:r>
            <w:r w:rsidR="00EE61A4">
              <w:rPr>
                <w:noProof/>
                <w:webHidden/>
              </w:rPr>
              <w:fldChar w:fldCharType="end"/>
            </w:r>
          </w:hyperlink>
        </w:p>
        <w:p w14:paraId="382CBC7B" w14:textId="57D45FE5" w:rsidR="00EE61A4" w:rsidRDefault="00000000">
          <w:pPr>
            <w:pStyle w:val="TOC2"/>
            <w:tabs>
              <w:tab w:val="right" w:leader="dot" w:pos="9350"/>
            </w:tabs>
            <w:rPr>
              <w:rFonts w:asciiTheme="minorHAnsi" w:eastAsiaTheme="minorEastAsia" w:hAnsiTheme="minorHAnsi"/>
              <w:noProof/>
            </w:rPr>
          </w:pPr>
          <w:hyperlink w:anchor="_Toc153304704" w:history="1">
            <w:r w:rsidR="00EE61A4" w:rsidRPr="00D1524E">
              <w:rPr>
                <w:rStyle w:val="Hyperlink"/>
                <w:noProof/>
              </w:rPr>
              <w:t>Clustering result</w:t>
            </w:r>
            <w:r w:rsidR="00EE61A4">
              <w:rPr>
                <w:noProof/>
                <w:webHidden/>
              </w:rPr>
              <w:tab/>
            </w:r>
            <w:r w:rsidR="00EE61A4">
              <w:rPr>
                <w:noProof/>
                <w:webHidden/>
              </w:rPr>
              <w:fldChar w:fldCharType="begin"/>
            </w:r>
            <w:r w:rsidR="00EE61A4">
              <w:rPr>
                <w:noProof/>
                <w:webHidden/>
              </w:rPr>
              <w:instrText xml:space="preserve"> PAGEREF _Toc153304704 \h </w:instrText>
            </w:r>
            <w:r w:rsidR="00EE61A4">
              <w:rPr>
                <w:noProof/>
                <w:webHidden/>
              </w:rPr>
            </w:r>
            <w:r w:rsidR="00EE61A4">
              <w:rPr>
                <w:noProof/>
                <w:webHidden/>
              </w:rPr>
              <w:fldChar w:fldCharType="separate"/>
            </w:r>
            <w:r w:rsidR="00DF0E60">
              <w:rPr>
                <w:noProof/>
                <w:webHidden/>
              </w:rPr>
              <w:t>3</w:t>
            </w:r>
            <w:r w:rsidR="00EE61A4">
              <w:rPr>
                <w:noProof/>
                <w:webHidden/>
              </w:rPr>
              <w:fldChar w:fldCharType="end"/>
            </w:r>
          </w:hyperlink>
        </w:p>
        <w:p w14:paraId="27479DBE" w14:textId="1CB6579B" w:rsidR="00EE61A4" w:rsidRDefault="00000000">
          <w:pPr>
            <w:pStyle w:val="TOC2"/>
            <w:tabs>
              <w:tab w:val="right" w:leader="dot" w:pos="9350"/>
            </w:tabs>
            <w:rPr>
              <w:rFonts w:asciiTheme="minorHAnsi" w:eastAsiaTheme="minorEastAsia" w:hAnsiTheme="minorHAnsi"/>
              <w:noProof/>
            </w:rPr>
          </w:pPr>
          <w:hyperlink w:anchor="_Toc153304705" w:history="1">
            <w:r w:rsidR="00EE61A4" w:rsidRPr="00D1524E">
              <w:rPr>
                <w:rStyle w:val="Hyperlink"/>
                <w:noProof/>
              </w:rPr>
              <w:t>Differences in job accessibility</w:t>
            </w:r>
            <w:r w:rsidR="00EE61A4">
              <w:rPr>
                <w:noProof/>
                <w:webHidden/>
              </w:rPr>
              <w:tab/>
            </w:r>
            <w:r w:rsidR="00EE61A4">
              <w:rPr>
                <w:noProof/>
                <w:webHidden/>
              </w:rPr>
              <w:fldChar w:fldCharType="begin"/>
            </w:r>
            <w:r w:rsidR="00EE61A4">
              <w:rPr>
                <w:noProof/>
                <w:webHidden/>
              </w:rPr>
              <w:instrText xml:space="preserve"> PAGEREF _Toc153304705 \h </w:instrText>
            </w:r>
            <w:r w:rsidR="00EE61A4">
              <w:rPr>
                <w:noProof/>
                <w:webHidden/>
              </w:rPr>
            </w:r>
            <w:r w:rsidR="00EE61A4">
              <w:rPr>
                <w:noProof/>
                <w:webHidden/>
              </w:rPr>
              <w:fldChar w:fldCharType="separate"/>
            </w:r>
            <w:r w:rsidR="00DF0E60">
              <w:rPr>
                <w:noProof/>
                <w:webHidden/>
              </w:rPr>
              <w:t>4</w:t>
            </w:r>
            <w:r w:rsidR="00EE61A4">
              <w:rPr>
                <w:noProof/>
                <w:webHidden/>
              </w:rPr>
              <w:fldChar w:fldCharType="end"/>
            </w:r>
          </w:hyperlink>
        </w:p>
        <w:p w14:paraId="017B3A73" w14:textId="61C5166B" w:rsidR="00EE61A4" w:rsidRDefault="00000000">
          <w:pPr>
            <w:pStyle w:val="TOC1"/>
            <w:tabs>
              <w:tab w:val="right" w:leader="dot" w:pos="9350"/>
            </w:tabs>
            <w:rPr>
              <w:rFonts w:asciiTheme="minorHAnsi" w:eastAsiaTheme="minorEastAsia" w:hAnsiTheme="minorHAnsi"/>
              <w:noProof/>
            </w:rPr>
          </w:pPr>
          <w:hyperlink w:anchor="_Toc153304706" w:history="1">
            <w:r w:rsidR="00EE61A4" w:rsidRPr="00D1524E">
              <w:rPr>
                <w:rStyle w:val="Hyperlink"/>
                <w:noProof/>
              </w:rPr>
              <w:t>Conclusion</w:t>
            </w:r>
            <w:r w:rsidR="00EE61A4">
              <w:rPr>
                <w:noProof/>
                <w:webHidden/>
              </w:rPr>
              <w:tab/>
            </w:r>
            <w:r w:rsidR="00EE61A4">
              <w:rPr>
                <w:noProof/>
                <w:webHidden/>
              </w:rPr>
              <w:fldChar w:fldCharType="begin"/>
            </w:r>
            <w:r w:rsidR="00EE61A4">
              <w:rPr>
                <w:noProof/>
                <w:webHidden/>
              </w:rPr>
              <w:instrText xml:space="preserve"> PAGEREF _Toc153304706 \h </w:instrText>
            </w:r>
            <w:r w:rsidR="00EE61A4">
              <w:rPr>
                <w:noProof/>
                <w:webHidden/>
              </w:rPr>
            </w:r>
            <w:r w:rsidR="00EE61A4">
              <w:rPr>
                <w:noProof/>
                <w:webHidden/>
              </w:rPr>
              <w:fldChar w:fldCharType="separate"/>
            </w:r>
            <w:r w:rsidR="00DF0E60">
              <w:rPr>
                <w:noProof/>
                <w:webHidden/>
              </w:rPr>
              <w:t>5</w:t>
            </w:r>
            <w:r w:rsidR="00EE61A4">
              <w:rPr>
                <w:noProof/>
                <w:webHidden/>
              </w:rPr>
              <w:fldChar w:fldCharType="end"/>
            </w:r>
          </w:hyperlink>
        </w:p>
        <w:p w14:paraId="6F7DF8A2" w14:textId="702DF542" w:rsidR="00EE61A4" w:rsidRDefault="00000000">
          <w:pPr>
            <w:pStyle w:val="TOC1"/>
            <w:tabs>
              <w:tab w:val="right" w:leader="dot" w:pos="9350"/>
            </w:tabs>
            <w:rPr>
              <w:rFonts w:asciiTheme="minorHAnsi" w:eastAsiaTheme="minorEastAsia" w:hAnsiTheme="minorHAnsi"/>
              <w:noProof/>
            </w:rPr>
          </w:pPr>
          <w:hyperlink w:anchor="_Toc153304707" w:history="1">
            <w:r w:rsidR="00EE61A4" w:rsidRPr="00D1524E">
              <w:rPr>
                <w:rStyle w:val="Hyperlink"/>
                <w:noProof/>
              </w:rPr>
              <w:t>References</w:t>
            </w:r>
            <w:r w:rsidR="00EE61A4">
              <w:rPr>
                <w:noProof/>
                <w:webHidden/>
              </w:rPr>
              <w:tab/>
            </w:r>
            <w:r w:rsidR="00EE61A4">
              <w:rPr>
                <w:noProof/>
                <w:webHidden/>
              </w:rPr>
              <w:fldChar w:fldCharType="begin"/>
            </w:r>
            <w:r w:rsidR="00EE61A4">
              <w:rPr>
                <w:noProof/>
                <w:webHidden/>
              </w:rPr>
              <w:instrText xml:space="preserve"> PAGEREF _Toc153304707 \h </w:instrText>
            </w:r>
            <w:r w:rsidR="00EE61A4">
              <w:rPr>
                <w:noProof/>
                <w:webHidden/>
              </w:rPr>
            </w:r>
            <w:r w:rsidR="00EE61A4">
              <w:rPr>
                <w:noProof/>
                <w:webHidden/>
              </w:rPr>
              <w:fldChar w:fldCharType="separate"/>
            </w:r>
            <w:r w:rsidR="00DF0E60">
              <w:rPr>
                <w:noProof/>
                <w:webHidden/>
              </w:rPr>
              <w:t>6</w:t>
            </w:r>
            <w:r w:rsidR="00EE61A4">
              <w:rPr>
                <w:noProof/>
                <w:webHidden/>
              </w:rPr>
              <w:fldChar w:fldCharType="end"/>
            </w:r>
          </w:hyperlink>
        </w:p>
        <w:p w14:paraId="51AD1820" w14:textId="4EB85B29" w:rsidR="00B04ABD" w:rsidRDefault="00B04ABD">
          <w:r w:rsidRPr="00B04ABD">
            <w:rPr>
              <w:rFonts w:ascii="Azo Sans" w:hAnsi="Azo Sans"/>
              <w:b/>
              <w:bCs/>
              <w:noProof/>
            </w:rPr>
            <w:fldChar w:fldCharType="end"/>
          </w:r>
        </w:p>
      </w:sdtContent>
    </w:sdt>
    <w:p w14:paraId="13FE0FD8" w14:textId="77777777" w:rsidR="004440B7" w:rsidRDefault="004440B7" w:rsidP="00AA3E93">
      <w:pPr>
        <w:pStyle w:val="Heading1"/>
        <w:sectPr w:rsidR="004440B7" w:rsidSect="00FA7E1C">
          <w:headerReference w:type="default" r:id="rId9"/>
          <w:pgSz w:w="12240" w:h="15840"/>
          <w:pgMar w:top="1440" w:right="1440" w:bottom="1440" w:left="1440" w:header="720" w:footer="720" w:gutter="0"/>
          <w:pgNumType w:start="0"/>
          <w:cols w:space="720"/>
          <w:docGrid w:linePitch="360"/>
        </w:sectPr>
      </w:pPr>
    </w:p>
    <w:p w14:paraId="054740A1" w14:textId="77327CC4" w:rsidR="00316AD4" w:rsidRDefault="00316AD4" w:rsidP="004440B7">
      <w:pPr>
        <w:pStyle w:val="Heading1"/>
        <w:spacing w:line="276" w:lineRule="auto"/>
      </w:pPr>
      <w:bookmarkStart w:id="0" w:name="_Toc153304699"/>
      <w:r>
        <w:lastRenderedPageBreak/>
        <w:t>Introduction</w:t>
      </w:r>
      <w:bookmarkEnd w:id="0"/>
    </w:p>
    <w:p w14:paraId="08AF02CF" w14:textId="77777777" w:rsidR="00316AD4" w:rsidRPr="00B04ABD" w:rsidRDefault="00316AD4" w:rsidP="001319E2">
      <w:pPr>
        <w:spacing w:line="276" w:lineRule="auto"/>
      </w:pPr>
      <w:r w:rsidRPr="00B04ABD">
        <w:t>Accessibility is defined as the potential to reach spatially distributed places and opportunities (Páez et al., 2012), such as jobs, parks, cultural activities, health, and education services. The accessibility to these diverse opportunities is directly dependent on the transportation network and the geographical distribution of activities, making it a key output of spatial planning.</w:t>
      </w:r>
    </w:p>
    <w:p w14:paraId="3D0B6DE1" w14:textId="550F6EE2" w:rsidR="00316AD4" w:rsidRPr="00F247A0" w:rsidRDefault="00316AD4" w:rsidP="004440B7">
      <w:pPr>
        <w:spacing w:line="276" w:lineRule="auto"/>
        <w:ind w:firstLine="360"/>
      </w:pPr>
      <w:r w:rsidRPr="00F247A0">
        <w:t>A survey conducted by Palm et al. (2023) revealed that labor force participation ranks among the top five most compelling topics for expanding the applications of accessibility studies. The survey included over 50 participants from five Canadian provinces, with half representing the government, the majority of whom were employed in local government. Job accessibility serves as a crucial tool for comprehending urban form, the spatial mismatch between jobs and housing, and the balance between job and housing locations.</w:t>
      </w:r>
    </w:p>
    <w:p w14:paraId="5C4B077D" w14:textId="19A58317" w:rsidR="00B04ABD" w:rsidRDefault="00316AD4" w:rsidP="004440B7">
      <w:pPr>
        <w:spacing w:line="276" w:lineRule="auto"/>
        <w:ind w:firstLine="360"/>
        <w:rPr>
          <w:szCs w:val="24"/>
        </w:rPr>
      </w:pPr>
      <w:r w:rsidRPr="00F247A0">
        <w:t xml:space="preserve">With the general context presented, this work is guided by the following question: </w:t>
      </w:r>
      <w:r w:rsidRPr="004F759A">
        <w:rPr>
          <w:b/>
          <w:bCs/>
          <w:color w:val="2B5258"/>
        </w:rPr>
        <w:t>How does job accessibility levels vary considering diverse spatial patterns?</w:t>
      </w:r>
      <w:r w:rsidRPr="00F247A0">
        <w:t xml:space="preserve"> We posit the following hypothesis: job accessibility differs among various spatial patterns, even when different transportation modes are considered. The primary objective of this study is to analyze and compare job accessibility levels across different spatial patterns, focusing on the Greater Golden Horseshoe area (GGH) in Ontario, Canada. We compared the transportation modes: walking, cycling, public transportation off peak and on peak.</w:t>
      </w:r>
    </w:p>
    <w:p w14:paraId="4354A30A" w14:textId="59CBCE88" w:rsidR="00B04ABD" w:rsidRDefault="00733510" w:rsidP="004440B7">
      <w:pPr>
        <w:pStyle w:val="Heading1"/>
        <w:spacing w:line="276" w:lineRule="auto"/>
      </w:pPr>
      <w:bookmarkStart w:id="1" w:name="_Toc153304700"/>
      <w:r w:rsidRPr="00733510">
        <w:t>Greater Golden Horseshoe</w:t>
      </w:r>
      <w:bookmarkEnd w:id="1"/>
    </w:p>
    <w:p w14:paraId="4DBD7D20" w14:textId="0E5057B6" w:rsidR="00B04ABD" w:rsidRDefault="00B04ABD" w:rsidP="004440B7">
      <w:pPr>
        <w:spacing w:line="276" w:lineRule="auto"/>
      </w:pPr>
      <w:r w:rsidRPr="00B04ABD">
        <w:t xml:space="preserve">The GGH constitutes the urban region centered around the City of Toronto, positioned at the </w:t>
      </w:r>
      <w:r w:rsidRPr="00B04ABD">
        <w:t>western terminus of Lake Ontario (Figure </w:t>
      </w:r>
      <w:r w:rsidR="004440B7">
        <w:t>1</w:t>
      </w:r>
      <w:r w:rsidRPr="00B04ABD">
        <w:t>). It extends northward to Georgian Bay, southward to Lake Erie, westward to Wellington County and Waterloo Region, and eastward to the counties of Peterborough and Northumberland. With a population of 10 million people and accommodating 4.9 million jobs in an area of 26,804 km², the GGH serves as the economic hub of Ontario and stands out as one of the rapidly advancing regions in North America (Ontario, 2020).</w:t>
      </w:r>
    </w:p>
    <w:p w14:paraId="1B5DCA3E" w14:textId="77777777" w:rsidR="004440B7" w:rsidRDefault="004440B7" w:rsidP="004440B7">
      <w:pPr>
        <w:keepNext/>
        <w:spacing w:before="240" w:line="276" w:lineRule="auto"/>
      </w:pPr>
      <w:r>
        <w:rPr>
          <w:noProof/>
        </w:rPr>
        <w:drawing>
          <wp:inline distT="0" distB="0" distL="0" distR="0" wp14:anchorId="422100DD" wp14:editId="60F6229F">
            <wp:extent cx="3063240" cy="2971165"/>
            <wp:effectExtent l="0" t="0" r="3810" b="635"/>
            <wp:docPr id="535074683" name="Picture 3" descr="A map of a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74683" name="Picture 3" descr="A map of a sta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240" cy="2971165"/>
                    </a:xfrm>
                    <a:prstGeom prst="rect">
                      <a:avLst/>
                    </a:prstGeom>
                  </pic:spPr>
                </pic:pic>
              </a:graphicData>
            </a:graphic>
          </wp:inline>
        </w:drawing>
      </w:r>
    </w:p>
    <w:p w14:paraId="4000FD18" w14:textId="0EDCFF5F" w:rsidR="004440B7" w:rsidRDefault="004440B7" w:rsidP="004440B7">
      <w:pPr>
        <w:pStyle w:val="Caption"/>
      </w:pPr>
      <w:r>
        <w:t xml:space="preserve">Figure </w:t>
      </w:r>
      <w:fldSimple w:instr=" SEQ Figure \* ARABIC ">
        <w:r w:rsidR="00DF0E60">
          <w:rPr>
            <w:noProof/>
          </w:rPr>
          <w:t>1</w:t>
        </w:r>
      </w:fldSimple>
      <w:r w:rsidR="00C32770">
        <w:t xml:space="preserve"> - </w:t>
      </w:r>
      <w:r w:rsidR="00C32770" w:rsidRPr="00C32770">
        <w:t>Greater Golden Horseshoe Study Area. Source: Ontario, 2020.</w:t>
      </w:r>
    </w:p>
    <w:p w14:paraId="56C45A96" w14:textId="7018118B" w:rsidR="00B04ABD" w:rsidRPr="00B04ABD" w:rsidRDefault="00B53EE3" w:rsidP="004440B7">
      <w:pPr>
        <w:pStyle w:val="Heading1"/>
        <w:spacing w:line="276" w:lineRule="auto"/>
      </w:pPr>
      <w:bookmarkStart w:id="2" w:name="_Toc153304701"/>
      <w:r>
        <w:t>Data and m</w:t>
      </w:r>
      <w:r w:rsidR="00B04ABD" w:rsidRPr="00B04ABD">
        <w:t>ethods</w:t>
      </w:r>
      <w:bookmarkEnd w:id="2"/>
    </w:p>
    <w:p w14:paraId="2F443C7E" w14:textId="6665FEED" w:rsidR="00B53EE3" w:rsidRDefault="00B53EE3" w:rsidP="004440B7">
      <w:pPr>
        <w:spacing w:line="276" w:lineRule="auto"/>
      </w:pPr>
      <w:r w:rsidRPr="00B04ABD">
        <w:t xml:space="preserve">For this work, we used already processed and classified satellite images provided by the Global Human Settlement Layer (GHSL) </w:t>
      </w:r>
      <w:r>
        <w:t>(E</w:t>
      </w:r>
      <w:r w:rsidRPr="00B04ABD">
        <w:t>uropean</w:t>
      </w:r>
      <w:r>
        <w:t xml:space="preserve"> C</w:t>
      </w:r>
      <w:r w:rsidRPr="00B04ABD">
        <w:t>ommission</w:t>
      </w:r>
      <w:r>
        <w:t xml:space="preserve">, 2023) </w:t>
      </w:r>
      <w:r w:rsidRPr="00B04ABD">
        <w:t xml:space="preserve">and the Copernicus Global Land Service (CGLS) </w:t>
      </w:r>
      <w:r>
        <w:t>(Buchhorn et al., 2018)</w:t>
      </w:r>
      <w:r w:rsidRPr="00B04ABD">
        <w:t xml:space="preserve">; Spatial Access Measures (SAM) dataset </w:t>
      </w:r>
      <w:r>
        <w:t>(S</w:t>
      </w:r>
      <w:r w:rsidRPr="00B04ABD">
        <w:t>tatistics</w:t>
      </w:r>
      <w:r>
        <w:t xml:space="preserve"> C</w:t>
      </w:r>
      <w:r w:rsidRPr="00B04ABD">
        <w:t>anada</w:t>
      </w:r>
      <w:r>
        <w:t>, 2023)</w:t>
      </w:r>
      <w:r w:rsidRPr="00B04ABD">
        <w:t xml:space="preserve">, which measures accessibility to different opportunities considering different modes of transportation; and a road network </w:t>
      </w:r>
      <w:r>
        <w:t>(O</w:t>
      </w:r>
      <w:r w:rsidRPr="00B04ABD">
        <w:t>pen</w:t>
      </w:r>
      <w:r>
        <w:t>S</w:t>
      </w:r>
      <w:r w:rsidRPr="00B04ABD">
        <w:t>treet</w:t>
      </w:r>
      <w:r>
        <w:t>M</w:t>
      </w:r>
      <w:r w:rsidRPr="00B04ABD">
        <w:t>ap</w:t>
      </w:r>
      <w:r>
        <w:t xml:space="preserve">, </w:t>
      </w:r>
      <w:r w:rsidRPr="00B04ABD">
        <w:t>2023</w:t>
      </w:r>
      <w:r>
        <w:t>)</w:t>
      </w:r>
      <w:r w:rsidRPr="00B04ABD">
        <w:t>.</w:t>
      </w:r>
    </w:p>
    <w:p w14:paraId="6FFFD464" w14:textId="14BBD6A6" w:rsidR="00842912" w:rsidRDefault="00B04ABD" w:rsidP="00B53EE3">
      <w:pPr>
        <w:spacing w:line="276" w:lineRule="auto"/>
        <w:ind w:firstLine="360"/>
      </w:pPr>
      <w:r w:rsidRPr="00B04ABD">
        <w:lastRenderedPageBreak/>
        <w:t xml:space="preserve">Our methodology comprises four primary steps. The </w:t>
      </w:r>
      <w:r w:rsidRPr="00494DAE">
        <w:rPr>
          <w:b/>
          <w:bCs/>
          <w:color w:val="2B5258" w:themeColor="accent5" w:themeShade="80"/>
        </w:rPr>
        <w:t>initial step</w:t>
      </w:r>
      <w:r w:rsidRPr="00B04ABD">
        <w:t xml:space="preserve"> involves feature extraction and dataset creation, where urban form attributes are extracted from satellite imagery and road network data.</w:t>
      </w:r>
      <w:r w:rsidR="00B53EE3">
        <w:t xml:space="preserve"> </w:t>
      </w:r>
      <w:r w:rsidR="00842912">
        <w:t xml:space="preserve">We integrate the selected datasets onto a hexagonal grid with an area of 500 m², comprising 53,609 regular cells across the study area. </w:t>
      </w:r>
    </w:p>
    <w:p w14:paraId="7174106F" w14:textId="697BBEFB" w:rsidR="00842912" w:rsidRDefault="00B53EE3" w:rsidP="00B53EE3">
      <w:pPr>
        <w:spacing w:line="276" w:lineRule="auto"/>
        <w:ind w:firstLine="360"/>
      </w:pPr>
      <w:r>
        <w:t>W</w:t>
      </w:r>
      <w:r w:rsidR="00842912">
        <w:t>e extracted statistical measures – mean, maximum, minimum, standard deviation, median, sum, and majority values – for the GHSL and CGLS images. For the road network, we computed road sinuosity and extracted road network attributes, such as the total number of roads, intersections, intersection density (intersections per road), and statistical values related to road sinuosity.</w:t>
      </w:r>
    </w:p>
    <w:p w14:paraId="76765FD9" w14:textId="4FB24D6F" w:rsidR="00842912" w:rsidRDefault="00842912" w:rsidP="00B53EE3">
      <w:pPr>
        <w:spacing w:line="276" w:lineRule="auto"/>
        <w:ind w:firstLine="360"/>
      </w:pPr>
      <w:r>
        <w:t>Additionally, spatial variables were generated through neighborhood connections between hexagons. For each variable, we computed the neighbor mean value (NM) and the normalized difference (DNM) between each hexagon and its neighborhood mean, according to the methodology of Dos Santos et al. (2022). In total, 191 attributes were extracted for each hexagon.</w:t>
      </w:r>
    </w:p>
    <w:p w14:paraId="6F1F19E7" w14:textId="0D45D7E1" w:rsidR="00B53EE3" w:rsidRDefault="00B04ABD" w:rsidP="00B53EE3">
      <w:pPr>
        <w:spacing w:line="276" w:lineRule="auto"/>
        <w:ind w:firstLine="360"/>
      </w:pPr>
      <w:r w:rsidRPr="00B04ABD">
        <w:t xml:space="preserve">The </w:t>
      </w:r>
      <w:r w:rsidRPr="00494DAE">
        <w:rPr>
          <w:b/>
          <w:bCs/>
          <w:color w:val="2B5258" w:themeColor="accent5" w:themeShade="80"/>
        </w:rPr>
        <w:t>second step</w:t>
      </w:r>
      <w:r w:rsidRPr="00B04ABD">
        <w:t xml:space="preserve"> employs Principal Component Analysis (PCA) to reduce dataset dimensionality. </w:t>
      </w:r>
      <w:r w:rsidR="00B53EE3">
        <w:t>PCA is a technique used to select features and decrease dimensions in the presence of multiple variables.</w:t>
      </w:r>
    </w:p>
    <w:p w14:paraId="19D4C7F2" w14:textId="1A84B13E" w:rsidR="00066BE5" w:rsidRDefault="00DF0E60" w:rsidP="004440B7">
      <w:pPr>
        <w:spacing w:line="276" w:lineRule="auto"/>
        <w:ind w:firstLine="360"/>
      </w:pPr>
      <w:r w:rsidRPr="00DF0E60">
        <w:t xml:space="preserve">In the </w:t>
      </w:r>
      <w:r w:rsidRPr="00494DAE">
        <w:rPr>
          <w:b/>
          <w:bCs/>
          <w:color w:val="2B5258" w:themeColor="accent5" w:themeShade="80"/>
        </w:rPr>
        <w:t>third step</w:t>
      </w:r>
      <w:r w:rsidRPr="00DF0E60">
        <w:t>, we retained all components for which the cumulative variance explained amounted to more than 90% of the total variance in the data. Employing only these selected components, we conducted an unsupervised classification using the K-means algorithm to identify clusters representing distinct spatial patterns within the GGH</w:t>
      </w:r>
      <w:r w:rsidR="00066BE5">
        <w:rPr>
          <w:rStyle w:val="FootnoteReference"/>
        </w:rPr>
        <w:footnoteReference w:id="1"/>
      </w:r>
      <w:r w:rsidRPr="00DF0E60">
        <w:t xml:space="preserve">. </w:t>
      </w:r>
      <w:r w:rsidR="00066BE5" w:rsidRPr="00066BE5">
        <w:t xml:space="preserve">The K-means algorithm splits the data into groups in order to minimize </w:t>
      </w:r>
      <w:r w:rsidR="00066BE5" w:rsidRPr="00066BE5">
        <w:t>the variability within the group and maximize the variability between the groups, thus grouping the data into distinct groups.</w:t>
      </w:r>
    </w:p>
    <w:p w14:paraId="3F0AC22D" w14:textId="466E8AEF" w:rsidR="00F247A0" w:rsidRDefault="00B04ABD" w:rsidP="004440B7">
      <w:pPr>
        <w:spacing w:line="276" w:lineRule="auto"/>
        <w:ind w:firstLine="360"/>
      </w:pPr>
      <w:r w:rsidRPr="00B04ABD">
        <w:t xml:space="preserve">In the </w:t>
      </w:r>
      <w:r w:rsidRPr="00494DAE">
        <w:rPr>
          <w:b/>
          <w:bCs/>
          <w:color w:val="2B5258" w:themeColor="accent5" w:themeShade="80"/>
        </w:rPr>
        <w:t>final step</w:t>
      </w:r>
      <w:r w:rsidRPr="00B04ABD">
        <w:t xml:space="preserve">, we compare job accessibility levels among the identified spatial patterns. Two statistical tests, the Kruskal-Wallis test and the pairwise Wilcoxon test, are employed to evaluate variations in job accessibility levels. </w:t>
      </w:r>
    </w:p>
    <w:p w14:paraId="1139A3B4" w14:textId="1C946424" w:rsidR="00B04ABD" w:rsidRPr="00B04ABD" w:rsidRDefault="00B04ABD" w:rsidP="004440B7">
      <w:pPr>
        <w:pStyle w:val="Heading1"/>
        <w:spacing w:line="276" w:lineRule="auto"/>
      </w:pPr>
      <w:bookmarkStart w:id="3" w:name="_Toc153304702"/>
      <w:r w:rsidRPr="00B04ABD">
        <w:t>Results</w:t>
      </w:r>
      <w:bookmarkEnd w:id="3"/>
    </w:p>
    <w:p w14:paraId="0DEDFF5B" w14:textId="4BB85F61" w:rsidR="00B04ABD" w:rsidRPr="00B04ABD" w:rsidRDefault="00B04ABD" w:rsidP="004440B7">
      <w:pPr>
        <w:pStyle w:val="Heading2"/>
        <w:spacing w:line="276" w:lineRule="auto"/>
      </w:pPr>
      <w:bookmarkStart w:id="4" w:name="_Toc153304703"/>
      <w:r w:rsidRPr="00B04ABD">
        <w:t>Principal Components Analysis</w:t>
      </w:r>
      <w:bookmarkEnd w:id="4"/>
    </w:p>
    <w:p w14:paraId="44D5B494" w14:textId="6E851C7A" w:rsidR="00B04ABD" w:rsidRDefault="00B04ABD" w:rsidP="00B53EE3">
      <w:pPr>
        <w:spacing w:after="240" w:line="276" w:lineRule="auto"/>
      </w:pPr>
      <w:r w:rsidRPr="00B04ABD">
        <w:t xml:space="preserve">For the clustering analysis, thirty-five principal components were selected, collectively explaining over 90% of the total variance. Table </w:t>
      </w:r>
      <w:r w:rsidR="00D94618">
        <w:t>1</w:t>
      </w:r>
      <w:r w:rsidRPr="00B04ABD">
        <w:t xml:space="preserve"> highlights the three most significant variable contributions to the first four principal components. Across all components, variables related to neighbor relations demonstrated the most substantial loadings. Component 1 exhibits higher absolute loadings in the neighbor mean of built-up type variables, predominantly associated with more densely built-up areas in the study area; Component 2 displays higher absolute loadings in variables related to the fraction of water on neighboring cells, indicating a correlation with waterfront areas; Component 3 focuses on the presence of built-up areas and residential use in neighboring cells; and Component 4 correlates with the presence of trees in neighboring cells.</w:t>
      </w:r>
    </w:p>
    <w:p w14:paraId="1FD9B89C" w14:textId="29AE046F" w:rsidR="004F759A" w:rsidRDefault="004F759A" w:rsidP="004F759A">
      <w:pPr>
        <w:pStyle w:val="Heading2"/>
      </w:pPr>
      <w:bookmarkStart w:id="5" w:name="_Toc153304704"/>
      <w:r>
        <w:t>Clustering result</w:t>
      </w:r>
      <w:bookmarkEnd w:id="5"/>
    </w:p>
    <w:p w14:paraId="29ED680D" w14:textId="41578C76" w:rsidR="004F759A" w:rsidRDefault="004F759A" w:rsidP="004F759A">
      <w:pPr>
        <w:spacing w:line="276" w:lineRule="auto"/>
      </w:pPr>
      <w:r>
        <w:t xml:space="preserve">Only one-quarter of the study area was analyzed to perform the clustering classification, as only these cells had the sum of residential and commercial areas exceeding ten percent of the cell area. A series of experiments and visual analyses were conducted to determine the optimal number of clusters. After several </w:t>
      </w:r>
      <w:r>
        <w:lastRenderedPageBreak/>
        <w:t>experiments and visual analyses, we settled on six final clusters, considering the best trade-off between identifying meaningful clusters and their quantity (Figure 2).</w:t>
      </w:r>
    </w:p>
    <w:p w14:paraId="31972595" w14:textId="7BA601C4" w:rsidR="00B53EE3" w:rsidRDefault="00B53EE3" w:rsidP="00B53EE3">
      <w:pPr>
        <w:pStyle w:val="Caption"/>
        <w:keepNext/>
        <w:spacing w:before="240" w:after="120"/>
      </w:pPr>
      <w:r>
        <w:t xml:space="preserve">Table </w:t>
      </w:r>
      <w:fldSimple w:instr=" SEQ Table \* ARABIC ">
        <w:r w:rsidR="00DF0E60">
          <w:rPr>
            <w:noProof/>
          </w:rPr>
          <w:t>1</w:t>
        </w:r>
      </w:fldSimple>
      <w:r>
        <w:t xml:space="preserve"> - Higher variables contributions to the first four Principal Componentes (PC).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75"/>
        <w:gridCol w:w="720"/>
        <w:gridCol w:w="720"/>
        <w:gridCol w:w="720"/>
        <w:gridCol w:w="679"/>
      </w:tblGrid>
      <w:tr w:rsidR="00B53EE3" w:rsidRPr="00D94618" w14:paraId="29CC92AE" w14:textId="77777777">
        <w:tc>
          <w:tcPr>
            <w:tcW w:w="1975" w:type="dxa"/>
            <w:tcBorders>
              <w:top w:val="single" w:sz="4" w:space="0" w:color="auto"/>
              <w:bottom w:val="single" w:sz="4" w:space="0" w:color="auto"/>
            </w:tcBorders>
            <w:vAlign w:val="center"/>
          </w:tcPr>
          <w:p w14:paraId="0E898D4A"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b/>
                <w:w w:val="105"/>
                <w:sz w:val="20"/>
                <w:szCs w:val="20"/>
              </w:rPr>
              <w:t>Variable</w:t>
            </w:r>
          </w:p>
        </w:tc>
        <w:tc>
          <w:tcPr>
            <w:tcW w:w="720" w:type="dxa"/>
            <w:tcBorders>
              <w:top w:val="single" w:sz="4" w:space="0" w:color="auto"/>
              <w:bottom w:val="single" w:sz="4" w:space="0" w:color="auto"/>
            </w:tcBorders>
            <w:vAlign w:val="center"/>
          </w:tcPr>
          <w:p w14:paraId="4DFE0049"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PC1</w:t>
            </w:r>
          </w:p>
        </w:tc>
        <w:tc>
          <w:tcPr>
            <w:tcW w:w="720" w:type="dxa"/>
            <w:tcBorders>
              <w:top w:val="single" w:sz="4" w:space="0" w:color="auto"/>
              <w:bottom w:val="single" w:sz="4" w:space="0" w:color="auto"/>
            </w:tcBorders>
            <w:vAlign w:val="center"/>
          </w:tcPr>
          <w:p w14:paraId="245DD766"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PC2</w:t>
            </w:r>
          </w:p>
        </w:tc>
        <w:tc>
          <w:tcPr>
            <w:tcW w:w="720" w:type="dxa"/>
            <w:tcBorders>
              <w:top w:val="single" w:sz="4" w:space="0" w:color="auto"/>
              <w:bottom w:val="single" w:sz="4" w:space="0" w:color="auto"/>
            </w:tcBorders>
            <w:vAlign w:val="center"/>
          </w:tcPr>
          <w:p w14:paraId="3F1D269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PC3</w:t>
            </w:r>
          </w:p>
        </w:tc>
        <w:tc>
          <w:tcPr>
            <w:tcW w:w="679" w:type="dxa"/>
            <w:tcBorders>
              <w:top w:val="single" w:sz="4" w:space="0" w:color="auto"/>
              <w:bottom w:val="single" w:sz="4" w:space="0" w:color="auto"/>
            </w:tcBorders>
            <w:vAlign w:val="center"/>
          </w:tcPr>
          <w:p w14:paraId="5C5E5415"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PC4</w:t>
            </w:r>
          </w:p>
        </w:tc>
      </w:tr>
      <w:tr w:rsidR="00B53EE3" w:rsidRPr="00D94618" w14:paraId="7269BE51" w14:textId="77777777">
        <w:tc>
          <w:tcPr>
            <w:tcW w:w="1975" w:type="dxa"/>
            <w:tcBorders>
              <w:top w:val="single" w:sz="4" w:space="0" w:color="auto"/>
            </w:tcBorders>
            <w:vAlign w:val="center"/>
          </w:tcPr>
          <w:p w14:paraId="2823EA04"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Built-up</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sum</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(NM)</w:t>
            </w:r>
          </w:p>
        </w:tc>
        <w:tc>
          <w:tcPr>
            <w:tcW w:w="720" w:type="dxa"/>
            <w:tcBorders>
              <w:top w:val="single" w:sz="4" w:space="0" w:color="auto"/>
            </w:tcBorders>
            <w:vAlign w:val="center"/>
          </w:tcPr>
          <w:p w14:paraId="04D555E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0.12</w:t>
            </w:r>
          </w:p>
        </w:tc>
        <w:tc>
          <w:tcPr>
            <w:tcW w:w="720" w:type="dxa"/>
            <w:tcBorders>
              <w:top w:val="single" w:sz="4" w:space="0" w:color="auto"/>
            </w:tcBorders>
            <w:vAlign w:val="center"/>
          </w:tcPr>
          <w:p w14:paraId="074D261C"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tcBorders>
              <w:top w:val="single" w:sz="4" w:space="0" w:color="auto"/>
            </w:tcBorders>
            <w:vAlign w:val="center"/>
          </w:tcPr>
          <w:p w14:paraId="35BBB39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679" w:type="dxa"/>
            <w:tcBorders>
              <w:top w:val="single" w:sz="4" w:space="0" w:color="auto"/>
            </w:tcBorders>
            <w:vAlign w:val="center"/>
          </w:tcPr>
          <w:p w14:paraId="7CE4D91A"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r>
      <w:tr w:rsidR="00B53EE3" w:rsidRPr="00D94618" w14:paraId="15A7A158" w14:textId="77777777">
        <w:tc>
          <w:tcPr>
            <w:tcW w:w="1975" w:type="dxa"/>
            <w:vAlign w:val="center"/>
          </w:tcPr>
          <w:p w14:paraId="5DB71DA3"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Built-up</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mean</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54F8EBE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0.12</w:t>
            </w:r>
          </w:p>
        </w:tc>
        <w:tc>
          <w:tcPr>
            <w:tcW w:w="720" w:type="dxa"/>
            <w:vAlign w:val="center"/>
          </w:tcPr>
          <w:p w14:paraId="6C7FCAA5"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vAlign w:val="center"/>
          </w:tcPr>
          <w:p w14:paraId="7D8E1D30"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679" w:type="dxa"/>
            <w:vAlign w:val="center"/>
          </w:tcPr>
          <w:p w14:paraId="5002C761"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r>
      <w:tr w:rsidR="00B53EE3" w:rsidRPr="00D94618" w14:paraId="2B428DD0" w14:textId="77777777">
        <w:tc>
          <w:tcPr>
            <w:tcW w:w="1975" w:type="dxa"/>
            <w:vAlign w:val="center"/>
          </w:tcPr>
          <w:p w14:paraId="5AE55CEC"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Comercial</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area</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2C2AAD2A"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-0.11</w:t>
            </w:r>
          </w:p>
        </w:tc>
        <w:tc>
          <w:tcPr>
            <w:tcW w:w="720" w:type="dxa"/>
            <w:vAlign w:val="center"/>
          </w:tcPr>
          <w:p w14:paraId="7C41FF84"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720" w:type="dxa"/>
            <w:vAlign w:val="center"/>
          </w:tcPr>
          <w:p w14:paraId="0AF4744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0.01</w:t>
            </w:r>
          </w:p>
        </w:tc>
        <w:tc>
          <w:tcPr>
            <w:tcW w:w="679" w:type="dxa"/>
            <w:vAlign w:val="center"/>
          </w:tcPr>
          <w:p w14:paraId="5F1E5F80"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sz w:val="20"/>
                <w:szCs w:val="20"/>
              </w:rPr>
              <w:t>-0.03</w:t>
            </w:r>
          </w:p>
        </w:tc>
      </w:tr>
      <w:tr w:rsidR="00B53EE3" w:rsidRPr="00D94618" w14:paraId="0C6918D8" w14:textId="77777777">
        <w:tc>
          <w:tcPr>
            <w:tcW w:w="1975" w:type="dxa"/>
            <w:vAlign w:val="center"/>
          </w:tcPr>
          <w:p w14:paraId="33473603"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Water</w:t>
            </w:r>
            <w:r w:rsidRPr="00D94618">
              <w:rPr>
                <w:rFonts w:ascii="Arial Nova Cond" w:hAnsi="Arial Nova Cond" w:cstheme="minorHAnsi"/>
                <w:spacing w:val="7"/>
                <w:w w:val="105"/>
                <w:sz w:val="20"/>
                <w:szCs w:val="20"/>
              </w:rPr>
              <w:t xml:space="preserve"> </w:t>
            </w:r>
            <w:r w:rsidRPr="00D94618">
              <w:rPr>
                <w:rFonts w:ascii="Arial Nova Cond" w:hAnsi="Arial Nova Cond" w:cstheme="minorHAnsi"/>
                <w:w w:val="105"/>
                <w:sz w:val="20"/>
                <w:szCs w:val="20"/>
              </w:rPr>
              <w:t>mean</w:t>
            </w:r>
            <w:r w:rsidRPr="00D94618">
              <w:rPr>
                <w:rFonts w:ascii="Arial Nova Cond" w:hAnsi="Arial Nova Cond" w:cstheme="minorHAnsi"/>
                <w:spacing w:val="8"/>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4DEFD59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-0.01</w:t>
            </w:r>
          </w:p>
        </w:tc>
        <w:tc>
          <w:tcPr>
            <w:tcW w:w="720" w:type="dxa"/>
            <w:vAlign w:val="center"/>
          </w:tcPr>
          <w:p w14:paraId="04E142FF"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0.19</w:t>
            </w:r>
          </w:p>
        </w:tc>
        <w:tc>
          <w:tcPr>
            <w:tcW w:w="720" w:type="dxa"/>
            <w:vAlign w:val="center"/>
          </w:tcPr>
          <w:p w14:paraId="50D3D4E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679" w:type="dxa"/>
            <w:vAlign w:val="center"/>
          </w:tcPr>
          <w:p w14:paraId="699B7875"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sz w:val="20"/>
                <w:szCs w:val="20"/>
              </w:rPr>
              <w:t>-0.11</w:t>
            </w:r>
          </w:p>
        </w:tc>
      </w:tr>
      <w:tr w:rsidR="00B53EE3" w:rsidRPr="00D94618" w14:paraId="0B3079B5" w14:textId="77777777">
        <w:tc>
          <w:tcPr>
            <w:tcW w:w="1975" w:type="dxa"/>
            <w:vAlign w:val="center"/>
          </w:tcPr>
          <w:p w14:paraId="36EABF01"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Water</w:t>
            </w:r>
            <w:r w:rsidRPr="00D94618">
              <w:rPr>
                <w:rFonts w:ascii="Arial Nova Cond" w:hAnsi="Arial Nova Cond" w:cstheme="minorHAnsi"/>
                <w:spacing w:val="8"/>
                <w:w w:val="105"/>
                <w:sz w:val="20"/>
                <w:szCs w:val="20"/>
              </w:rPr>
              <w:t xml:space="preserve"> </w:t>
            </w:r>
            <w:r w:rsidRPr="00D94618">
              <w:rPr>
                <w:rFonts w:ascii="Arial Nova Cond" w:hAnsi="Arial Nova Cond" w:cstheme="minorHAnsi"/>
                <w:w w:val="105"/>
                <w:sz w:val="20"/>
                <w:szCs w:val="20"/>
              </w:rPr>
              <w:t>sum</w:t>
            </w:r>
            <w:r w:rsidRPr="00D94618">
              <w:rPr>
                <w:rFonts w:ascii="Arial Nova Cond" w:hAnsi="Arial Nova Cond" w:cstheme="minorHAnsi"/>
                <w:spacing w:val="8"/>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66AE6D7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-0.01</w:t>
            </w:r>
          </w:p>
        </w:tc>
        <w:tc>
          <w:tcPr>
            <w:tcW w:w="720" w:type="dxa"/>
            <w:vAlign w:val="center"/>
          </w:tcPr>
          <w:p w14:paraId="4CAA61D8"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0.19</w:t>
            </w:r>
          </w:p>
        </w:tc>
        <w:tc>
          <w:tcPr>
            <w:tcW w:w="720" w:type="dxa"/>
            <w:vAlign w:val="center"/>
          </w:tcPr>
          <w:p w14:paraId="3F787FB9"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679" w:type="dxa"/>
            <w:vAlign w:val="center"/>
          </w:tcPr>
          <w:p w14:paraId="0CC8B766"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sz w:val="20"/>
                <w:szCs w:val="20"/>
              </w:rPr>
              <w:t>-0.11</w:t>
            </w:r>
          </w:p>
        </w:tc>
      </w:tr>
      <w:tr w:rsidR="00B53EE3" w:rsidRPr="00D94618" w14:paraId="0FAEF916" w14:textId="77777777">
        <w:tc>
          <w:tcPr>
            <w:tcW w:w="1975" w:type="dxa"/>
            <w:vAlign w:val="center"/>
          </w:tcPr>
          <w:p w14:paraId="5DB9CA53"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Water</w:t>
            </w:r>
            <w:r w:rsidRPr="00D94618">
              <w:rPr>
                <w:rFonts w:ascii="Arial Nova Cond" w:hAnsi="Arial Nova Cond" w:cstheme="minorHAnsi"/>
                <w:spacing w:val="7"/>
                <w:w w:val="105"/>
                <w:sz w:val="20"/>
                <w:szCs w:val="20"/>
              </w:rPr>
              <w:t xml:space="preserve"> </w:t>
            </w:r>
            <w:r w:rsidRPr="00D94618">
              <w:rPr>
                <w:rFonts w:ascii="Arial Nova Cond" w:hAnsi="Arial Nova Cond" w:cstheme="minorHAnsi"/>
                <w:w w:val="105"/>
                <w:sz w:val="20"/>
                <w:szCs w:val="20"/>
              </w:rPr>
              <w:t>median</w:t>
            </w:r>
            <w:r w:rsidRPr="00D94618">
              <w:rPr>
                <w:rFonts w:ascii="Arial Nova Cond" w:hAnsi="Arial Nova Cond" w:cstheme="minorHAnsi"/>
                <w:spacing w:val="7"/>
                <w:w w:val="105"/>
                <w:sz w:val="20"/>
                <w:szCs w:val="20"/>
              </w:rPr>
              <w:t xml:space="preserve"> </w:t>
            </w:r>
            <w:r w:rsidRPr="00D94618">
              <w:rPr>
                <w:rFonts w:ascii="Arial Nova Cond" w:hAnsi="Arial Nova Cond" w:cstheme="minorHAnsi"/>
                <w:w w:val="105"/>
                <w:sz w:val="20"/>
                <w:szCs w:val="20"/>
              </w:rPr>
              <w:t>(NM)</w:t>
            </w:r>
          </w:p>
        </w:tc>
        <w:tc>
          <w:tcPr>
            <w:tcW w:w="720" w:type="dxa"/>
            <w:vAlign w:val="center"/>
          </w:tcPr>
          <w:p w14:paraId="3B93CD7C"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-0.01</w:t>
            </w:r>
          </w:p>
        </w:tc>
        <w:tc>
          <w:tcPr>
            <w:tcW w:w="720" w:type="dxa"/>
            <w:vAlign w:val="center"/>
          </w:tcPr>
          <w:p w14:paraId="303EE72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0.19</w:t>
            </w:r>
          </w:p>
        </w:tc>
        <w:tc>
          <w:tcPr>
            <w:tcW w:w="720" w:type="dxa"/>
            <w:vAlign w:val="center"/>
          </w:tcPr>
          <w:p w14:paraId="7836026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679" w:type="dxa"/>
            <w:vAlign w:val="center"/>
          </w:tcPr>
          <w:p w14:paraId="4B08123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sz w:val="20"/>
                <w:szCs w:val="20"/>
              </w:rPr>
              <w:t>-0.11</w:t>
            </w:r>
          </w:p>
        </w:tc>
      </w:tr>
      <w:tr w:rsidR="00B53EE3" w:rsidRPr="00D94618" w14:paraId="170419EB" w14:textId="77777777">
        <w:tc>
          <w:tcPr>
            <w:tcW w:w="1975" w:type="dxa"/>
            <w:vAlign w:val="center"/>
          </w:tcPr>
          <w:p w14:paraId="46966A34"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Built-up</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mean</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137522FC"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-0.06</w:t>
            </w:r>
          </w:p>
        </w:tc>
        <w:tc>
          <w:tcPr>
            <w:tcW w:w="720" w:type="dxa"/>
            <w:vAlign w:val="center"/>
          </w:tcPr>
          <w:p w14:paraId="0FCBEC1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vAlign w:val="center"/>
          </w:tcPr>
          <w:p w14:paraId="1D2C562B"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-0.23</w:t>
            </w:r>
          </w:p>
        </w:tc>
        <w:tc>
          <w:tcPr>
            <w:tcW w:w="679" w:type="dxa"/>
            <w:vAlign w:val="center"/>
          </w:tcPr>
          <w:p w14:paraId="48F26B1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0.04</w:t>
            </w:r>
          </w:p>
        </w:tc>
      </w:tr>
      <w:tr w:rsidR="00B53EE3" w:rsidRPr="00D94618" w14:paraId="0F744C3B" w14:textId="77777777">
        <w:tc>
          <w:tcPr>
            <w:tcW w:w="1975" w:type="dxa"/>
            <w:vAlign w:val="center"/>
          </w:tcPr>
          <w:p w14:paraId="136312CF"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Built-up</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sum</w:t>
            </w:r>
            <w:r w:rsidRPr="00D94618">
              <w:rPr>
                <w:rFonts w:ascii="Arial Nova Cond" w:hAnsi="Arial Nova Cond" w:cstheme="minorHAnsi"/>
                <w:spacing w:val="13"/>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5AD538C8"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-0.06</w:t>
            </w:r>
          </w:p>
        </w:tc>
        <w:tc>
          <w:tcPr>
            <w:tcW w:w="720" w:type="dxa"/>
            <w:vAlign w:val="center"/>
          </w:tcPr>
          <w:p w14:paraId="40F0499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vAlign w:val="center"/>
          </w:tcPr>
          <w:p w14:paraId="5D44062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-0.23</w:t>
            </w:r>
          </w:p>
        </w:tc>
        <w:tc>
          <w:tcPr>
            <w:tcW w:w="679" w:type="dxa"/>
            <w:vAlign w:val="center"/>
          </w:tcPr>
          <w:p w14:paraId="15AC563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0.04</w:t>
            </w:r>
          </w:p>
        </w:tc>
      </w:tr>
      <w:tr w:rsidR="00B53EE3" w:rsidRPr="00D94618" w14:paraId="1AF04630" w14:textId="77777777">
        <w:tc>
          <w:tcPr>
            <w:tcW w:w="1975" w:type="dxa"/>
            <w:vAlign w:val="center"/>
          </w:tcPr>
          <w:p w14:paraId="7B9D3B83"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Residential</w:t>
            </w:r>
            <w:r w:rsidRPr="00D94618">
              <w:rPr>
                <w:rFonts w:ascii="Arial Nova Cond" w:hAnsi="Arial Nova Cond" w:cstheme="minorHAnsi"/>
                <w:spacing w:val="11"/>
                <w:w w:val="105"/>
                <w:sz w:val="20"/>
                <w:szCs w:val="20"/>
              </w:rPr>
              <w:t xml:space="preserve"> </w:t>
            </w:r>
            <w:r w:rsidRPr="00D94618">
              <w:rPr>
                <w:rFonts w:ascii="Arial Nova Cond" w:hAnsi="Arial Nova Cond" w:cstheme="minorHAnsi"/>
                <w:w w:val="105"/>
                <w:sz w:val="20"/>
                <w:szCs w:val="20"/>
              </w:rPr>
              <w:t>area</w:t>
            </w:r>
            <w:r w:rsidRPr="00D94618">
              <w:rPr>
                <w:rFonts w:ascii="Arial Nova Cond" w:hAnsi="Arial Nova Cond" w:cstheme="minorHAnsi"/>
                <w:spacing w:val="12"/>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5A0106C0"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-0.06</w:t>
            </w:r>
          </w:p>
        </w:tc>
        <w:tc>
          <w:tcPr>
            <w:tcW w:w="720" w:type="dxa"/>
            <w:vAlign w:val="center"/>
          </w:tcPr>
          <w:p w14:paraId="746CDED2"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720" w:type="dxa"/>
            <w:vAlign w:val="center"/>
          </w:tcPr>
          <w:p w14:paraId="0FAD0DC9"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w w:val="105"/>
                <w:sz w:val="20"/>
                <w:szCs w:val="20"/>
              </w:rPr>
              <w:t>-0.23</w:t>
            </w:r>
          </w:p>
        </w:tc>
        <w:tc>
          <w:tcPr>
            <w:tcW w:w="679" w:type="dxa"/>
            <w:vAlign w:val="center"/>
          </w:tcPr>
          <w:p w14:paraId="7CF69648"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r>
      <w:tr w:rsidR="00B53EE3" w:rsidRPr="00D94618" w14:paraId="0F539AA4" w14:textId="77777777">
        <w:tc>
          <w:tcPr>
            <w:tcW w:w="1975" w:type="dxa"/>
            <w:vAlign w:val="center"/>
          </w:tcPr>
          <w:p w14:paraId="0EC166FF"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Tree</w:t>
            </w:r>
            <w:r w:rsidRPr="00D94618">
              <w:rPr>
                <w:rFonts w:ascii="Arial Nova Cond" w:hAnsi="Arial Nova Cond" w:cstheme="minorHAnsi"/>
                <w:spacing w:val="10"/>
                <w:w w:val="105"/>
                <w:sz w:val="20"/>
                <w:szCs w:val="20"/>
              </w:rPr>
              <w:t xml:space="preserve"> </w:t>
            </w:r>
            <w:r w:rsidRPr="00D94618">
              <w:rPr>
                <w:rFonts w:ascii="Arial Nova Cond" w:hAnsi="Arial Nova Cond" w:cstheme="minorHAnsi"/>
                <w:w w:val="105"/>
                <w:sz w:val="20"/>
                <w:szCs w:val="20"/>
              </w:rPr>
              <w:t>mean</w:t>
            </w:r>
            <w:r w:rsidRPr="00D94618">
              <w:rPr>
                <w:rFonts w:ascii="Arial Nova Cond" w:hAnsi="Arial Nova Cond" w:cstheme="minorHAnsi"/>
                <w:spacing w:val="11"/>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2C990A06"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0.07</w:t>
            </w:r>
          </w:p>
        </w:tc>
        <w:tc>
          <w:tcPr>
            <w:tcW w:w="720" w:type="dxa"/>
            <w:vAlign w:val="center"/>
          </w:tcPr>
          <w:p w14:paraId="0622434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-0.04</w:t>
            </w:r>
          </w:p>
        </w:tc>
        <w:tc>
          <w:tcPr>
            <w:tcW w:w="720" w:type="dxa"/>
            <w:vAlign w:val="center"/>
          </w:tcPr>
          <w:p w14:paraId="6B7CA082"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0.05</w:t>
            </w:r>
          </w:p>
        </w:tc>
        <w:tc>
          <w:tcPr>
            <w:tcW w:w="679" w:type="dxa"/>
            <w:vAlign w:val="center"/>
          </w:tcPr>
          <w:p w14:paraId="27269CA1"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sz w:val="20"/>
                <w:szCs w:val="20"/>
              </w:rPr>
              <w:t>-0.16</w:t>
            </w:r>
          </w:p>
        </w:tc>
      </w:tr>
      <w:tr w:rsidR="00B53EE3" w:rsidRPr="00D94618" w14:paraId="7B2179DA" w14:textId="77777777">
        <w:tc>
          <w:tcPr>
            <w:tcW w:w="1975" w:type="dxa"/>
            <w:vAlign w:val="center"/>
          </w:tcPr>
          <w:p w14:paraId="15604A5D"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Tree</w:t>
            </w:r>
            <w:r w:rsidRPr="00D94618">
              <w:rPr>
                <w:rFonts w:ascii="Arial Nova Cond" w:hAnsi="Arial Nova Cond" w:cstheme="minorHAnsi"/>
                <w:spacing w:val="11"/>
                <w:w w:val="105"/>
                <w:sz w:val="20"/>
                <w:szCs w:val="20"/>
              </w:rPr>
              <w:t xml:space="preserve"> </w:t>
            </w:r>
            <w:r w:rsidRPr="00D94618">
              <w:rPr>
                <w:rFonts w:ascii="Arial Nova Cond" w:hAnsi="Arial Nova Cond" w:cstheme="minorHAnsi"/>
                <w:w w:val="105"/>
                <w:sz w:val="20"/>
                <w:szCs w:val="20"/>
              </w:rPr>
              <w:t>sum</w:t>
            </w:r>
            <w:r w:rsidRPr="00D94618">
              <w:rPr>
                <w:rFonts w:ascii="Arial Nova Cond" w:hAnsi="Arial Nova Cond" w:cstheme="minorHAnsi"/>
                <w:spacing w:val="11"/>
                <w:w w:val="105"/>
                <w:sz w:val="20"/>
                <w:szCs w:val="20"/>
              </w:rPr>
              <w:t xml:space="preserve"> </w:t>
            </w:r>
            <w:r w:rsidRPr="00D94618">
              <w:rPr>
                <w:rFonts w:ascii="Arial Nova Cond" w:hAnsi="Arial Nova Cond" w:cstheme="minorHAnsi"/>
                <w:w w:val="105"/>
                <w:sz w:val="20"/>
                <w:szCs w:val="20"/>
              </w:rPr>
              <w:t>(DNM)</w:t>
            </w:r>
          </w:p>
        </w:tc>
        <w:tc>
          <w:tcPr>
            <w:tcW w:w="720" w:type="dxa"/>
            <w:vAlign w:val="center"/>
          </w:tcPr>
          <w:p w14:paraId="2A11A1E3"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0.07</w:t>
            </w:r>
          </w:p>
        </w:tc>
        <w:tc>
          <w:tcPr>
            <w:tcW w:w="720" w:type="dxa"/>
            <w:vAlign w:val="center"/>
          </w:tcPr>
          <w:p w14:paraId="017C3B9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-0.04</w:t>
            </w:r>
          </w:p>
        </w:tc>
        <w:tc>
          <w:tcPr>
            <w:tcW w:w="720" w:type="dxa"/>
            <w:vAlign w:val="center"/>
          </w:tcPr>
          <w:p w14:paraId="1607A7B7"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0.05</w:t>
            </w:r>
          </w:p>
        </w:tc>
        <w:tc>
          <w:tcPr>
            <w:tcW w:w="679" w:type="dxa"/>
            <w:vAlign w:val="center"/>
          </w:tcPr>
          <w:p w14:paraId="3EB9DB5E"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sz w:val="20"/>
                <w:szCs w:val="20"/>
              </w:rPr>
              <w:t>-0.16</w:t>
            </w:r>
          </w:p>
        </w:tc>
      </w:tr>
      <w:tr w:rsidR="00B53EE3" w:rsidRPr="00D94618" w14:paraId="1069899C" w14:textId="77777777">
        <w:tc>
          <w:tcPr>
            <w:tcW w:w="1975" w:type="dxa"/>
            <w:tcBorders>
              <w:bottom w:val="single" w:sz="4" w:space="0" w:color="auto"/>
            </w:tcBorders>
            <w:vAlign w:val="center"/>
          </w:tcPr>
          <w:p w14:paraId="4E4C9A7A"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Tree</w:t>
            </w:r>
            <w:r w:rsidRPr="00D94618">
              <w:rPr>
                <w:rFonts w:ascii="Arial Nova Cond" w:hAnsi="Arial Nova Cond" w:cstheme="minorHAnsi"/>
                <w:spacing w:val="10"/>
                <w:w w:val="105"/>
                <w:sz w:val="20"/>
                <w:szCs w:val="20"/>
              </w:rPr>
              <w:t xml:space="preserve"> </w:t>
            </w:r>
            <w:r w:rsidRPr="00D94618">
              <w:rPr>
                <w:rFonts w:ascii="Arial Nova Cond" w:hAnsi="Arial Nova Cond" w:cstheme="minorHAnsi"/>
                <w:w w:val="105"/>
                <w:sz w:val="20"/>
                <w:szCs w:val="20"/>
              </w:rPr>
              <w:t>median</w:t>
            </w:r>
            <w:r w:rsidRPr="00D94618">
              <w:rPr>
                <w:rFonts w:ascii="Arial Nova Cond" w:hAnsi="Arial Nova Cond" w:cstheme="minorHAnsi"/>
                <w:spacing w:val="10"/>
                <w:w w:val="105"/>
                <w:sz w:val="20"/>
                <w:szCs w:val="20"/>
              </w:rPr>
              <w:t xml:space="preserve"> </w:t>
            </w:r>
            <w:r w:rsidRPr="00D94618">
              <w:rPr>
                <w:rFonts w:ascii="Arial Nova Cond" w:hAnsi="Arial Nova Cond" w:cstheme="minorHAnsi"/>
                <w:w w:val="105"/>
                <w:sz w:val="20"/>
                <w:szCs w:val="20"/>
              </w:rPr>
              <w:t>(DNM)</w:t>
            </w:r>
          </w:p>
        </w:tc>
        <w:tc>
          <w:tcPr>
            <w:tcW w:w="720" w:type="dxa"/>
            <w:tcBorders>
              <w:bottom w:val="single" w:sz="4" w:space="0" w:color="auto"/>
            </w:tcBorders>
            <w:vAlign w:val="center"/>
          </w:tcPr>
          <w:p w14:paraId="6BCF24F1"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0.06</w:t>
            </w:r>
          </w:p>
        </w:tc>
        <w:tc>
          <w:tcPr>
            <w:tcW w:w="720" w:type="dxa"/>
            <w:tcBorders>
              <w:bottom w:val="single" w:sz="4" w:space="0" w:color="auto"/>
            </w:tcBorders>
            <w:vAlign w:val="center"/>
          </w:tcPr>
          <w:p w14:paraId="04C91D9A"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-0.03</w:t>
            </w:r>
          </w:p>
        </w:tc>
        <w:tc>
          <w:tcPr>
            <w:tcW w:w="720" w:type="dxa"/>
            <w:tcBorders>
              <w:bottom w:val="single" w:sz="4" w:space="0" w:color="auto"/>
            </w:tcBorders>
            <w:vAlign w:val="center"/>
          </w:tcPr>
          <w:p w14:paraId="32814DBA"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0.02</w:t>
            </w:r>
          </w:p>
        </w:tc>
        <w:tc>
          <w:tcPr>
            <w:tcW w:w="679" w:type="dxa"/>
            <w:tcBorders>
              <w:bottom w:val="single" w:sz="4" w:space="0" w:color="auto"/>
            </w:tcBorders>
            <w:vAlign w:val="center"/>
          </w:tcPr>
          <w:p w14:paraId="258F9590"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b/>
                <w:sz w:val="20"/>
                <w:szCs w:val="20"/>
              </w:rPr>
              <w:t>-0.16</w:t>
            </w:r>
          </w:p>
        </w:tc>
      </w:tr>
      <w:tr w:rsidR="00B53EE3" w:rsidRPr="00D94618" w14:paraId="69B8077E" w14:textId="77777777">
        <w:tc>
          <w:tcPr>
            <w:tcW w:w="1975" w:type="dxa"/>
            <w:tcBorders>
              <w:top w:val="single" w:sz="4" w:space="0" w:color="auto"/>
            </w:tcBorders>
            <w:vAlign w:val="center"/>
          </w:tcPr>
          <w:p w14:paraId="3BD0E669"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Proportion</w:t>
            </w:r>
            <w:r w:rsidRPr="00D94618">
              <w:rPr>
                <w:rFonts w:ascii="Arial Nova Cond" w:hAnsi="Arial Nova Cond" w:cstheme="minorHAnsi"/>
                <w:spacing w:val="3"/>
                <w:w w:val="105"/>
                <w:sz w:val="20"/>
                <w:szCs w:val="20"/>
              </w:rPr>
              <w:t xml:space="preserve"> </w:t>
            </w:r>
            <w:r w:rsidRPr="00D94618">
              <w:rPr>
                <w:rFonts w:ascii="Arial Nova Cond" w:hAnsi="Arial Nova Cond" w:cstheme="minorHAnsi"/>
                <w:w w:val="105"/>
                <w:sz w:val="20"/>
                <w:szCs w:val="20"/>
              </w:rPr>
              <w:t>of</w:t>
            </w:r>
            <w:r w:rsidRPr="00D94618">
              <w:rPr>
                <w:rFonts w:ascii="Arial Nova Cond" w:hAnsi="Arial Nova Cond" w:cstheme="minorHAnsi"/>
                <w:spacing w:val="4"/>
                <w:w w:val="105"/>
                <w:sz w:val="20"/>
                <w:szCs w:val="20"/>
              </w:rPr>
              <w:t xml:space="preserve"> </w:t>
            </w:r>
            <w:r w:rsidRPr="00D94618">
              <w:rPr>
                <w:rFonts w:ascii="Arial Nova Cond" w:hAnsi="Arial Nova Cond" w:cstheme="minorHAnsi"/>
                <w:w w:val="105"/>
                <w:sz w:val="20"/>
                <w:szCs w:val="20"/>
              </w:rPr>
              <w:t>Variance</w:t>
            </w:r>
          </w:p>
        </w:tc>
        <w:tc>
          <w:tcPr>
            <w:tcW w:w="720" w:type="dxa"/>
            <w:tcBorders>
              <w:top w:val="single" w:sz="4" w:space="0" w:color="auto"/>
            </w:tcBorders>
            <w:vAlign w:val="center"/>
          </w:tcPr>
          <w:p w14:paraId="58242196"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35%</w:t>
            </w:r>
          </w:p>
        </w:tc>
        <w:tc>
          <w:tcPr>
            <w:tcW w:w="720" w:type="dxa"/>
            <w:tcBorders>
              <w:top w:val="single" w:sz="4" w:space="0" w:color="auto"/>
            </w:tcBorders>
            <w:vAlign w:val="center"/>
          </w:tcPr>
          <w:p w14:paraId="7D29505B"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9%</w:t>
            </w:r>
          </w:p>
        </w:tc>
        <w:tc>
          <w:tcPr>
            <w:tcW w:w="720" w:type="dxa"/>
            <w:tcBorders>
              <w:top w:val="single" w:sz="4" w:space="0" w:color="auto"/>
            </w:tcBorders>
            <w:vAlign w:val="center"/>
          </w:tcPr>
          <w:p w14:paraId="34FC9D3C"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6%</w:t>
            </w:r>
          </w:p>
        </w:tc>
        <w:tc>
          <w:tcPr>
            <w:tcW w:w="679" w:type="dxa"/>
            <w:tcBorders>
              <w:top w:val="single" w:sz="4" w:space="0" w:color="auto"/>
            </w:tcBorders>
            <w:vAlign w:val="center"/>
          </w:tcPr>
          <w:p w14:paraId="5A28C91B"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5%</w:t>
            </w:r>
          </w:p>
        </w:tc>
      </w:tr>
      <w:tr w:rsidR="00B53EE3" w:rsidRPr="00D94618" w14:paraId="37E2CDEC" w14:textId="77777777">
        <w:tc>
          <w:tcPr>
            <w:tcW w:w="1975" w:type="dxa"/>
            <w:tcBorders>
              <w:bottom w:val="single" w:sz="4" w:space="0" w:color="auto"/>
            </w:tcBorders>
            <w:vAlign w:val="center"/>
          </w:tcPr>
          <w:p w14:paraId="5404622F" w14:textId="77777777" w:rsidR="00B53EE3" w:rsidRPr="00D94618" w:rsidRDefault="00B53EE3">
            <w:pPr>
              <w:spacing w:line="276" w:lineRule="auto"/>
              <w:jc w:val="left"/>
              <w:rPr>
                <w:rFonts w:ascii="Arial Nova Cond" w:hAnsi="Arial Nova Cond" w:cstheme="minorHAnsi"/>
                <w:sz w:val="20"/>
                <w:szCs w:val="20"/>
              </w:rPr>
            </w:pPr>
            <w:r w:rsidRPr="00D94618">
              <w:rPr>
                <w:rFonts w:ascii="Arial Nova Cond" w:hAnsi="Arial Nova Cond" w:cstheme="minorHAnsi"/>
                <w:w w:val="105"/>
                <w:sz w:val="20"/>
                <w:szCs w:val="20"/>
              </w:rPr>
              <w:t>Cumulative</w:t>
            </w:r>
            <w:r w:rsidRPr="00D94618">
              <w:rPr>
                <w:rFonts w:ascii="Arial Nova Cond" w:hAnsi="Arial Nova Cond" w:cstheme="minorHAnsi"/>
                <w:spacing w:val="2"/>
                <w:w w:val="105"/>
                <w:sz w:val="20"/>
                <w:szCs w:val="20"/>
              </w:rPr>
              <w:t xml:space="preserve"> </w:t>
            </w:r>
            <w:r w:rsidRPr="00D94618">
              <w:rPr>
                <w:rFonts w:ascii="Arial Nova Cond" w:hAnsi="Arial Nova Cond" w:cstheme="minorHAnsi"/>
                <w:w w:val="105"/>
                <w:sz w:val="20"/>
                <w:szCs w:val="20"/>
              </w:rPr>
              <w:t>Proportion</w:t>
            </w:r>
          </w:p>
        </w:tc>
        <w:tc>
          <w:tcPr>
            <w:tcW w:w="720" w:type="dxa"/>
            <w:tcBorders>
              <w:bottom w:val="single" w:sz="4" w:space="0" w:color="auto"/>
            </w:tcBorders>
            <w:vAlign w:val="center"/>
          </w:tcPr>
          <w:p w14:paraId="4737971D"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35%</w:t>
            </w:r>
          </w:p>
        </w:tc>
        <w:tc>
          <w:tcPr>
            <w:tcW w:w="720" w:type="dxa"/>
            <w:tcBorders>
              <w:bottom w:val="single" w:sz="4" w:space="0" w:color="auto"/>
            </w:tcBorders>
            <w:vAlign w:val="center"/>
          </w:tcPr>
          <w:p w14:paraId="3AAD1EE8"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45%</w:t>
            </w:r>
          </w:p>
        </w:tc>
        <w:tc>
          <w:tcPr>
            <w:tcW w:w="720" w:type="dxa"/>
            <w:tcBorders>
              <w:bottom w:val="single" w:sz="4" w:space="0" w:color="auto"/>
            </w:tcBorders>
            <w:vAlign w:val="center"/>
          </w:tcPr>
          <w:p w14:paraId="1E878F49"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51%</w:t>
            </w:r>
          </w:p>
        </w:tc>
        <w:tc>
          <w:tcPr>
            <w:tcW w:w="679" w:type="dxa"/>
            <w:tcBorders>
              <w:bottom w:val="single" w:sz="4" w:space="0" w:color="auto"/>
            </w:tcBorders>
            <w:vAlign w:val="center"/>
          </w:tcPr>
          <w:p w14:paraId="5190B7AA" w14:textId="77777777" w:rsidR="00B53EE3" w:rsidRPr="00D94618" w:rsidRDefault="00B53EE3">
            <w:pPr>
              <w:spacing w:line="276" w:lineRule="auto"/>
              <w:jc w:val="center"/>
              <w:rPr>
                <w:rFonts w:ascii="Arial Nova Cond" w:hAnsi="Arial Nova Cond" w:cstheme="minorHAnsi"/>
                <w:sz w:val="20"/>
                <w:szCs w:val="20"/>
              </w:rPr>
            </w:pPr>
            <w:r w:rsidRPr="00D94618">
              <w:rPr>
                <w:rFonts w:ascii="Arial Nova Cond" w:hAnsi="Arial Nova Cond" w:cstheme="minorHAnsi"/>
                <w:w w:val="105"/>
                <w:sz w:val="20"/>
                <w:szCs w:val="20"/>
              </w:rPr>
              <w:t>56%</w:t>
            </w:r>
          </w:p>
        </w:tc>
      </w:tr>
    </w:tbl>
    <w:p w14:paraId="5E761EC9" w14:textId="622E93E7" w:rsidR="00EE61A4" w:rsidRDefault="004F759A" w:rsidP="00B53EE3">
      <w:pPr>
        <w:spacing w:before="240" w:line="276" w:lineRule="auto"/>
        <w:ind w:firstLine="360"/>
      </w:pPr>
      <w:r w:rsidRPr="00B04ABD">
        <w:t xml:space="preserve">Each final cluster can be interpreted as a distinct spatial pattern with unique levels of built-up area density, land use, and street layout. We named the spatial patterns according to their features. The first cluster, "Cluster 1 - High Building Density," corresponds to 17% of the analyzed clusters and exhibits the highest building density (in area, height, and volume) among all clusters. It also has the highest number of intersections per road, suggesting more connections between its streets. </w:t>
      </w:r>
    </w:p>
    <w:p w14:paraId="51628BD7" w14:textId="77777777" w:rsidR="00B53EE3" w:rsidRPr="00B04ABD" w:rsidRDefault="00B53EE3" w:rsidP="00B53EE3">
      <w:pPr>
        <w:spacing w:line="276" w:lineRule="auto"/>
        <w:ind w:firstLine="360"/>
      </w:pPr>
      <w:r w:rsidRPr="00B04ABD">
        <w:t xml:space="preserve">In turn, "Cluster 2 - Tree-lined Neighborhoods" is mainly characterized by the highest presence of trees, with about 20% of its area dedicated to residential use, no commercial areas, and a low inclination for farms. Eighteen percent of the clusters belong to this class, located at the periphery of urban areas. The third cluster, "Cluster 3 - Medium Building Density," is the largest, accounting for 28% of the analyzed area. Situated at the border of the first clusters, it </w:t>
      </w:r>
      <w:r w:rsidRPr="00B04ABD">
        <w:t>features the second most residential and commercial areas. "Cluster 4 - Mixed Rural Use" represents 10% of the analyzed area and, as the name suggests, has a mosaic of rural use, including forests, grasslands, shrubs, and crop areas. The least represented cluster, with only 6% of the clusters classified in this category, "Cluster 5 - Waterfront Housing," is located in front of the Ontario, Sinkoe, Erie, and Huron lakes, in neighborhoods with very low building density. Finally, "Cluster 6 - Farms and Rural Neighborhoods" represents 21% of the study area, scattered throughout the study area, sometimes close to major roads, and sometimes in the interior. It exhibits the highest presence of crop land.</w:t>
      </w:r>
    </w:p>
    <w:p w14:paraId="10359B4A" w14:textId="77777777" w:rsidR="00EE61A4" w:rsidRDefault="00EE61A4" w:rsidP="00EE61A4">
      <w:pPr>
        <w:spacing w:line="276" w:lineRule="auto"/>
      </w:pPr>
      <w:r>
        <w:rPr>
          <w:noProof/>
        </w:rPr>
        <w:drawing>
          <wp:inline distT="0" distB="0" distL="0" distR="0" wp14:anchorId="6CE4B43B" wp14:editId="1CE325C2">
            <wp:extent cx="2962910" cy="2218266"/>
            <wp:effectExtent l="0" t="0" r="8890" b="0"/>
            <wp:docPr id="2106688054" name="Picture 4" descr="A map of a city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88054" name="Picture 4" descr="A map of a city with different colored dots&#10;&#10;Description automatically generated"/>
                    <pic:cNvPicPr/>
                  </pic:nvPicPr>
                  <pic:blipFill rotWithShape="1">
                    <a:blip r:embed="rId11" cstate="print">
                      <a:extLst>
                        <a:ext uri="{28A0092B-C50C-407E-A947-70E740481C1C}">
                          <a14:useLocalDpi xmlns:a14="http://schemas.microsoft.com/office/drawing/2010/main" val="0"/>
                        </a:ext>
                      </a:extLst>
                    </a:blip>
                    <a:srcRect t="4150" r="3262" b="5243"/>
                    <a:stretch/>
                  </pic:blipFill>
                  <pic:spPr bwMode="auto">
                    <a:xfrm>
                      <a:off x="0" y="0"/>
                      <a:ext cx="2963333" cy="2218583"/>
                    </a:xfrm>
                    <a:prstGeom prst="rect">
                      <a:avLst/>
                    </a:prstGeom>
                    <a:ln>
                      <a:noFill/>
                    </a:ln>
                    <a:extLst>
                      <a:ext uri="{53640926-AAD7-44D8-BBD7-CCE9431645EC}">
                        <a14:shadowObscured xmlns:a14="http://schemas.microsoft.com/office/drawing/2010/main"/>
                      </a:ext>
                    </a:extLst>
                  </pic:spPr>
                </pic:pic>
              </a:graphicData>
            </a:graphic>
          </wp:inline>
        </w:drawing>
      </w:r>
    </w:p>
    <w:p w14:paraId="5DD003FB" w14:textId="7A265F9C" w:rsidR="00EE61A4" w:rsidRDefault="00EE61A4" w:rsidP="00EE61A4">
      <w:pPr>
        <w:pStyle w:val="Caption"/>
        <w:spacing w:after="240"/>
      </w:pPr>
      <w:r>
        <w:t xml:space="preserve">Figure </w:t>
      </w:r>
      <w:fldSimple w:instr=" SEQ Figure \* ARABIC ">
        <w:r w:rsidR="00DF0E60">
          <w:rPr>
            <w:noProof/>
          </w:rPr>
          <w:t>2</w:t>
        </w:r>
      </w:fldSimple>
      <w:r>
        <w:t xml:space="preserve"> - </w:t>
      </w:r>
      <w:r w:rsidRPr="00C32770">
        <w:t>Study area spatial patterns.</w:t>
      </w:r>
    </w:p>
    <w:p w14:paraId="31FD78F2" w14:textId="25DBA2B2" w:rsidR="00B04ABD" w:rsidRPr="00B04ABD" w:rsidRDefault="00B04ABD" w:rsidP="004440B7">
      <w:pPr>
        <w:pStyle w:val="Heading2"/>
        <w:spacing w:line="276" w:lineRule="auto"/>
      </w:pPr>
      <w:bookmarkStart w:id="6" w:name="_Toc153304705"/>
      <w:r w:rsidRPr="00B04ABD">
        <w:t>Differences in job accessibility</w:t>
      </w:r>
      <w:bookmarkEnd w:id="6"/>
    </w:p>
    <w:p w14:paraId="2EA2CD88" w14:textId="0474F71C" w:rsidR="00B04ABD" w:rsidRDefault="00B04ABD" w:rsidP="004440B7">
      <w:pPr>
        <w:spacing w:line="276" w:lineRule="auto"/>
      </w:pPr>
      <w:r w:rsidRPr="00B04ABD">
        <w:t xml:space="preserve">Figure </w:t>
      </w:r>
      <w:r w:rsidR="00C23A80">
        <w:t>3</w:t>
      </w:r>
      <w:r w:rsidRPr="00B04ABD">
        <w:t xml:space="preserve"> illustrates job accessibility by mode in the Greater Golden Horseshoe study area. Notably, the region around downtown Toronto exhibits the highest levels of accessibility, with a decrease in accessibility as you move away from Toronto, a trend particularly noticeable on the walking map. Table </w:t>
      </w:r>
      <w:r w:rsidR="00C23A80">
        <w:t>2</w:t>
      </w:r>
      <w:r w:rsidRPr="00B04ABD">
        <w:t xml:space="preserve"> presents job accessibility by spatial patterns and modes. Notably, "Cluster 1 - High Building Density" and "Cluster 3 - Medium Building Density," characterized by the presence of commercial areas, demonstrate the highest </w:t>
      </w:r>
      <w:r w:rsidRPr="00B04ABD">
        <w:lastRenderedPageBreak/>
        <w:t>mean job accessibility values. In contrast, the remaining clusters display considerably lower job accessibility indices, posing challenges in distinguishing them based solely on average values.</w:t>
      </w:r>
    </w:p>
    <w:p w14:paraId="712E392B" w14:textId="77777777" w:rsidR="00D94618" w:rsidRDefault="00D94618" w:rsidP="00D94618">
      <w:pPr>
        <w:keepNext/>
        <w:spacing w:line="276" w:lineRule="auto"/>
      </w:pPr>
      <w:r>
        <w:rPr>
          <w:noProof/>
        </w:rPr>
        <w:drawing>
          <wp:inline distT="0" distB="0" distL="0" distR="0" wp14:anchorId="703306B9" wp14:editId="03AFDA46">
            <wp:extent cx="3098800" cy="2586652"/>
            <wp:effectExtent l="0" t="0" r="6350" b="4445"/>
            <wp:docPr id="1866503592"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03592" name="Picture 5" descr="A screenshot of a map&#10;&#10;Description automatically generated"/>
                    <pic:cNvPicPr/>
                  </pic:nvPicPr>
                  <pic:blipFill rotWithShape="1">
                    <a:blip r:embed="rId12" cstate="print">
                      <a:extLst>
                        <a:ext uri="{28A0092B-C50C-407E-A947-70E740481C1C}">
                          <a14:useLocalDpi xmlns:a14="http://schemas.microsoft.com/office/drawing/2010/main" val="0"/>
                        </a:ext>
                      </a:extLst>
                    </a:blip>
                    <a:srcRect l="5804"/>
                    <a:stretch/>
                  </pic:blipFill>
                  <pic:spPr bwMode="auto">
                    <a:xfrm>
                      <a:off x="0" y="0"/>
                      <a:ext cx="3104150" cy="2591118"/>
                    </a:xfrm>
                    <a:prstGeom prst="rect">
                      <a:avLst/>
                    </a:prstGeom>
                    <a:ln>
                      <a:noFill/>
                    </a:ln>
                    <a:extLst>
                      <a:ext uri="{53640926-AAD7-44D8-BBD7-CCE9431645EC}">
                        <a14:shadowObscured xmlns:a14="http://schemas.microsoft.com/office/drawing/2010/main"/>
                      </a:ext>
                    </a:extLst>
                  </pic:spPr>
                </pic:pic>
              </a:graphicData>
            </a:graphic>
          </wp:inline>
        </w:drawing>
      </w:r>
    </w:p>
    <w:p w14:paraId="5ED5B3A2" w14:textId="1C818DEE" w:rsidR="00D94618" w:rsidRDefault="00D94618" w:rsidP="00066BE5">
      <w:pPr>
        <w:pStyle w:val="Caption"/>
        <w:keepNext/>
      </w:pPr>
      <w:r>
        <w:t xml:space="preserve">Figure </w:t>
      </w:r>
      <w:fldSimple w:instr=" SEQ Figure \* ARABIC ">
        <w:r w:rsidR="00DF0E60">
          <w:rPr>
            <w:noProof/>
          </w:rPr>
          <w:t>3</w:t>
        </w:r>
      </w:fldSimple>
      <w:r w:rsidR="00C32770">
        <w:t xml:space="preserve"> - </w:t>
      </w:r>
      <w:r w:rsidR="00C32770" w:rsidRPr="00C32770">
        <w:t>Job accessibility by mode in the Greater Golden Horseshoe Study Area.</w:t>
      </w:r>
    </w:p>
    <w:p w14:paraId="1CD770C9" w14:textId="77777777" w:rsidR="00066BE5" w:rsidRDefault="00066BE5" w:rsidP="00066BE5">
      <w:pPr>
        <w:spacing w:before="120" w:after="120" w:line="276" w:lineRule="auto"/>
        <w:ind w:firstLine="360"/>
      </w:pPr>
      <w:r w:rsidRPr="00B04ABD">
        <w:t xml:space="preserve">The spatial patterns exhibit differences in their median values of job accessibility for all transportation modes: walking, cycling, public transportation (off-peak), and public transportation (peak) (see Table </w:t>
      </w:r>
      <w:r>
        <w:t>3</w:t>
      </w:r>
      <w:r w:rsidRPr="00B04ABD">
        <w:t>). The Kruskal-Wallis test results for all transportation modes yield p-values &lt; 2.2e-16, suggesting that there is significant statistical evidence against the null hypothesis of no difference in job accessibility between spatial patterns in the GGH.</w:t>
      </w:r>
    </w:p>
    <w:p w14:paraId="3DEEBDDE" w14:textId="516AC650" w:rsidR="001319E2" w:rsidRDefault="001319E2" w:rsidP="00C32770">
      <w:pPr>
        <w:pStyle w:val="Caption"/>
        <w:keepNext/>
        <w:spacing w:after="120"/>
      </w:pPr>
      <w:r>
        <w:t xml:space="preserve">Table </w:t>
      </w:r>
      <w:fldSimple w:instr=" SEQ Table \* ARABIC ">
        <w:r w:rsidR="00DF0E60">
          <w:rPr>
            <w:noProof/>
          </w:rPr>
          <w:t>2</w:t>
        </w:r>
      </w:fldSimple>
      <w:r w:rsidR="00C32770">
        <w:t xml:space="preserve"> - </w:t>
      </w:r>
      <w:r w:rsidR="00C32770" w:rsidRPr="00C32770">
        <w:t>Mean values for job accessibility by spatial pattern and mode of transport</w:t>
      </w:r>
      <w:r w:rsidR="00C3277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20"/>
        <w:gridCol w:w="990"/>
        <w:gridCol w:w="990"/>
        <w:gridCol w:w="810"/>
        <w:gridCol w:w="1314"/>
      </w:tblGrid>
      <w:tr w:rsidR="001319E2" w:rsidRPr="001319E2" w14:paraId="421AD56D" w14:textId="77777777" w:rsidTr="001319E2">
        <w:tc>
          <w:tcPr>
            <w:tcW w:w="720" w:type="dxa"/>
            <w:tcBorders>
              <w:top w:val="single" w:sz="4" w:space="0" w:color="auto"/>
              <w:bottom w:val="single" w:sz="4" w:space="0" w:color="auto"/>
            </w:tcBorders>
            <w:vAlign w:val="center"/>
          </w:tcPr>
          <w:p w14:paraId="1DD94E73" w14:textId="4A365041"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b/>
                <w:sz w:val="20"/>
                <w:szCs w:val="20"/>
              </w:rPr>
              <w:t>Cluster</w:t>
            </w:r>
          </w:p>
        </w:tc>
        <w:tc>
          <w:tcPr>
            <w:tcW w:w="990" w:type="dxa"/>
            <w:tcBorders>
              <w:top w:val="single" w:sz="4" w:space="0" w:color="auto"/>
              <w:bottom w:val="single" w:sz="4" w:space="0" w:color="auto"/>
            </w:tcBorders>
            <w:vAlign w:val="center"/>
          </w:tcPr>
          <w:p w14:paraId="34A363E6" w14:textId="5838B86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b/>
                <w:sz w:val="20"/>
                <w:szCs w:val="20"/>
              </w:rPr>
              <w:t>Walking</w:t>
            </w:r>
          </w:p>
        </w:tc>
        <w:tc>
          <w:tcPr>
            <w:tcW w:w="990" w:type="dxa"/>
            <w:tcBorders>
              <w:top w:val="single" w:sz="4" w:space="0" w:color="auto"/>
              <w:bottom w:val="single" w:sz="4" w:space="0" w:color="auto"/>
            </w:tcBorders>
            <w:vAlign w:val="center"/>
          </w:tcPr>
          <w:p w14:paraId="7B3C4B63" w14:textId="2C0E18B8"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b/>
                <w:sz w:val="20"/>
                <w:szCs w:val="20"/>
              </w:rPr>
              <w:t>Cycling</w:t>
            </w:r>
          </w:p>
        </w:tc>
        <w:tc>
          <w:tcPr>
            <w:tcW w:w="810" w:type="dxa"/>
            <w:tcBorders>
              <w:top w:val="single" w:sz="4" w:space="0" w:color="auto"/>
              <w:bottom w:val="single" w:sz="4" w:space="0" w:color="auto"/>
            </w:tcBorders>
            <w:vAlign w:val="center"/>
          </w:tcPr>
          <w:p w14:paraId="53251730" w14:textId="5E8D6BE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b/>
                <w:sz w:val="20"/>
                <w:szCs w:val="20"/>
              </w:rPr>
              <w:t>Public</w:t>
            </w:r>
            <w:r w:rsidRPr="001319E2">
              <w:rPr>
                <w:rFonts w:ascii="Arial Nova Cond" w:hAnsi="Arial Nova Cond"/>
                <w:b/>
                <w:spacing w:val="25"/>
                <w:sz w:val="20"/>
                <w:szCs w:val="20"/>
              </w:rPr>
              <w:t xml:space="preserve"> </w:t>
            </w:r>
            <w:r w:rsidRPr="001319E2">
              <w:rPr>
                <w:rFonts w:ascii="Arial Nova Cond" w:hAnsi="Arial Nova Cond"/>
                <w:b/>
                <w:sz w:val="20"/>
                <w:szCs w:val="20"/>
              </w:rPr>
              <w:t>transit</w:t>
            </w:r>
          </w:p>
        </w:tc>
        <w:tc>
          <w:tcPr>
            <w:tcW w:w="1314" w:type="dxa"/>
            <w:tcBorders>
              <w:top w:val="single" w:sz="4" w:space="0" w:color="auto"/>
              <w:bottom w:val="single" w:sz="4" w:space="0" w:color="auto"/>
            </w:tcBorders>
            <w:vAlign w:val="center"/>
          </w:tcPr>
          <w:p w14:paraId="50F780F3" w14:textId="1B0FF726"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b/>
                <w:sz w:val="20"/>
                <w:szCs w:val="20"/>
              </w:rPr>
              <w:t>Public</w:t>
            </w:r>
            <w:r w:rsidRPr="001319E2">
              <w:rPr>
                <w:rFonts w:ascii="Arial Nova Cond" w:hAnsi="Arial Nova Cond"/>
                <w:b/>
                <w:spacing w:val="27"/>
                <w:sz w:val="20"/>
                <w:szCs w:val="20"/>
              </w:rPr>
              <w:t xml:space="preserve"> </w:t>
            </w:r>
            <w:r w:rsidRPr="001319E2">
              <w:rPr>
                <w:rFonts w:ascii="Arial Nova Cond" w:hAnsi="Arial Nova Cond"/>
                <w:b/>
                <w:sz w:val="20"/>
                <w:szCs w:val="20"/>
              </w:rPr>
              <w:t>transit</w:t>
            </w:r>
            <w:r w:rsidRPr="001319E2">
              <w:rPr>
                <w:rFonts w:ascii="Arial Nova Cond" w:hAnsi="Arial Nova Cond"/>
                <w:b/>
                <w:spacing w:val="27"/>
                <w:sz w:val="20"/>
                <w:szCs w:val="20"/>
              </w:rPr>
              <w:t xml:space="preserve"> </w:t>
            </w:r>
            <w:r w:rsidRPr="001319E2">
              <w:rPr>
                <w:rFonts w:ascii="Arial Nova Cond" w:hAnsi="Arial Nova Cond"/>
                <w:b/>
                <w:sz w:val="20"/>
                <w:szCs w:val="20"/>
              </w:rPr>
              <w:t>(peak)</w:t>
            </w:r>
          </w:p>
        </w:tc>
      </w:tr>
      <w:tr w:rsidR="001319E2" w:rsidRPr="001319E2" w14:paraId="3B17F2DB" w14:textId="77777777" w:rsidTr="001319E2">
        <w:tc>
          <w:tcPr>
            <w:tcW w:w="720" w:type="dxa"/>
            <w:tcBorders>
              <w:top w:val="single" w:sz="4" w:space="0" w:color="auto"/>
            </w:tcBorders>
            <w:vAlign w:val="center"/>
          </w:tcPr>
          <w:p w14:paraId="1A7A86B3" w14:textId="014B91EE"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1</w:t>
            </w:r>
          </w:p>
        </w:tc>
        <w:tc>
          <w:tcPr>
            <w:tcW w:w="990" w:type="dxa"/>
            <w:tcBorders>
              <w:top w:val="single" w:sz="4" w:space="0" w:color="auto"/>
            </w:tcBorders>
          </w:tcPr>
          <w:p w14:paraId="698E3B2B" w14:textId="28009EB5"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0.0478</w:t>
            </w:r>
          </w:p>
        </w:tc>
        <w:tc>
          <w:tcPr>
            <w:tcW w:w="990" w:type="dxa"/>
            <w:tcBorders>
              <w:top w:val="single" w:sz="4" w:space="0" w:color="auto"/>
            </w:tcBorders>
          </w:tcPr>
          <w:p w14:paraId="1080DF07" w14:textId="22183190"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0.1694</w:t>
            </w:r>
          </w:p>
        </w:tc>
        <w:tc>
          <w:tcPr>
            <w:tcW w:w="810" w:type="dxa"/>
            <w:tcBorders>
              <w:top w:val="single" w:sz="4" w:space="0" w:color="auto"/>
            </w:tcBorders>
          </w:tcPr>
          <w:p w14:paraId="3AF8D36E" w14:textId="4098D56C"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0.2097</w:t>
            </w:r>
          </w:p>
        </w:tc>
        <w:tc>
          <w:tcPr>
            <w:tcW w:w="1314" w:type="dxa"/>
            <w:tcBorders>
              <w:top w:val="single" w:sz="4" w:space="0" w:color="auto"/>
            </w:tcBorders>
          </w:tcPr>
          <w:p w14:paraId="76D3EC2A" w14:textId="3AA29E8D"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0.2244</w:t>
            </w:r>
          </w:p>
        </w:tc>
      </w:tr>
      <w:tr w:rsidR="001319E2" w:rsidRPr="001319E2" w14:paraId="283F384C" w14:textId="77777777" w:rsidTr="001319E2">
        <w:tc>
          <w:tcPr>
            <w:tcW w:w="720" w:type="dxa"/>
            <w:vAlign w:val="center"/>
          </w:tcPr>
          <w:p w14:paraId="20CC8F1B" w14:textId="7B8799C9"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2</w:t>
            </w:r>
          </w:p>
        </w:tc>
        <w:tc>
          <w:tcPr>
            <w:tcW w:w="990" w:type="dxa"/>
          </w:tcPr>
          <w:p w14:paraId="629AC697" w14:textId="1D47C89A"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0.0023</w:t>
            </w:r>
          </w:p>
        </w:tc>
        <w:tc>
          <w:tcPr>
            <w:tcW w:w="990" w:type="dxa"/>
          </w:tcPr>
          <w:p w14:paraId="66C16924" w14:textId="7CF1D9A6"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0.0098</w:t>
            </w:r>
          </w:p>
        </w:tc>
        <w:tc>
          <w:tcPr>
            <w:tcW w:w="810" w:type="dxa"/>
          </w:tcPr>
          <w:p w14:paraId="24EB8590" w14:textId="264661DF"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0.0044</w:t>
            </w:r>
          </w:p>
        </w:tc>
        <w:tc>
          <w:tcPr>
            <w:tcW w:w="1314" w:type="dxa"/>
          </w:tcPr>
          <w:p w14:paraId="7A6FA5F9" w14:textId="3AF079FF"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0.0046</w:t>
            </w:r>
          </w:p>
        </w:tc>
      </w:tr>
      <w:tr w:rsidR="001319E2" w:rsidRPr="001319E2" w14:paraId="3FD17441" w14:textId="77777777" w:rsidTr="001319E2">
        <w:tc>
          <w:tcPr>
            <w:tcW w:w="720" w:type="dxa"/>
            <w:vAlign w:val="center"/>
          </w:tcPr>
          <w:p w14:paraId="1C5F7262" w14:textId="28BFA487"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3</w:t>
            </w:r>
          </w:p>
        </w:tc>
        <w:tc>
          <w:tcPr>
            <w:tcW w:w="990" w:type="dxa"/>
          </w:tcPr>
          <w:p w14:paraId="14B3EAFA" w14:textId="3383511F"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0.0176</w:t>
            </w:r>
          </w:p>
        </w:tc>
        <w:tc>
          <w:tcPr>
            <w:tcW w:w="990" w:type="dxa"/>
          </w:tcPr>
          <w:p w14:paraId="554A3656" w14:textId="5D6CB045"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0.0711</w:t>
            </w:r>
          </w:p>
        </w:tc>
        <w:tc>
          <w:tcPr>
            <w:tcW w:w="810" w:type="dxa"/>
          </w:tcPr>
          <w:p w14:paraId="1B135FF4" w14:textId="4F9A0C91"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0.0797</w:t>
            </w:r>
          </w:p>
        </w:tc>
        <w:tc>
          <w:tcPr>
            <w:tcW w:w="1314" w:type="dxa"/>
          </w:tcPr>
          <w:p w14:paraId="5154DDE5" w14:textId="4AFE6104"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0.0862</w:t>
            </w:r>
          </w:p>
        </w:tc>
      </w:tr>
      <w:tr w:rsidR="001319E2" w:rsidRPr="001319E2" w14:paraId="2EF41D7E" w14:textId="77777777" w:rsidTr="001319E2">
        <w:tc>
          <w:tcPr>
            <w:tcW w:w="720" w:type="dxa"/>
            <w:vAlign w:val="center"/>
          </w:tcPr>
          <w:p w14:paraId="6165C830" w14:textId="7DDF6DD8"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4</w:t>
            </w:r>
          </w:p>
        </w:tc>
        <w:tc>
          <w:tcPr>
            <w:tcW w:w="990" w:type="dxa"/>
          </w:tcPr>
          <w:p w14:paraId="18BDCCD4" w14:textId="50619FE8"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0.0016</w:t>
            </w:r>
          </w:p>
        </w:tc>
        <w:tc>
          <w:tcPr>
            <w:tcW w:w="990" w:type="dxa"/>
          </w:tcPr>
          <w:p w14:paraId="4467B05D" w14:textId="5B2007D9"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0.0076</w:t>
            </w:r>
          </w:p>
        </w:tc>
        <w:tc>
          <w:tcPr>
            <w:tcW w:w="810" w:type="dxa"/>
          </w:tcPr>
          <w:p w14:paraId="58E5C756" w14:textId="23F419F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0.0029</w:t>
            </w:r>
          </w:p>
        </w:tc>
        <w:tc>
          <w:tcPr>
            <w:tcW w:w="1314" w:type="dxa"/>
          </w:tcPr>
          <w:p w14:paraId="021D0922" w14:textId="10DC22D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0.0031</w:t>
            </w:r>
          </w:p>
        </w:tc>
      </w:tr>
      <w:tr w:rsidR="001319E2" w:rsidRPr="001319E2" w14:paraId="7110ED34" w14:textId="77777777" w:rsidTr="001319E2">
        <w:tc>
          <w:tcPr>
            <w:tcW w:w="720" w:type="dxa"/>
            <w:vAlign w:val="center"/>
          </w:tcPr>
          <w:p w14:paraId="661C30D5" w14:textId="5EDB5032"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5</w:t>
            </w:r>
          </w:p>
        </w:tc>
        <w:tc>
          <w:tcPr>
            <w:tcW w:w="990" w:type="dxa"/>
          </w:tcPr>
          <w:p w14:paraId="628A45DA" w14:textId="0C60AD6A"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0.0046</w:t>
            </w:r>
          </w:p>
        </w:tc>
        <w:tc>
          <w:tcPr>
            <w:tcW w:w="990" w:type="dxa"/>
          </w:tcPr>
          <w:p w14:paraId="6DA69A4E" w14:textId="605028D1"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0.0174</w:t>
            </w:r>
          </w:p>
        </w:tc>
        <w:tc>
          <w:tcPr>
            <w:tcW w:w="810" w:type="dxa"/>
          </w:tcPr>
          <w:p w14:paraId="2B7A8192" w14:textId="2F709C76"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0.0157</w:t>
            </w:r>
          </w:p>
        </w:tc>
        <w:tc>
          <w:tcPr>
            <w:tcW w:w="1314" w:type="dxa"/>
          </w:tcPr>
          <w:p w14:paraId="15C992C9" w14:textId="3F880928"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0.0167</w:t>
            </w:r>
          </w:p>
        </w:tc>
      </w:tr>
      <w:tr w:rsidR="001319E2" w:rsidRPr="001319E2" w14:paraId="694EFA75" w14:textId="77777777" w:rsidTr="001319E2">
        <w:tc>
          <w:tcPr>
            <w:tcW w:w="720" w:type="dxa"/>
            <w:tcBorders>
              <w:bottom w:val="single" w:sz="4" w:space="0" w:color="auto"/>
            </w:tcBorders>
            <w:vAlign w:val="center"/>
          </w:tcPr>
          <w:p w14:paraId="3168C8F8" w14:textId="44385A07" w:rsidR="001319E2" w:rsidRPr="001319E2" w:rsidRDefault="001319E2" w:rsidP="001319E2">
            <w:pPr>
              <w:spacing w:line="276" w:lineRule="auto"/>
              <w:jc w:val="left"/>
              <w:rPr>
                <w:rFonts w:ascii="Arial Nova Cond" w:hAnsi="Arial Nova Cond" w:cstheme="minorHAnsi"/>
                <w:sz w:val="20"/>
                <w:szCs w:val="20"/>
              </w:rPr>
            </w:pPr>
            <w:r w:rsidRPr="001319E2">
              <w:rPr>
                <w:rFonts w:ascii="Arial Nova Cond" w:hAnsi="Arial Nova Cond"/>
                <w:w w:val="101"/>
                <w:sz w:val="20"/>
                <w:szCs w:val="20"/>
              </w:rPr>
              <w:t>6</w:t>
            </w:r>
          </w:p>
        </w:tc>
        <w:tc>
          <w:tcPr>
            <w:tcW w:w="990" w:type="dxa"/>
            <w:tcBorders>
              <w:bottom w:val="single" w:sz="4" w:space="0" w:color="auto"/>
            </w:tcBorders>
          </w:tcPr>
          <w:p w14:paraId="1BF2AD49" w14:textId="520221FE"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0.0021</w:t>
            </w:r>
          </w:p>
        </w:tc>
        <w:tc>
          <w:tcPr>
            <w:tcW w:w="990" w:type="dxa"/>
            <w:tcBorders>
              <w:bottom w:val="single" w:sz="4" w:space="0" w:color="auto"/>
            </w:tcBorders>
          </w:tcPr>
          <w:p w14:paraId="47EE7F2B" w14:textId="24152A04"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0.0107</w:t>
            </w:r>
          </w:p>
        </w:tc>
        <w:tc>
          <w:tcPr>
            <w:tcW w:w="810" w:type="dxa"/>
            <w:tcBorders>
              <w:bottom w:val="single" w:sz="4" w:space="0" w:color="auto"/>
            </w:tcBorders>
          </w:tcPr>
          <w:p w14:paraId="2391708F" w14:textId="338E0AE4"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0.0042</w:t>
            </w:r>
          </w:p>
        </w:tc>
        <w:tc>
          <w:tcPr>
            <w:tcW w:w="1314" w:type="dxa"/>
            <w:tcBorders>
              <w:bottom w:val="single" w:sz="4" w:space="0" w:color="auto"/>
            </w:tcBorders>
          </w:tcPr>
          <w:p w14:paraId="1D97F2EC" w14:textId="4392819B" w:rsidR="001319E2" w:rsidRPr="001319E2" w:rsidRDefault="001319E2" w:rsidP="001319E2">
            <w:pPr>
              <w:spacing w:line="276" w:lineRule="auto"/>
              <w:jc w:val="center"/>
              <w:rPr>
                <w:rFonts w:ascii="Arial Nova Cond" w:hAnsi="Arial Nova Cond" w:cstheme="minorHAnsi"/>
                <w:sz w:val="20"/>
                <w:szCs w:val="20"/>
              </w:rPr>
            </w:pPr>
            <w:r w:rsidRPr="001319E2">
              <w:rPr>
                <w:rFonts w:ascii="Arial Nova Cond" w:hAnsi="Arial Nova Cond"/>
                <w:sz w:val="20"/>
                <w:szCs w:val="20"/>
              </w:rPr>
              <w:t>0.0044</w:t>
            </w:r>
          </w:p>
        </w:tc>
      </w:tr>
    </w:tbl>
    <w:p w14:paraId="5844D091" w14:textId="71959E7B" w:rsidR="001319E2" w:rsidRDefault="001319E2" w:rsidP="00C32770">
      <w:pPr>
        <w:pStyle w:val="Caption"/>
        <w:keepNext/>
        <w:spacing w:after="120"/>
      </w:pPr>
      <w:r>
        <w:t xml:space="preserve">Table </w:t>
      </w:r>
      <w:fldSimple w:instr=" SEQ Table \* ARABIC ">
        <w:r w:rsidR="00DF0E60">
          <w:rPr>
            <w:noProof/>
          </w:rPr>
          <w:t>3</w:t>
        </w:r>
      </w:fldSimple>
      <w:r w:rsidR="00C32770">
        <w:t xml:space="preserve"> - C</w:t>
      </w:r>
      <w:r w:rsidR="00C32770" w:rsidRPr="00C32770">
        <w:t>omparisions of job accessibility between spatial patterns.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604"/>
        <w:gridCol w:w="1605"/>
        <w:gridCol w:w="1605"/>
      </w:tblGrid>
      <w:tr w:rsidR="001319E2" w:rsidRPr="001319E2" w14:paraId="4B637997" w14:textId="77777777" w:rsidTr="001319E2">
        <w:tc>
          <w:tcPr>
            <w:tcW w:w="1604" w:type="dxa"/>
            <w:tcBorders>
              <w:top w:val="single" w:sz="4" w:space="0" w:color="auto"/>
              <w:bottom w:val="single" w:sz="4" w:space="0" w:color="auto"/>
            </w:tcBorders>
            <w:vAlign w:val="center"/>
          </w:tcPr>
          <w:p w14:paraId="1D093E30" w14:textId="50B9C409" w:rsidR="001319E2" w:rsidRPr="001319E2" w:rsidRDefault="001319E2" w:rsidP="001319E2">
            <w:pPr>
              <w:spacing w:line="276" w:lineRule="auto"/>
              <w:jc w:val="left"/>
              <w:rPr>
                <w:rFonts w:ascii="Arial Nova Cond" w:hAnsi="Arial Nova Cond"/>
                <w:b/>
                <w:bCs/>
                <w:sz w:val="20"/>
                <w:szCs w:val="20"/>
              </w:rPr>
            </w:pPr>
            <w:r w:rsidRPr="001319E2">
              <w:rPr>
                <w:rFonts w:ascii="Arial Nova Cond" w:hAnsi="Arial Nova Cond"/>
                <w:b/>
                <w:bCs/>
                <w:sz w:val="20"/>
                <w:szCs w:val="20"/>
              </w:rPr>
              <w:t>Mode</w:t>
            </w:r>
          </w:p>
        </w:tc>
        <w:tc>
          <w:tcPr>
            <w:tcW w:w="1605" w:type="dxa"/>
            <w:tcBorders>
              <w:top w:val="single" w:sz="4" w:space="0" w:color="auto"/>
              <w:bottom w:val="single" w:sz="4" w:space="0" w:color="auto"/>
            </w:tcBorders>
            <w:vAlign w:val="center"/>
          </w:tcPr>
          <w:p w14:paraId="06A373D5" w14:textId="3CAF1015" w:rsidR="001319E2" w:rsidRPr="001319E2" w:rsidRDefault="001319E2" w:rsidP="001319E2">
            <w:pPr>
              <w:spacing w:line="276" w:lineRule="auto"/>
              <w:jc w:val="center"/>
              <w:rPr>
                <w:rFonts w:ascii="Arial Nova Cond" w:hAnsi="Arial Nova Cond"/>
                <w:b/>
                <w:bCs/>
                <w:sz w:val="20"/>
                <w:szCs w:val="20"/>
              </w:rPr>
            </w:pPr>
            <w:r w:rsidRPr="001319E2">
              <w:rPr>
                <w:rFonts w:ascii="Arial Nova Cond" w:hAnsi="Arial Nova Cond"/>
                <w:b/>
                <w:bCs/>
                <w:sz w:val="20"/>
                <w:szCs w:val="20"/>
              </w:rPr>
              <w:t>Statistically different</w:t>
            </w:r>
            <w:r>
              <w:rPr>
                <w:rFonts w:ascii="Arial Nova Cond" w:hAnsi="Arial Nova Cond"/>
                <w:b/>
                <w:bCs/>
                <w:sz w:val="20"/>
                <w:szCs w:val="20"/>
              </w:rPr>
              <w:t xml:space="preserve"> </w:t>
            </w:r>
          </w:p>
        </w:tc>
        <w:tc>
          <w:tcPr>
            <w:tcW w:w="1605" w:type="dxa"/>
            <w:tcBorders>
              <w:top w:val="single" w:sz="4" w:space="0" w:color="auto"/>
              <w:bottom w:val="single" w:sz="4" w:space="0" w:color="auto"/>
            </w:tcBorders>
            <w:vAlign w:val="center"/>
          </w:tcPr>
          <w:p w14:paraId="479F754A" w14:textId="2308CE45" w:rsidR="001319E2" w:rsidRPr="001319E2" w:rsidRDefault="001319E2" w:rsidP="001319E2">
            <w:pPr>
              <w:spacing w:line="276" w:lineRule="auto"/>
              <w:jc w:val="center"/>
              <w:rPr>
                <w:rFonts w:ascii="Arial Nova Cond" w:hAnsi="Arial Nova Cond"/>
                <w:b/>
                <w:bCs/>
                <w:sz w:val="20"/>
                <w:szCs w:val="20"/>
              </w:rPr>
            </w:pPr>
            <w:r w:rsidRPr="001319E2">
              <w:rPr>
                <w:rFonts w:ascii="Arial Nova Cond" w:hAnsi="Arial Nova Cond"/>
                <w:b/>
                <w:bCs/>
                <w:sz w:val="20"/>
                <w:szCs w:val="20"/>
              </w:rPr>
              <w:t xml:space="preserve">No statistical difference </w:t>
            </w:r>
          </w:p>
        </w:tc>
      </w:tr>
      <w:tr w:rsidR="001319E2" w:rsidRPr="001319E2" w14:paraId="52DDEB7A" w14:textId="77777777" w:rsidTr="001319E2">
        <w:tc>
          <w:tcPr>
            <w:tcW w:w="1604" w:type="dxa"/>
            <w:tcBorders>
              <w:top w:val="single" w:sz="4" w:space="0" w:color="auto"/>
            </w:tcBorders>
            <w:vAlign w:val="center"/>
          </w:tcPr>
          <w:p w14:paraId="423C6A4D" w14:textId="52A6DF18" w:rsidR="001319E2" w:rsidRPr="001319E2" w:rsidRDefault="001319E2" w:rsidP="001319E2">
            <w:pPr>
              <w:spacing w:line="276" w:lineRule="auto"/>
              <w:jc w:val="left"/>
              <w:rPr>
                <w:rFonts w:ascii="Arial Nova Cond" w:hAnsi="Arial Nova Cond"/>
                <w:sz w:val="20"/>
                <w:szCs w:val="20"/>
              </w:rPr>
            </w:pPr>
            <w:r w:rsidRPr="001319E2">
              <w:rPr>
                <w:rFonts w:ascii="Arial Nova Cond" w:hAnsi="Arial Nova Cond"/>
                <w:sz w:val="20"/>
                <w:szCs w:val="20"/>
              </w:rPr>
              <w:t>Walking</w:t>
            </w:r>
          </w:p>
        </w:tc>
        <w:tc>
          <w:tcPr>
            <w:tcW w:w="1605" w:type="dxa"/>
            <w:tcBorders>
              <w:top w:val="single" w:sz="4" w:space="0" w:color="auto"/>
            </w:tcBorders>
            <w:vAlign w:val="center"/>
          </w:tcPr>
          <w:p w14:paraId="22C6DAA6" w14:textId="0C01472D"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1, 2, 3</w:t>
            </w:r>
          </w:p>
        </w:tc>
        <w:tc>
          <w:tcPr>
            <w:tcW w:w="1605" w:type="dxa"/>
            <w:tcBorders>
              <w:top w:val="single" w:sz="4" w:space="0" w:color="auto"/>
            </w:tcBorders>
            <w:vAlign w:val="center"/>
          </w:tcPr>
          <w:p w14:paraId="41BEE181" w14:textId="2A396F7C"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4 e 5; 5 e 6</w:t>
            </w:r>
          </w:p>
        </w:tc>
      </w:tr>
      <w:tr w:rsidR="001319E2" w:rsidRPr="001319E2" w14:paraId="2DF4A28C" w14:textId="77777777" w:rsidTr="001319E2">
        <w:tc>
          <w:tcPr>
            <w:tcW w:w="1604" w:type="dxa"/>
            <w:vAlign w:val="center"/>
          </w:tcPr>
          <w:p w14:paraId="269F8A74" w14:textId="056EE9CE" w:rsidR="001319E2" w:rsidRPr="001319E2" w:rsidRDefault="001319E2" w:rsidP="001319E2">
            <w:pPr>
              <w:spacing w:line="276" w:lineRule="auto"/>
              <w:jc w:val="left"/>
              <w:rPr>
                <w:rFonts w:ascii="Arial Nova Cond" w:hAnsi="Arial Nova Cond"/>
                <w:sz w:val="20"/>
                <w:szCs w:val="20"/>
              </w:rPr>
            </w:pPr>
            <w:r w:rsidRPr="001319E2">
              <w:rPr>
                <w:rFonts w:ascii="Arial Nova Cond" w:hAnsi="Arial Nova Cond"/>
                <w:sz w:val="20"/>
                <w:szCs w:val="20"/>
              </w:rPr>
              <w:t>Cycling</w:t>
            </w:r>
          </w:p>
        </w:tc>
        <w:tc>
          <w:tcPr>
            <w:tcW w:w="1605" w:type="dxa"/>
            <w:vAlign w:val="center"/>
          </w:tcPr>
          <w:p w14:paraId="518F4387" w14:textId="1145C8E2"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1, 2, 3, 6</w:t>
            </w:r>
          </w:p>
        </w:tc>
        <w:tc>
          <w:tcPr>
            <w:tcW w:w="1605" w:type="dxa"/>
            <w:vAlign w:val="center"/>
          </w:tcPr>
          <w:p w14:paraId="001E8583" w14:textId="1F96B7E3"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4 e 5</w:t>
            </w:r>
          </w:p>
        </w:tc>
      </w:tr>
      <w:tr w:rsidR="001319E2" w:rsidRPr="001319E2" w14:paraId="73C89A3D" w14:textId="77777777" w:rsidTr="001319E2">
        <w:tc>
          <w:tcPr>
            <w:tcW w:w="1604" w:type="dxa"/>
            <w:tcBorders>
              <w:bottom w:val="single" w:sz="4" w:space="0" w:color="auto"/>
            </w:tcBorders>
            <w:vAlign w:val="center"/>
          </w:tcPr>
          <w:p w14:paraId="1D0C91EE" w14:textId="735EAFC2" w:rsidR="001319E2" w:rsidRPr="001319E2" w:rsidRDefault="001319E2" w:rsidP="001319E2">
            <w:pPr>
              <w:spacing w:line="276" w:lineRule="auto"/>
              <w:jc w:val="left"/>
              <w:rPr>
                <w:rFonts w:ascii="Arial Nova Cond" w:hAnsi="Arial Nova Cond"/>
                <w:sz w:val="20"/>
                <w:szCs w:val="20"/>
              </w:rPr>
            </w:pPr>
            <w:r w:rsidRPr="001319E2">
              <w:rPr>
                <w:rFonts w:ascii="Arial Nova Cond" w:hAnsi="Arial Nova Cond"/>
                <w:sz w:val="20"/>
                <w:szCs w:val="20"/>
              </w:rPr>
              <w:t>Public transit</w:t>
            </w:r>
          </w:p>
        </w:tc>
        <w:tc>
          <w:tcPr>
            <w:tcW w:w="1605" w:type="dxa"/>
            <w:tcBorders>
              <w:bottom w:val="single" w:sz="4" w:space="0" w:color="auto"/>
            </w:tcBorders>
            <w:vAlign w:val="center"/>
          </w:tcPr>
          <w:p w14:paraId="06471AC0" w14:textId="13DAD6AE"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1, 3, 4, 5</w:t>
            </w:r>
          </w:p>
        </w:tc>
        <w:tc>
          <w:tcPr>
            <w:tcW w:w="1605" w:type="dxa"/>
            <w:tcBorders>
              <w:bottom w:val="single" w:sz="4" w:space="0" w:color="auto"/>
            </w:tcBorders>
            <w:vAlign w:val="center"/>
          </w:tcPr>
          <w:p w14:paraId="70D9EF92" w14:textId="294FE88A" w:rsidR="001319E2" w:rsidRPr="001319E2" w:rsidRDefault="001319E2" w:rsidP="001319E2">
            <w:pPr>
              <w:spacing w:line="276" w:lineRule="auto"/>
              <w:jc w:val="center"/>
              <w:rPr>
                <w:rFonts w:ascii="Arial Nova Cond" w:hAnsi="Arial Nova Cond"/>
                <w:sz w:val="20"/>
                <w:szCs w:val="20"/>
              </w:rPr>
            </w:pPr>
            <w:r w:rsidRPr="001319E2">
              <w:rPr>
                <w:rFonts w:ascii="Arial Nova Cond" w:hAnsi="Arial Nova Cond"/>
                <w:sz w:val="20"/>
                <w:szCs w:val="20"/>
              </w:rPr>
              <w:t>2 e 6</w:t>
            </w:r>
          </w:p>
        </w:tc>
      </w:tr>
    </w:tbl>
    <w:p w14:paraId="46DA2133" w14:textId="24D1E8F5" w:rsidR="00F247A0" w:rsidRDefault="00B04ABD" w:rsidP="00EE61A4">
      <w:pPr>
        <w:spacing w:before="240" w:line="276" w:lineRule="auto"/>
        <w:ind w:firstLine="360"/>
      </w:pPr>
      <w:r w:rsidRPr="00B04ABD">
        <w:t>Additionally, we observed that the spatial patterns "Cluster 1 - High Building Density" and "Cluster 3 - Medium Building Density" exhibit statistical differences in terms of job accessibility compared to the other clusters. "Cluster 4 - Mixed Rural Use" and "Cluster 6 - Farms and Rural Neighborhoods" show no statistical difference for walking when compared to "Cluster 5 - Waterfront Housing". Cluster 4 also shows no statistical difference for cycling when compared to Cluster 5. On the other hand, "Cluster 2 - Tree-lined Neighborhoods" and Cluster 6 show no statistical difference across both public transit modes (off-peak and on-peak).</w:t>
      </w:r>
    </w:p>
    <w:p w14:paraId="760B5215" w14:textId="31E55AD3" w:rsidR="00B04ABD" w:rsidRPr="00B04ABD" w:rsidRDefault="00B04ABD" w:rsidP="004440B7">
      <w:pPr>
        <w:pStyle w:val="Heading1"/>
        <w:spacing w:line="276" w:lineRule="auto"/>
      </w:pPr>
      <w:bookmarkStart w:id="7" w:name="_Toc153304706"/>
      <w:r w:rsidRPr="00B04ABD">
        <w:t>Conclusion</w:t>
      </w:r>
      <w:bookmarkEnd w:id="7"/>
    </w:p>
    <w:p w14:paraId="0E266DDB" w14:textId="77777777" w:rsidR="00B04ABD" w:rsidRPr="00AA3E93" w:rsidRDefault="00B04ABD" w:rsidP="004440B7">
      <w:pPr>
        <w:spacing w:line="276" w:lineRule="auto"/>
        <w:rPr>
          <w:szCs w:val="20"/>
        </w:rPr>
      </w:pPr>
      <w:r w:rsidRPr="00AA3E93">
        <w:rPr>
          <w:szCs w:val="20"/>
        </w:rPr>
        <w:t>The main objective of this study was to analyze and compare the levels of accessibility to work in various spatial patterns in the Greater Golden Horseshoe (GGH) region in Ontario, Canada. The comparison involved four modes of transportation: walking, cycling and public transit during peak and off-peak hours.</w:t>
      </w:r>
    </w:p>
    <w:p w14:paraId="0AE8A636" w14:textId="77777777" w:rsidR="00B04ABD" w:rsidRPr="00AA3E93" w:rsidRDefault="00B04ABD" w:rsidP="004440B7">
      <w:pPr>
        <w:spacing w:line="276" w:lineRule="auto"/>
        <w:ind w:firstLine="360"/>
        <w:rPr>
          <w:szCs w:val="20"/>
        </w:rPr>
      </w:pPr>
      <w:r w:rsidRPr="00AA3E93">
        <w:rPr>
          <w:szCs w:val="20"/>
        </w:rPr>
        <w:t>Initially, we identified six distinct spatial patterns in the study area, characterized by differences in building density, land use, location and street layout. Our analysis revealed that accessibility to work varies across the study area, with spatial patterns that exhibit higher building density also demonstrating high values of accessibility to work, regardless of the mode of transport considered.</w:t>
      </w:r>
    </w:p>
    <w:p w14:paraId="7E7FF5DD" w14:textId="77777777" w:rsidR="00F15D34" w:rsidRDefault="00B04ABD" w:rsidP="00F15D34">
      <w:pPr>
        <w:spacing w:line="276" w:lineRule="auto"/>
        <w:ind w:firstLine="360"/>
        <w:rPr>
          <w:szCs w:val="20"/>
        </w:rPr>
      </w:pPr>
      <w:r w:rsidRPr="00AA3E93">
        <w:rPr>
          <w:szCs w:val="20"/>
        </w:rPr>
        <w:t xml:space="preserve">Notably, the study area has a low overall density, with less than 25% of cells containing </w:t>
      </w:r>
      <w:r w:rsidRPr="00AA3E93">
        <w:rPr>
          <w:szCs w:val="20"/>
        </w:rPr>
        <w:lastRenderedPageBreak/>
        <w:t xml:space="preserve">more than 10% residential and/or commercial area. In addition, accessibility to work is concentrated in approximately 45% of the area analyzed, which corresponds to around 10% of the GGH. This concentration represents a complex challenge for spatial planners, as </w:t>
      </w:r>
      <w:r w:rsidRPr="00AA3E93">
        <w:rPr>
          <w:szCs w:val="20"/>
        </w:rPr>
        <w:t xml:space="preserve">employment opportunities are confined to a small part of the territory. This scenario can lead to housing shortages in urban areas and </w:t>
      </w:r>
      <w:r w:rsidR="008E6F62" w:rsidRPr="00AA3E93">
        <w:rPr>
          <w:szCs w:val="20"/>
        </w:rPr>
        <w:t>requires</w:t>
      </w:r>
      <w:r w:rsidRPr="00AA3E93">
        <w:rPr>
          <w:szCs w:val="20"/>
        </w:rPr>
        <w:t xml:space="preserve"> complex strategies to develop a transportation system capable of dealing with these territorial differences.</w:t>
      </w:r>
    </w:p>
    <w:p w14:paraId="41A8A3D7" w14:textId="77777777" w:rsidR="00EE61A4" w:rsidRDefault="00EE61A4" w:rsidP="00C32770">
      <w:pPr>
        <w:pStyle w:val="Heading1"/>
        <w:spacing w:after="0" w:line="276" w:lineRule="auto"/>
        <w:sectPr w:rsidR="00EE61A4" w:rsidSect="004440B7">
          <w:type w:val="continuous"/>
          <w:pgSz w:w="12240" w:h="15840"/>
          <w:pgMar w:top="1440" w:right="1080" w:bottom="1440" w:left="1080" w:header="720" w:footer="720" w:gutter="0"/>
          <w:cols w:num="2" w:space="432"/>
          <w:docGrid w:linePitch="360"/>
        </w:sectPr>
      </w:pPr>
    </w:p>
    <w:p w14:paraId="748510FD" w14:textId="77777777" w:rsidR="00F15D34" w:rsidRDefault="00F15D34" w:rsidP="00C32770">
      <w:pPr>
        <w:pStyle w:val="Heading1"/>
        <w:spacing w:after="0" w:line="276" w:lineRule="auto"/>
      </w:pPr>
      <w:bookmarkStart w:id="8" w:name="_Toc153304707"/>
    </w:p>
    <w:p w14:paraId="62B0FEE3" w14:textId="5509D033" w:rsidR="00AA3E93" w:rsidRPr="00B04ABD" w:rsidRDefault="00AA3E93" w:rsidP="00C32770">
      <w:pPr>
        <w:pStyle w:val="Heading1"/>
        <w:spacing w:after="0" w:line="276" w:lineRule="auto"/>
      </w:pPr>
      <w:r>
        <w:t>References</w:t>
      </w:r>
      <w:bookmarkEnd w:id="8"/>
    </w:p>
    <w:p w14:paraId="3D0C3421" w14:textId="77777777" w:rsidR="00AA3E93" w:rsidRPr="00EE61A4" w:rsidRDefault="00AA3E93" w:rsidP="00EE61A4">
      <w:pPr>
        <w:shd w:val="clear" w:color="auto" w:fill="FFFFFF"/>
        <w:tabs>
          <w:tab w:val="left" w:pos="180"/>
        </w:tabs>
        <w:spacing w:before="240" w:line="276" w:lineRule="auto"/>
        <w:ind w:left="180" w:hanging="180"/>
        <w:jc w:val="left"/>
      </w:pPr>
      <w:r w:rsidRPr="00EE61A4">
        <w:t>Buchhorn, M., Smets, B., Bertels, L., Roo, B.D., Lesiv, M., Tsendbazar, N.-E., Herold, M., Fritz, S., n.d. Copernicus Global Land Service: Land Cover 100m: collection 3: epoch 2018: Globe. doi:</w:t>
      </w:r>
      <w:hyperlink r:id="rId13" w:history="1">
        <w:r w:rsidRPr="00EE61A4">
          <w:rPr>
            <w:rStyle w:val="Hyperlink"/>
            <w:color w:val="auto"/>
          </w:rPr>
          <w:t>10.5281/ZENODO.3518038</w:t>
        </w:r>
      </w:hyperlink>
    </w:p>
    <w:p w14:paraId="1838A065" w14:textId="77777777" w:rsidR="00AA3E93" w:rsidRPr="00EE61A4" w:rsidRDefault="00AA3E93" w:rsidP="00EE61A4">
      <w:pPr>
        <w:shd w:val="clear" w:color="auto" w:fill="FFFFFF"/>
        <w:tabs>
          <w:tab w:val="left" w:pos="180"/>
        </w:tabs>
        <w:spacing w:before="240" w:line="276" w:lineRule="auto"/>
        <w:ind w:left="180" w:hanging="180"/>
        <w:jc w:val="left"/>
      </w:pPr>
      <w:r w:rsidRPr="00EE61A4">
        <w:t>Dos Santos, B.D., De Pinho, C.M.D., Oliveira, G.E.T., Korting, T.S., Escada, M.I.S., Amaral, S., 2022. Identifying Precarious Settlements and Urban Fabric Typologies Based on GEOBIA and Data Mining in Brazilian Amazon Cities. Remote Sensing 14, 704. doi:</w:t>
      </w:r>
      <w:hyperlink r:id="rId14" w:history="1">
        <w:r w:rsidRPr="00EE61A4">
          <w:rPr>
            <w:rStyle w:val="Hyperlink"/>
            <w:color w:val="auto"/>
          </w:rPr>
          <w:t>10.3390/rs14030704</w:t>
        </w:r>
      </w:hyperlink>
    </w:p>
    <w:p w14:paraId="4F6E0FCB" w14:textId="77777777" w:rsidR="00AA3E93" w:rsidRPr="00EE61A4" w:rsidRDefault="00AA3E93" w:rsidP="00EE61A4">
      <w:pPr>
        <w:shd w:val="clear" w:color="auto" w:fill="FFFFFF"/>
        <w:tabs>
          <w:tab w:val="left" w:pos="180"/>
        </w:tabs>
        <w:spacing w:before="240" w:line="276" w:lineRule="auto"/>
        <w:ind w:left="180" w:hanging="180"/>
        <w:jc w:val="left"/>
      </w:pPr>
      <w:r w:rsidRPr="00EE61A4">
        <w:t>European Commission. Joint Research Centre., 2023. </w:t>
      </w:r>
      <w:hyperlink r:id="rId15" w:history="1">
        <w:r w:rsidRPr="00EE61A4">
          <w:rPr>
            <w:rStyle w:val="Hyperlink"/>
            <w:color w:val="auto"/>
          </w:rPr>
          <w:t>GHSL data package 2023.</w:t>
        </w:r>
      </w:hyperlink>
      <w:r w:rsidRPr="00EE61A4">
        <w:t> Publications Office, LU.</w:t>
      </w:r>
    </w:p>
    <w:p w14:paraId="4C60B510" w14:textId="77777777" w:rsidR="00AA3E93" w:rsidRPr="00EE61A4" w:rsidRDefault="00AA3E93" w:rsidP="00EE61A4">
      <w:pPr>
        <w:shd w:val="clear" w:color="auto" w:fill="FFFFFF"/>
        <w:tabs>
          <w:tab w:val="left" w:pos="180"/>
        </w:tabs>
        <w:spacing w:before="240" w:line="276" w:lineRule="auto"/>
        <w:ind w:left="180" w:hanging="180"/>
        <w:jc w:val="left"/>
      </w:pPr>
      <w:r w:rsidRPr="00EE61A4">
        <w:t>Ontario, 2020. </w:t>
      </w:r>
      <w:hyperlink r:id="rId16" w:history="1">
        <w:r w:rsidRPr="00EE61A4">
          <w:rPr>
            <w:rStyle w:val="Hyperlink"/>
            <w:color w:val="auto"/>
          </w:rPr>
          <w:t>Planning transportation for the Greater</w:t>
        </w:r>
        <w:r w:rsidRPr="00EE61A4">
          <w:rPr>
            <w:rStyle w:val="Hyperlink"/>
            <w:color w:val="auto"/>
          </w:rPr>
          <w:t xml:space="preserve"> </w:t>
        </w:r>
        <w:r w:rsidRPr="00EE61A4">
          <w:rPr>
            <w:rStyle w:val="Hyperlink"/>
            <w:color w:val="auto"/>
          </w:rPr>
          <w:t>Golden Horseshoe | ontario.ca</w:t>
        </w:r>
      </w:hyperlink>
      <w:r w:rsidRPr="00EE61A4">
        <w:t>.</w:t>
      </w:r>
    </w:p>
    <w:p w14:paraId="350F0A3E" w14:textId="77777777" w:rsidR="00AA3E93" w:rsidRPr="00EE61A4" w:rsidRDefault="00AA3E93" w:rsidP="00EE61A4">
      <w:pPr>
        <w:shd w:val="clear" w:color="auto" w:fill="FFFFFF"/>
        <w:tabs>
          <w:tab w:val="left" w:pos="180"/>
        </w:tabs>
        <w:spacing w:before="240" w:line="276" w:lineRule="auto"/>
        <w:ind w:left="180" w:hanging="180"/>
        <w:jc w:val="left"/>
      </w:pPr>
      <w:r w:rsidRPr="00EE61A4">
        <w:t>OpenStreetMap, 2023. </w:t>
      </w:r>
      <w:hyperlink r:id="rId17" w:history="1">
        <w:r w:rsidRPr="00EE61A4">
          <w:rPr>
            <w:rStyle w:val="Hyperlink"/>
            <w:color w:val="auto"/>
          </w:rPr>
          <w:t>OpenStreetMap Dataset</w:t>
        </w:r>
      </w:hyperlink>
      <w:r w:rsidRPr="00EE61A4">
        <w:t>.</w:t>
      </w:r>
    </w:p>
    <w:p w14:paraId="1D08C7CA" w14:textId="77777777" w:rsidR="00AA3E93" w:rsidRPr="00EE61A4" w:rsidRDefault="00AA3E93" w:rsidP="00EE61A4">
      <w:pPr>
        <w:shd w:val="clear" w:color="auto" w:fill="FFFFFF"/>
        <w:tabs>
          <w:tab w:val="left" w:pos="180"/>
        </w:tabs>
        <w:spacing w:before="240" w:line="276" w:lineRule="auto"/>
        <w:ind w:left="180" w:hanging="180"/>
        <w:jc w:val="left"/>
      </w:pPr>
      <w:r w:rsidRPr="00EE61A4">
        <w:t>Páez, A., Scott, D.M., Morency, C., 2012. Measuring accessibility: Positive and normative implementations of various accessibility indicators. Journal of Transport Geography, Special section on accessibility and socio-economic activities: Methodological and empirical aspects 25, 141–153. doi:</w:t>
      </w:r>
      <w:hyperlink r:id="rId18" w:history="1">
        <w:r w:rsidRPr="00EE61A4">
          <w:rPr>
            <w:rStyle w:val="Hyperlink"/>
            <w:color w:val="auto"/>
          </w:rPr>
          <w:t>10.1016/j.jtrangeo.2012.03.016</w:t>
        </w:r>
      </w:hyperlink>
    </w:p>
    <w:p w14:paraId="74E54CFF" w14:textId="77777777" w:rsidR="00AA3E93" w:rsidRPr="00EE61A4" w:rsidRDefault="00AA3E93" w:rsidP="00EE61A4">
      <w:pPr>
        <w:shd w:val="clear" w:color="auto" w:fill="FFFFFF"/>
        <w:tabs>
          <w:tab w:val="left" w:pos="180"/>
        </w:tabs>
        <w:spacing w:before="240" w:line="276" w:lineRule="auto"/>
        <w:ind w:left="180" w:hanging="180"/>
        <w:jc w:val="left"/>
      </w:pPr>
      <w:r w:rsidRPr="00EE61A4">
        <w:t>Palm, M., Teel, S., Tiznado-Aitken, I., Soukhov, A., Paez, A., Farber, S., Hain, M., 2023. </w:t>
      </w:r>
      <w:hyperlink r:id="rId19" w:history="1">
        <w:r w:rsidRPr="00EE61A4">
          <w:rPr>
            <w:rStyle w:val="Hyperlink"/>
            <w:color w:val="auto"/>
          </w:rPr>
          <w:t>Developing data driven equity standards: Stakeholder perspectives</w:t>
        </w:r>
      </w:hyperlink>
      <w:r w:rsidRPr="00EE61A4">
        <w:t>.</w:t>
      </w:r>
    </w:p>
    <w:p w14:paraId="1BC7D0D2" w14:textId="77777777" w:rsidR="00AA3E93" w:rsidRPr="00EE61A4" w:rsidRDefault="00AA3E93" w:rsidP="00EE61A4">
      <w:pPr>
        <w:shd w:val="clear" w:color="auto" w:fill="FFFFFF"/>
        <w:tabs>
          <w:tab w:val="left" w:pos="180"/>
        </w:tabs>
        <w:spacing w:before="240" w:line="276" w:lineRule="auto"/>
        <w:ind w:left="180" w:hanging="180"/>
        <w:jc w:val="left"/>
      </w:pPr>
      <w:r w:rsidRPr="00EE61A4">
        <w:t>Ringnér, M., 2008. What is principal component analysis? Nature Biotechnology 26, 303–304. doi:</w:t>
      </w:r>
      <w:hyperlink r:id="rId20" w:history="1">
        <w:r w:rsidRPr="00EE61A4">
          <w:rPr>
            <w:rStyle w:val="Hyperlink"/>
            <w:color w:val="auto"/>
          </w:rPr>
          <w:t>10.1038/nbt0308-303</w:t>
        </w:r>
      </w:hyperlink>
    </w:p>
    <w:p w14:paraId="5BA2B745" w14:textId="478DD84D" w:rsidR="00AA3E93" w:rsidRPr="00EE61A4" w:rsidRDefault="00AA3E93" w:rsidP="00EE61A4">
      <w:pPr>
        <w:shd w:val="clear" w:color="auto" w:fill="FFFFFF"/>
        <w:tabs>
          <w:tab w:val="left" w:pos="180"/>
        </w:tabs>
        <w:spacing w:before="240" w:line="276" w:lineRule="auto"/>
        <w:ind w:left="180" w:hanging="180"/>
        <w:jc w:val="left"/>
        <w:rPr>
          <w:rFonts w:ascii="Helvetica" w:hAnsi="Helvetica"/>
          <w:sz w:val="28"/>
          <w:szCs w:val="28"/>
        </w:rPr>
      </w:pPr>
      <w:r w:rsidRPr="00EE61A4">
        <w:t xml:space="preserve">Statistics Canada, </w:t>
      </w:r>
      <w:r w:rsidR="00842912">
        <w:t>2023</w:t>
      </w:r>
      <w:r w:rsidRPr="00EE61A4">
        <w:t>. Spatial Access Measures.</w:t>
      </w:r>
    </w:p>
    <w:sectPr w:rsidR="00AA3E93" w:rsidRPr="00EE61A4" w:rsidSect="00EE61A4">
      <w:type w:val="continuous"/>
      <w:pgSz w:w="12240" w:h="15840"/>
      <w:pgMar w:top="1440" w:right="1080" w:bottom="1440" w:left="1080" w:header="720" w:footer="720" w:gutter="0"/>
      <w:cols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5AE52" w14:textId="77777777" w:rsidR="004351DA" w:rsidRDefault="004351DA" w:rsidP="00135C8D">
      <w:pPr>
        <w:spacing w:line="240" w:lineRule="auto"/>
      </w:pPr>
      <w:r>
        <w:separator/>
      </w:r>
    </w:p>
  </w:endnote>
  <w:endnote w:type="continuationSeparator" w:id="0">
    <w:p w14:paraId="0FF2600D" w14:textId="77777777" w:rsidR="004351DA" w:rsidRDefault="004351DA" w:rsidP="00135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 w:name="Azo Sans Md">
    <w:panose1 w:val="02000000000000000000"/>
    <w:charset w:val="00"/>
    <w:family w:val="modern"/>
    <w:notTrueType/>
    <w:pitch w:val="variable"/>
    <w:sig w:usb0="00000007" w:usb1="00000000" w:usb2="00000000" w:usb3="00000000" w:csb0="00000093" w:csb1="00000000"/>
  </w:font>
  <w:font w:name="Azo Sans">
    <w:panose1 w:val="02000000000000000000"/>
    <w:charset w:val="00"/>
    <w:family w:val="modern"/>
    <w:notTrueType/>
    <w:pitch w:val="variable"/>
    <w:sig w:usb0="00000007" w:usb1="00000000" w:usb2="00000000" w:usb3="00000000" w:csb0="00000093" w:csb1="00000000"/>
  </w:font>
  <w:font w:name="Arial Nova Cond">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NimbusRomNo9L-Regu">
    <w:altName w:val="Yu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B2A7D" w14:textId="77777777" w:rsidR="004351DA" w:rsidRDefault="004351DA" w:rsidP="00135C8D">
      <w:pPr>
        <w:spacing w:line="240" w:lineRule="auto"/>
      </w:pPr>
      <w:r>
        <w:separator/>
      </w:r>
    </w:p>
  </w:footnote>
  <w:footnote w:type="continuationSeparator" w:id="0">
    <w:p w14:paraId="373BF1E0" w14:textId="77777777" w:rsidR="004351DA" w:rsidRDefault="004351DA" w:rsidP="00135C8D">
      <w:pPr>
        <w:spacing w:line="240" w:lineRule="auto"/>
      </w:pPr>
      <w:r>
        <w:continuationSeparator/>
      </w:r>
    </w:p>
  </w:footnote>
  <w:footnote w:id="1">
    <w:p w14:paraId="6F904E25" w14:textId="58F0AF6A" w:rsidR="00066BE5" w:rsidRPr="00CC3ED5" w:rsidRDefault="00066BE5" w:rsidP="00066BE5">
      <w:pPr>
        <w:autoSpaceDE w:val="0"/>
        <w:autoSpaceDN w:val="0"/>
        <w:adjustRightInd w:val="0"/>
        <w:spacing w:line="240" w:lineRule="auto"/>
        <w:jc w:val="left"/>
        <w:rPr>
          <w:sz w:val="18"/>
          <w:szCs w:val="18"/>
        </w:rPr>
      </w:pPr>
      <w:r w:rsidRPr="00CC3ED5">
        <w:rPr>
          <w:rStyle w:val="FootnoteReference"/>
          <w:sz w:val="18"/>
          <w:szCs w:val="18"/>
        </w:rPr>
        <w:footnoteRef/>
      </w:r>
      <w:r w:rsidRPr="00CC3ED5">
        <w:rPr>
          <w:sz w:val="18"/>
          <w:szCs w:val="18"/>
        </w:rPr>
        <w:t xml:space="preserve"> </w:t>
      </w:r>
      <w:r w:rsidRPr="00CC3ED5">
        <w:rPr>
          <w:rFonts w:eastAsia="NimbusRomNo9L-Regu" w:cs="NimbusRomNo9L-Regu"/>
          <w:kern w:val="0"/>
          <w:sz w:val="18"/>
          <w:szCs w:val="18"/>
        </w:rPr>
        <w:t xml:space="preserve">Hexagons with less than 10% of the total built-up area were excluded from the analysis, as accessibility analysis is generally applied to urban areas.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118507"/>
      <w:docPartObj>
        <w:docPartGallery w:val="Page Numbers (Top of Page)"/>
        <w:docPartUnique/>
      </w:docPartObj>
    </w:sdtPr>
    <w:sdtEndPr>
      <w:rPr>
        <w:noProof/>
      </w:rPr>
    </w:sdtEndPr>
    <w:sdtContent>
      <w:p w14:paraId="20974907" w14:textId="3A1C8CC3" w:rsidR="002E708C" w:rsidRDefault="002E708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A46945" w14:textId="77777777" w:rsidR="002E708C" w:rsidRDefault="002E708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35C8D"/>
    <w:rsid w:val="000631E2"/>
    <w:rsid w:val="00066BE5"/>
    <w:rsid w:val="000C2088"/>
    <w:rsid w:val="001319E2"/>
    <w:rsid w:val="00135C8D"/>
    <w:rsid w:val="002E708C"/>
    <w:rsid w:val="00316AD4"/>
    <w:rsid w:val="00397B7B"/>
    <w:rsid w:val="00425135"/>
    <w:rsid w:val="004351DA"/>
    <w:rsid w:val="004440B7"/>
    <w:rsid w:val="00480DE5"/>
    <w:rsid w:val="00494DAE"/>
    <w:rsid w:val="004B6036"/>
    <w:rsid w:val="004F759A"/>
    <w:rsid w:val="00500450"/>
    <w:rsid w:val="006B4D49"/>
    <w:rsid w:val="00733510"/>
    <w:rsid w:val="007F4B43"/>
    <w:rsid w:val="00842912"/>
    <w:rsid w:val="008E6F62"/>
    <w:rsid w:val="00AA3E93"/>
    <w:rsid w:val="00B04ABD"/>
    <w:rsid w:val="00B53EE3"/>
    <w:rsid w:val="00BE4EBD"/>
    <w:rsid w:val="00C23A80"/>
    <w:rsid w:val="00C32770"/>
    <w:rsid w:val="00CC3ED5"/>
    <w:rsid w:val="00D66C66"/>
    <w:rsid w:val="00D94618"/>
    <w:rsid w:val="00DF0E60"/>
    <w:rsid w:val="00E62627"/>
    <w:rsid w:val="00E957F1"/>
    <w:rsid w:val="00EE61A4"/>
    <w:rsid w:val="00F15D34"/>
    <w:rsid w:val="00F247A0"/>
    <w:rsid w:val="00FA7E1C"/>
    <w:rsid w:val="00FF0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81084C1"/>
  <w15:docId w15:val="{0F16FC1D-0B85-4154-94E3-6B01CE618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E93"/>
    <w:pPr>
      <w:spacing w:after="0" w:line="360" w:lineRule="auto"/>
      <w:jc w:val="both"/>
    </w:pPr>
    <w:rPr>
      <w:rFonts w:ascii="Arial Nova" w:hAnsi="Arial Nova"/>
    </w:rPr>
  </w:style>
  <w:style w:type="paragraph" w:styleId="Heading1">
    <w:name w:val="heading 1"/>
    <w:basedOn w:val="Normal"/>
    <w:next w:val="Normal"/>
    <w:link w:val="Heading1Char"/>
    <w:uiPriority w:val="9"/>
    <w:qFormat/>
    <w:rsid w:val="00C32770"/>
    <w:pPr>
      <w:keepNext/>
      <w:keepLines/>
      <w:spacing w:before="240" w:after="240" w:line="480" w:lineRule="auto"/>
      <w:outlineLvl w:val="0"/>
    </w:pPr>
    <w:rPr>
      <w:rFonts w:ascii="Azo Sans Md" w:eastAsiaTheme="majorEastAsia" w:hAnsi="Azo Sans Md" w:cstheme="majorBidi"/>
      <w:color w:val="2B5258" w:themeColor="accent5" w:themeShade="80"/>
      <w:sz w:val="32"/>
      <w:szCs w:val="32"/>
    </w:rPr>
  </w:style>
  <w:style w:type="paragraph" w:styleId="Heading2">
    <w:name w:val="heading 2"/>
    <w:basedOn w:val="Normal"/>
    <w:next w:val="Normal"/>
    <w:link w:val="Heading2Char"/>
    <w:uiPriority w:val="9"/>
    <w:unhideWhenUsed/>
    <w:qFormat/>
    <w:rsid w:val="00C32770"/>
    <w:pPr>
      <w:keepNext/>
      <w:keepLines/>
      <w:spacing w:before="120" w:after="120"/>
      <w:outlineLvl w:val="1"/>
    </w:pPr>
    <w:rPr>
      <w:rFonts w:ascii="Azo Sans" w:eastAsiaTheme="majorEastAsia" w:hAnsi="Azo Sans" w:cstheme="majorBidi"/>
      <w:color w:val="2B5258"/>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5C8D"/>
    <w:pPr>
      <w:tabs>
        <w:tab w:val="center" w:pos="4680"/>
        <w:tab w:val="right" w:pos="9360"/>
      </w:tabs>
      <w:spacing w:line="240" w:lineRule="auto"/>
    </w:pPr>
  </w:style>
  <w:style w:type="character" w:customStyle="1" w:styleId="HeaderChar">
    <w:name w:val="Header Char"/>
    <w:basedOn w:val="DefaultParagraphFont"/>
    <w:link w:val="Header"/>
    <w:uiPriority w:val="99"/>
    <w:rsid w:val="00135C8D"/>
  </w:style>
  <w:style w:type="paragraph" w:styleId="Footer">
    <w:name w:val="footer"/>
    <w:basedOn w:val="Normal"/>
    <w:link w:val="FooterChar"/>
    <w:uiPriority w:val="99"/>
    <w:unhideWhenUsed/>
    <w:rsid w:val="00135C8D"/>
    <w:pPr>
      <w:tabs>
        <w:tab w:val="center" w:pos="4680"/>
        <w:tab w:val="right" w:pos="9360"/>
      </w:tabs>
      <w:spacing w:line="240" w:lineRule="auto"/>
    </w:pPr>
  </w:style>
  <w:style w:type="character" w:customStyle="1" w:styleId="FooterChar">
    <w:name w:val="Footer Char"/>
    <w:basedOn w:val="DefaultParagraphFont"/>
    <w:link w:val="Footer"/>
    <w:uiPriority w:val="99"/>
    <w:rsid w:val="00135C8D"/>
  </w:style>
  <w:style w:type="character" w:customStyle="1" w:styleId="Heading1Char">
    <w:name w:val="Heading 1 Char"/>
    <w:basedOn w:val="DefaultParagraphFont"/>
    <w:link w:val="Heading1"/>
    <w:uiPriority w:val="9"/>
    <w:rsid w:val="00C32770"/>
    <w:rPr>
      <w:rFonts w:ascii="Azo Sans Md" w:eastAsiaTheme="majorEastAsia" w:hAnsi="Azo Sans Md" w:cstheme="majorBidi"/>
      <w:color w:val="2B5258" w:themeColor="accent5" w:themeShade="80"/>
      <w:sz w:val="32"/>
      <w:szCs w:val="32"/>
    </w:rPr>
  </w:style>
  <w:style w:type="paragraph" w:styleId="NormalWeb">
    <w:name w:val="Normal (Web)"/>
    <w:basedOn w:val="Normal"/>
    <w:uiPriority w:val="99"/>
    <w:semiHidden/>
    <w:unhideWhenUsed/>
    <w:rsid w:val="00316AD4"/>
    <w:pPr>
      <w:spacing w:before="100" w:beforeAutospacing="1" w:after="100" w:afterAutospacing="1" w:line="240" w:lineRule="auto"/>
      <w:jc w:val="left"/>
    </w:pPr>
    <w:rPr>
      <w:rFonts w:ascii="Times New Roman" w:eastAsia="Times New Roman" w:hAnsi="Times New Roman" w:cs="Times New Roman"/>
      <w:kern w:val="0"/>
      <w:szCs w:val="24"/>
    </w:rPr>
  </w:style>
  <w:style w:type="character" w:customStyle="1" w:styleId="citation">
    <w:name w:val="citation"/>
    <w:basedOn w:val="DefaultParagraphFont"/>
    <w:rsid w:val="00316AD4"/>
  </w:style>
  <w:style w:type="character" w:customStyle="1" w:styleId="mrow">
    <w:name w:val="mrow"/>
    <w:basedOn w:val="DefaultParagraphFont"/>
    <w:rsid w:val="00B04ABD"/>
  </w:style>
  <w:style w:type="character" w:customStyle="1" w:styleId="mtext">
    <w:name w:val="mtext"/>
    <w:basedOn w:val="DefaultParagraphFont"/>
    <w:rsid w:val="00B04ABD"/>
  </w:style>
  <w:style w:type="character" w:customStyle="1" w:styleId="mjxassistivemathml">
    <w:name w:val="mjx_assistive_mathml"/>
    <w:basedOn w:val="DefaultParagraphFont"/>
    <w:rsid w:val="00B04ABD"/>
  </w:style>
  <w:style w:type="paragraph" w:styleId="Caption">
    <w:name w:val="caption"/>
    <w:basedOn w:val="Normal"/>
    <w:next w:val="Normal"/>
    <w:uiPriority w:val="35"/>
    <w:unhideWhenUsed/>
    <w:qFormat/>
    <w:rsid w:val="00C32770"/>
    <w:pPr>
      <w:spacing w:line="240" w:lineRule="auto"/>
    </w:pPr>
    <w:rPr>
      <w:rFonts w:ascii="Arial Nova Cond" w:hAnsi="Arial Nova Cond"/>
      <w:i/>
      <w:iCs/>
      <w:color w:val="2B5258"/>
      <w:sz w:val="20"/>
      <w:szCs w:val="18"/>
    </w:rPr>
  </w:style>
  <w:style w:type="paragraph" w:styleId="TOCHeading">
    <w:name w:val="TOC Heading"/>
    <w:basedOn w:val="Heading1"/>
    <w:next w:val="Normal"/>
    <w:uiPriority w:val="39"/>
    <w:unhideWhenUsed/>
    <w:qFormat/>
    <w:rsid w:val="00B04ABD"/>
    <w:pPr>
      <w:spacing w:line="259" w:lineRule="auto"/>
      <w:jc w:val="left"/>
      <w:outlineLvl w:val="9"/>
    </w:pPr>
    <w:rPr>
      <w:rFonts w:asciiTheme="majorHAnsi" w:hAnsiTheme="majorHAnsi"/>
      <w:color w:val="374C80" w:themeColor="accent1" w:themeShade="BF"/>
      <w:kern w:val="0"/>
    </w:rPr>
  </w:style>
  <w:style w:type="paragraph" w:styleId="TOC1">
    <w:name w:val="toc 1"/>
    <w:basedOn w:val="Normal"/>
    <w:next w:val="Normal"/>
    <w:autoRedefine/>
    <w:uiPriority w:val="39"/>
    <w:unhideWhenUsed/>
    <w:rsid w:val="00B04ABD"/>
    <w:pPr>
      <w:spacing w:after="100"/>
    </w:pPr>
  </w:style>
  <w:style w:type="character" w:styleId="Hyperlink">
    <w:name w:val="Hyperlink"/>
    <w:basedOn w:val="DefaultParagraphFont"/>
    <w:uiPriority w:val="99"/>
    <w:unhideWhenUsed/>
    <w:rsid w:val="00B04ABD"/>
    <w:rPr>
      <w:color w:val="9454C3" w:themeColor="hyperlink"/>
      <w:u w:val="single"/>
    </w:rPr>
  </w:style>
  <w:style w:type="character" w:customStyle="1" w:styleId="Heading2Char">
    <w:name w:val="Heading 2 Char"/>
    <w:basedOn w:val="DefaultParagraphFont"/>
    <w:link w:val="Heading2"/>
    <w:uiPriority w:val="9"/>
    <w:rsid w:val="00C32770"/>
    <w:rPr>
      <w:rFonts w:ascii="Azo Sans" w:eastAsiaTheme="majorEastAsia" w:hAnsi="Azo Sans" w:cstheme="majorBidi"/>
      <w:color w:val="2B5258"/>
      <w:sz w:val="28"/>
      <w:szCs w:val="26"/>
    </w:rPr>
  </w:style>
  <w:style w:type="paragraph" w:styleId="TOC2">
    <w:name w:val="toc 2"/>
    <w:basedOn w:val="Normal"/>
    <w:next w:val="Normal"/>
    <w:autoRedefine/>
    <w:uiPriority w:val="39"/>
    <w:unhideWhenUsed/>
    <w:rsid w:val="00AA3E93"/>
    <w:pPr>
      <w:spacing w:after="100"/>
      <w:ind w:left="240"/>
    </w:pPr>
  </w:style>
  <w:style w:type="paragraph" w:styleId="NoSpacing">
    <w:name w:val="No Spacing"/>
    <w:uiPriority w:val="1"/>
    <w:qFormat/>
    <w:rsid w:val="00AA3E93"/>
    <w:pPr>
      <w:spacing w:after="0" w:line="240" w:lineRule="auto"/>
      <w:jc w:val="both"/>
    </w:pPr>
    <w:rPr>
      <w:rFonts w:ascii="Arial Nova" w:hAnsi="Arial Nova"/>
    </w:rPr>
  </w:style>
  <w:style w:type="paragraph" w:styleId="FootnoteText">
    <w:name w:val="footnote text"/>
    <w:basedOn w:val="Normal"/>
    <w:link w:val="FootnoteTextChar"/>
    <w:uiPriority w:val="99"/>
    <w:semiHidden/>
    <w:unhideWhenUsed/>
    <w:rsid w:val="002E708C"/>
    <w:pPr>
      <w:spacing w:line="240" w:lineRule="auto"/>
    </w:pPr>
    <w:rPr>
      <w:sz w:val="20"/>
      <w:szCs w:val="20"/>
    </w:rPr>
  </w:style>
  <w:style w:type="character" w:customStyle="1" w:styleId="FootnoteTextChar">
    <w:name w:val="Footnote Text Char"/>
    <w:basedOn w:val="DefaultParagraphFont"/>
    <w:link w:val="FootnoteText"/>
    <w:uiPriority w:val="99"/>
    <w:semiHidden/>
    <w:rsid w:val="002E708C"/>
    <w:rPr>
      <w:rFonts w:ascii="Arial Nova" w:hAnsi="Arial Nova"/>
      <w:sz w:val="20"/>
      <w:szCs w:val="20"/>
    </w:rPr>
  </w:style>
  <w:style w:type="character" w:styleId="FootnoteReference">
    <w:name w:val="footnote reference"/>
    <w:basedOn w:val="DefaultParagraphFont"/>
    <w:uiPriority w:val="99"/>
    <w:semiHidden/>
    <w:unhideWhenUsed/>
    <w:rsid w:val="002E708C"/>
    <w:rPr>
      <w:vertAlign w:val="superscript"/>
    </w:rPr>
  </w:style>
  <w:style w:type="paragraph" w:customStyle="1" w:styleId="TableParagraph">
    <w:name w:val="Table Paragraph"/>
    <w:basedOn w:val="Normal"/>
    <w:uiPriority w:val="1"/>
    <w:qFormat/>
    <w:rsid w:val="00D94618"/>
    <w:pPr>
      <w:widowControl w:val="0"/>
      <w:autoSpaceDE w:val="0"/>
      <w:autoSpaceDN w:val="0"/>
      <w:spacing w:line="213" w:lineRule="exact"/>
      <w:ind w:left="132"/>
      <w:jc w:val="center"/>
    </w:pPr>
    <w:rPr>
      <w:rFonts w:ascii="Times New Roman" w:eastAsia="Times New Roman" w:hAnsi="Times New Roman" w:cs="Times New Roman"/>
      <w:kern w:val="0"/>
    </w:rPr>
  </w:style>
  <w:style w:type="table" w:styleId="TableGrid">
    <w:name w:val="Table Grid"/>
    <w:basedOn w:val="TableNormal"/>
    <w:uiPriority w:val="39"/>
    <w:rsid w:val="00D946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E6F62"/>
    <w:rPr>
      <w:color w:val="605E5C"/>
      <w:shd w:val="clear" w:color="auto" w:fill="E1DFDD"/>
    </w:rPr>
  </w:style>
  <w:style w:type="character" w:styleId="FollowedHyperlink">
    <w:name w:val="FollowedHyperlink"/>
    <w:basedOn w:val="DefaultParagraphFont"/>
    <w:uiPriority w:val="99"/>
    <w:semiHidden/>
    <w:unhideWhenUsed/>
    <w:rsid w:val="00F15D34"/>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190425">
      <w:bodyDiv w:val="1"/>
      <w:marLeft w:val="0"/>
      <w:marRight w:val="0"/>
      <w:marTop w:val="0"/>
      <w:marBottom w:val="0"/>
      <w:divBdr>
        <w:top w:val="none" w:sz="0" w:space="0" w:color="auto"/>
        <w:left w:val="none" w:sz="0" w:space="0" w:color="auto"/>
        <w:bottom w:val="none" w:sz="0" w:space="0" w:color="auto"/>
        <w:right w:val="none" w:sz="0" w:space="0" w:color="auto"/>
      </w:divBdr>
    </w:div>
    <w:div w:id="1845315201">
      <w:bodyDiv w:val="1"/>
      <w:marLeft w:val="0"/>
      <w:marRight w:val="0"/>
      <w:marTop w:val="0"/>
      <w:marBottom w:val="0"/>
      <w:divBdr>
        <w:top w:val="none" w:sz="0" w:space="0" w:color="auto"/>
        <w:left w:val="none" w:sz="0" w:space="0" w:color="auto"/>
        <w:bottom w:val="none" w:sz="0" w:space="0" w:color="auto"/>
        <w:right w:val="none" w:sz="0" w:space="0" w:color="auto"/>
      </w:divBdr>
      <w:divsChild>
        <w:div w:id="156725142">
          <w:marLeft w:val="0"/>
          <w:marRight w:val="0"/>
          <w:marTop w:val="0"/>
          <w:marBottom w:val="0"/>
          <w:divBdr>
            <w:top w:val="none" w:sz="0" w:space="0" w:color="auto"/>
            <w:left w:val="none" w:sz="0" w:space="0" w:color="auto"/>
            <w:bottom w:val="none" w:sz="0" w:space="0" w:color="auto"/>
            <w:right w:val="none" w:sz="0" w:space="0" w:color="auto"/>
          </w:divBdr>
        </w:div>
        <w:div w:id="201600016">
          <w:marLeft w:val="0"/>
          <w:marRight w:val="0"/>
          <w:marTop w:val="0"/>
          <w:marBottom w:val="0"/>
          <w:divBdr>
            <w:top w:val="none" w:sz="0" w:space="0" w:color="auto"/>
            <w:left w:val="none" w:sz="0" w:space="0" w:color="auto"/>
            <w:bottom w:val="none" w:sz="0" w:space="0" w:color="auto"/>
            <w:right w:val="none" w:sz="0" w:space="0" w:color="auto"/>
          </w:divBdr>
        </w:div>
        <w:div w:id="286664445">
          <w:marLeft w:val="0"/>
          <w:marRight w:val="0"/>
          <w:marTop w:val="0"/>
          <w:marBottom w:val="0"/>
          <w:divBdr>
            <w:top w:val="none" w:sz="0" w:space="0" w:color="auto"/>
            <w:left w:val="none" w:sz="0" w:space="0" w:color="auto"/>
            <w:bottom w:val="none" w:sz="0" w:space="0" w:color="auto"/>
            <w:right w:val="none" w:sz="0" w:space="0" w:color="auto"/>
          </w:divBdr>
        </w:div>
        <w:div w:id="622808261">
          <w:marLeft w:val="0"/>
          <w:marRight w:val="0"/>
          <w:marTop w:val="0"/>
          <w:marBottom w:val="0"/>
          <w:divBdr>
            <w:top w:val="none" w:sz="0" w:space="0" w:color="auto"/>
            <w:left w:val="none" w:sz="0" w:space="0" w:color="auto"/>
            <w:bottom w:val="none" w:sz="0" w:space="0" w:color="auto"/>
            <w:right w:val="none" w:sz="0" w:space="0" w:color="auto"/>
          </w:divBdr>
        </w:div>
        <w:div w:id="756245820">
          <w:marLeft w:val="0"/>
          <w:marRight w:val="0"/>
          <w:marTop w:val="0"/>
          <w:marBottom w:val="0"/>
          <w:divBdr>
            <w:top w:val="none" w:sz="0" w:space="0" w:color="auto"/>
            <w:left w:val="none" w:sz="0" w:space="0" w:color="auto"/>
            <w:bottom w:val="none" w:sz="0" w:space="0" w:color="auto"/>
            <w:right w:val="none" w:sz="0" w:space="0" w:color="auto"/>
          </w:divBdr>
        </w:div>
        <w:div w:id="1092050878">
          <w:marLeft w:val="0"/>
          <w:marRight w:val="0"/>
          <w:marTop w:val="0"/>
          <w:marBottom w:val="0"/>
          <w:divBdr>
            <w:top w:val="none" w:sz="0" w:space="0" w:color="auto"/>
            <w:left w:val="none" w:sz="0" w:space="0" w:color="auto"/>
            <w:bottom w:val="none" w:sz="0" w:space="0" w:color="auto"/>
            <w:right w:val="none" w:sz="0" w:space="0" w:color="auto"/>
          </w:divBdr>
        </w:div>
        <w:div w:id="1092504835">
          <w:marLeft w:val="0"/>
          <w:marRight w:val="0"/>
          <w:marTop w:val="0"/>
          <w:marBottom w:val="0"/>
          <w:divBdr>
            <w:top w:val="none" w:sz="0" w:space="0" w:color="auto"/>
            <w:left w:val="none" w:sz="0" w:space="0" w:color="auto"/>
            <w:bottom w:val="none" w:sz="0" w:space="0" w:color="auto"/>
            <w:right w:val="none" w:sz="0" w:space="0" w:color="auto"/>
          </w:divBdr>
        </w:div>
        <w:div w:id="1231816569">
          <w:marLeft w:val="0"/>
          <w:marRight w:val="0"/>
          <w:marTop w:val="0"/>
          <w:marBottom w:val="0"/>
          <w:divBdr>
            <w:top w:val="none" w:sz="0" w:space="0" w:color="auto"/>
            <w:left w:val="none" w:sz="0" w:space="0" w:color="auto"/>
            <w:bottom w:val="none" w:sz="0" w:space="0" w:color="auto"/>
            <w:right w:val="none" w:sz="0" w:space="0" w:color="auto"/>
          </w:divBdr>
        </w:div>
        <w:div w:id="129671778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dias-bruno/RSAccess" TargetMode="External"/><Relationship Id="rId13" Type="http://schemas.openxmlformats.org/officeDocument/2006/relationships/hyperlink" Target="https://doi.org/10.5281/ZENODO.3518038" TargetMode="External"/><Relationship Id="rId18" Type="http://schemas.openxmlformats.org/officeDocument/2006/relationships/hyperlink" Target="https://doi.org/10.1016/j.jtrangeo.2012.03.016"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www.openstreetmap.org/" TargetMode="External"/><Relationship Id="rId2" Type="http://schemas.openxmlformats.org/officeDocument/2006/relationships/styles" Target="styles.xml"/><Relationship Id="rId16" Type="http://schemas.openxmlformats.org/officeDocument/2006/relationships/hyperlink" Target="http://www.ontario.ca/page/planning-transportation-greater-golden-horseshoe" TargetMode="External"/><Relationship Id="rId20" Type="http://schemas.openxmlformats.org/officeDocument/2006/relationships/hyperlink" Target="https://doi.org/10.1038/nbt0308-303"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data.europa.eu/doi/10.2760/098587" TargetMode="External"/><Relationship Id="rId10" Type="http://schemas.openxmlformats.org/officeDocument/2006/relationships/image" Target="media/image2.png"/><Relationship Id="rId19" Type="http://schemas.openxmlformats.org/officeDocument/2006/relationships/hyperlink" Target="https://mobilizingjustice.ca/wp-content/uploads/2023/06/Developing_Data_Driven_Standards_FINAL_2023_06_06.pdf"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doi.org/10.3390/rs14030704"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C6F59-A163-4005-BAF6-5363BA7B2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7</Pages>
  <Words>2436</Words>
  <Characters>13887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Dias</dc:creator>
  <cp:keywords/>
  <dc:description/>
  <cp:lastModifiedBy>Bruno Dias</cp:lastModifiedBy>
  <cp:revision>2</cp:revision>
  <cp:lastPrinted>2023-12-13T16:07:00Z</cp:lastPrinted>
  <dcterms:created xsi:type="dcterms:W3CDTF">2023-12-12T23:02:00Z</dcterms:created>
  <dcterms:modified xsi:type="dcterms:W3CDTF">2023-12-13T16:35:00Z</dcterms:modified>
</cp:coreProperties>
</file>