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DOKUMEN PANDUAN PENGGUNAAN SISTEM &amp; METODOLOGI VALUASI KI</w:t>
      </w:r>
    </w:p>
    <w:p>
      <w:pPr>
        <w:jc w:val="center"/>
      </w:pPr>
      <w:r>
        <w:rPr>
          <w:b/>
          <w:color w:val="0F172A"/>
          <w:sz w:val="40"/>
        </w:rPr>
        <w:t>TECHVAL AI</w:t>
        <w:br/>
        <w:t>Panduan Lengkap Penggunaan Sistem Penilaian Kesiapterapan Teknologi (TKT/TRL 1–9) &amp; Valuasi Ekonomi Paten/KI Berstandar WIPO (IDR)</w:t>
      </w:r>
    </w:p>
    <w:p>
      <w:pPr>
        <w:jc w:val="center"/>
      </w:pPr>
      <w:r>
        <w:rPr>
          <w:i/>
          <w:color w:val="475569"/>
          <w:sz w:val="24"/>
        </w:rPr>
        <w:t>Disiapkan Khusus untuk Peninjauan Direktorat Jenderal Kekayaan Intelektual (DJKI),</w:t>
        <w:br/>
        <w:t>Pemeriksa Paten, Analis Komersialisasi KI, dan Kantor Transfer Teknologi (TTO)</w:t>
      </w:r>
    </w:p>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E3A8A"/>
            <w:tcMar>
              <w:top w:w="120" w:type="dxa"/>
              <w:start w:w="140" w:type="dxa"/>
              <w:bottom w:w="120" w:type="dxa"/>
              <w:end w:w="140" w:type="dxa"/>
            </w:tcMar>
          </w:tcPr>
          <w:p>
            <w:r/>
            <w:r>
              <w:rPr>
                <w:rFonts w:ascii="Calibri" w:hAnsi="Calibri"/>
                <w:b/>
                <w:color w:val="FFFFFF"/>
                <w:sz w:val="21"/>
              </w:rPr>
              <w:t>Atribut Dokumen</w:t>
            </w:r>
          </w:p>
        </w:tc>
        <w:tc>
          <w:tcPr>
            <w:tcW w:type="dxa" w:w="6048"/>
            <w:shd w:val="clear" w:color="auto" w:fill="1E3A8A"/>
            <w:tcMar>
              <w:top w:w="120" w:type="dxa"/>
              <w:start w:w="140" w:type="dxa"/>
              <w:bottom w:w="120" w:type="dxa"/>
              <w:end w:w="140" w:type="dxa"/>
            </w:tcMar>
          </w:tcPr>
          <w:p>
            <w:r/>
            <w:r>
              <w:rPr>
                <w:rFonts w:ascii="Calibri" w:hAnsi="Calibri"/>
                <w:b/>
                <w:color w:val="FFFFFF"/>
                <w:sz w:val="21"/>
              </w:rPr>
              <w:t>Keterangan Resmi</w:t>
            </w:r>
          </w:p>
        </w:tc>
      </w:tr>
      <w:tr>
        <w:tc>
          <w:tcPr>
            <w:tcW w:type="dxa" w:w="3312"/>
            <w:shd w:val="clear" w:color="auto" w:fill="FFFFFF"/>
            <w:tcMar>
              <w:top w:w="90" w:type="dxa"/>
              <w:start w:w="140" w:type="dxa"/>
              <w:bottom w:w="90" w:type="dxa"/>
              <w:end w:w="140" w:type="dxa"/>
            </w:tcMar>
          </w:tcPr>
          <w:p>
            <w:r/>
            <w:r>
              <w:rPr>
                <w:rFonts w:ascii="Calibri" w:hAnsi="Calibri"/>
                <w:color w:val="0F172A"/>
                <w:sz w:val="20"/>
              </w:rPr>
              <w:t>Nama Sistem</w:t>
            </w:r>
          </w:p>
        </w:tc>
        <w:tc>
          <w:tcPr>
            <w:tcW w:type="dxa" w:w="6048"/>
            <w:shd w:val="clear" w:color="auto" w:fill="FFFFFF"/>
            <w:tcMar>
              <w:top w:w="90" w:type="dxa"/>
              <w:start w:w="140" w:type="dxa"/>
              <w:bottom w:w="90" w:type="dxa"/>
              <w:end w:w="140" w:type="dxa"/>
            </w:tcMar>
          </w:tcPr>
          <w:p>
            <w:r/>
            <w:r>
              <w:rPr>
                <w:rFonts w:ascii="Calibri" w:hAnsi="Calibri"/>
                <w:color w:val="0F172A"/>
                <w:sz w:val="20"/>
              </w:rPr>
              <w:t>TechVal AI — Scientific Technology Assessment &amp; WIPO IP Valuation Engine</w:t>
            </w:r>
          </w:p>
        </w:tc>
      </w:tr>
      <w:tr>
        <w:tc>
          <w:tcPr>
            <w:tcW w:type="dxa" w:w="3312"/>
            <w:shd w:val="clear" w:color="auto" w:fill="F8FAFC"/>
            <w:tcMar>
              <w:top w:w="90" w:type="dxa"/>
              <w:start w:w="140" w:type="dxa"/>
              <w:bottom w:w="90" w:type="dxa"/>
              <w:end w:w="140" w:type="dxa"/>
            </w:tcMar>
          </w:tcPr>
          <w:p>
            <w:r/>
            <w:r>
              <w:rPr>
                <w:rFonts w:ascii="Calibri" w:hAnsi="Calibri"/>
                <w:color w:val="0F172A"/>
                <w:sz w:val="20"/>
              </w:rPr>
              <w:t>Versi Sistem</w:t>
            </w:r>
          </w:p>
        </w:tc>
        <w:tc>
          <w:tcPr>
            <w:tcW w:type="dxa" w:w="6048"/>
            <w:shd w:val="clear" w:color="auto" w:fill="F8FAFC"/>
            <w:tcMar>
              <w:top w:w="90" w:type="dxa"/>
              <w:start w:w="140" w:type="dxa"/>
              <w:bottom w:w="90" w:type="dxa"/>
              <w:end w:w="140" w:type="dxa"/>
            </w:tcMar>
          </w:tcPr>
          <w:p>
            <w:r/>
            <w:r>
              <w:rPr>
                <w:rFonts w:ascii="Calibri" w:hAnsi="Calibri"/>
                <w:color w:val="0F172A"/>
                <w:sz w:val="20"/>
              </w:rPr>
              <w:t>Versi 1.0 (Full-Stack Web Engine — Bilingual Indonesia &amp; Inggris)</w:t>
            </w:r>
          </w:p>
        </w:tc>
      </w:tr>
      <w:tr>
        <w:tc>
          <w:tcPr>
            <w:tcW w:type="dxa" w:w="3312"/>
            <w:shd w:val="clear" w:color="auto" w:fill="FFFFFF"/>
            <w:tcMar>
              <w:top w:w="90" w:type="dxa"/>
              <w:start w:w="140" w:type="dxa"/>
              <w:bottom w:w="90" w:type="dxa"/>
              <w:end w:w="140" w:type="dxa"/>
            </w:tcMar>
          </w:tcPr>
          <w:p>
            <w:r/>
            <w:r>
              <w:rPr>
                <w:rFonts w:ascii="Calibri" w:hAnsi="Calibri"/>
                <w:color w:val="0F172A"/>
                <w:sz w:val="20"/>
              </w:rPr>
              <w:t>Sasaran Pengguna</w:t>
            </w:r>
          </w:p>
        </w:tc>
        <w:tc>
          <w:tcPr>
            <w:tcW w:type="dxa" w:w="6048"/>
            <w:shd w:val="clear" w:color="auto" w:fill="FFFFFF"/>
            <w:tcMar>
              <w:top w:w="90" w:type="dxa"/>
              <w:start w:w="140" w:type="dxa"/>
              <w:bottom w:w="90" w:type="dxa"/>
              <w:end w:w="140" w:type="dxa"/>
            </w:tcMar>
          </w:tcPr>
          <w:p>
            <w:r/>
            <w:r>
              <w:rPr>
                <w:rFonts w:ascii="Calibri" w:hAnsi="Calibri"/>
                <w:color w:val="0F172A"/>
                <w:sz w:val="20"/>
              </w:rPr>
              <w:t>Direktorat Jenderal Kekayaan Intelektual (DJKI), Analis Valuasi KI, Reviewer Pakar</w:t>
            </w:r>
          </w:p>
        </w:tc>
      </w:tr>
      <w:tr>
        <w:tc>
          <w:tcPr>
            <w:tcW w:type="dxa" w:w="3312"/>
            <w:shd w:val="clear" w:color="auto" w:fill="F8FAFC"/>
            <w:tcMar>
              <w:top w:w="90" w:type="dxa"/>
              <w:start w:w="140" w:type="dxa"/>
              <w:bottom w:w="90" w:type="dxa"/>
              <w:end w:w="140" w:type="dxa"/>
            </w:tcMar>
          </w:tcPr>
          <w:p>
            <w:r/>
            <w:r>
              <w:rPr>
                <w:rFonts w:ascii="Calibri" w:hAnsi="Calibri"/>
                <w:color w:val="0F172A"/>
                <w:sz w:val="20"/>
              </w:rPr>
              <w:t>Standar Metodologi</w:t>
            </w:r>
          </w:p>
        </w:tc>
        <w:tc>
          <w:tcPr>
            <w:tcW w:type="dxa" w:w="6048"/>
            <w:shd w:val="clear" w:color="auto" w:fill="F8FAFC"/>
            <w:tcMar>
              <w:top w:w="90" w:type="dxa"/>
              <w:start w:w="140" w:type="dxa"/>
              <w:bottom w:w="90" w:type="dxa"/>
              <w:end w:w="140" w:type="dxa"/>
            </w:tcMar>
          </w:tcPr>
          <w:p>
            <w:r/>
            <w:r>
              <w:rPr>
                <w:rFonts w:ascii="Calibri" w:hAnsi="Calibri"/>
                <w:color w:val="0F172A"/>
                <w:sz w:val="20"/>
              </w:rPr>
              <w:t>WIPO IP Valuation Basics (2024), NASA ESTO TRL 1–9 (ISO 16290:2013), Harhoff et al. (2003), Saaty AHP (1980)</w:t>
            </w:r>
          </w:p>
        </w:tc>
      </w:tr>
      <w:tr>
        <w:tc>
          <w:tcPr>
            <w:tcW w:type="dxa" w:w="3312"/>
            <w:shd w:val="clear" w:color="auto" w:fill="FFFFFF"/>
            <w:tcMar>
              <w:top w:w="90" w:type="dxa"/>
              <w:start w:w="140" w:type="dxa"/>
              <w:bottom w:w="90" w:type="dxa"/>
              <w:end w:w="140" w:type="dxa"/>
            </w:tcMar>
          </w:tcPr>
          <w:p>
            <w:r/>
            <w:r>
              <w:rPr>
                <w:rFonts w:ascii="Calibri" w:hAnsi="Calibri"/>
                <w:color w:val="0F172A"/>
                <w:sz w:val="20"/>
              </w:rPr>
              <w:t>Mesin Orkestrasi AI</w:t>
            </w:r>
          </w:p>
        </w:tc>
        <w:tc>
          <w:tcPr>
            <w:tcW w:type="dxa" w:w="6048"/>
            <w:shd w:val="clear" w:color="auto" w:fill="FFFFFF"/>
            <w:tcMar>
              <w:top w:w="90" w:type="dxa"/>
              <w:start w:w="140" w:type="dxa"/>
              <w:bottom w:w="90" w:type="dxa"/>
              <w:end w:w="140" w:type="dxa"/>
            </w:tcMar>
          </w:tcPr>
          <w:p>
            <w:r/>
            <w:r>
              <w:rPr>
                <w:rFonts w:ascii="Calibri" w:hAnsi="Calibri"/>
                <w:color w:val="0F172A"/>
                <w:sz w:val="20"/>
              </w:rPr>
              <w:t>8-Node Multi-Agent LangGraph dengan Meta Muse AI (muse-spark-1.3 &amp; muse-wonder-1.0)</w:t>
            </w:r>
          </w:p>
        </w:tc>
      </w:tr>
      <w:tr>
        <w:tc>
          <w:tcPr>
            <w:tcW w:type="dxa" w:w="3312"/>
            <w:shd w:val="clear" w:color="auto" w:fill="F8FAFC"/>
            <w:tcMar>
              <w:top w:w="90" w:type="dxa"/>
              <w:start w:w="140" w:type="dxa"/>
              <w:bottom w:w="90" w:type="dxa"/>
              <w:end w:w="140" w:type="dxa"/>
            </w:tcMar>
          </w:tcPr>
          <w:p>
            <w:r/>
            <w:r>
              <w:rPr>
                <w:rFonts w:ascii="Calibri" w:hAnsi="Calibri"/>
                <w:color w:val="0F172A"/>
                <w:sz w:val="20"/>
              </w:rPr>
              <w:t>Prinsip Keamanan &amp; Audit</w:t>
            </w:r>
          </w:p>
        </w:tc>
        <w:tc>
          <w:tcPr>
            <w:tcW w:type="dxa" w:w="6048"/>
            <w:shd w:val="clear" w:color="auto" w:fill="F8FAFC"/>
            <w:tcMar>
              <w:top w:w="90" w:type="dxa"/>
              <w:start w:w="140" w:type="dxa"/>
              <w:bottom w:w="90" w:type="dxa"/>
              <w:end w:w="140" w:type="dxa"/>
            </w:tcMar>
          </w:tcPr>
          <w:p>
            <w:r/>
            <w:r>
              <w:rPr>
                <w:rFonts w:ascii="Calibri" w:hAnsi="Calibri"/>
                <w:color w:val="0F172A"/>
                <w:sz w:val="20"/>
              </w:rPr>
              <w:t>Brankas Dokumen Terenkripsi AES-256-GCM, Verifikasi Kutipan Eksak, &amp; Jejak Audit SHA-256</w:t>
            </w:r>
          </w:p>
        </w:tc>
      </w:tr>
      <w:tr>
        <w:tc>
          <w:tcPr>
            <w:tcW w:type="dxa" w:w="3312"/>
            <w:shd w:val="clear" w:color="auto" w:fill="FFFFFF"/>
            <w:tcMar>
              <w:top w:w="90" w:type="dxa"/>
              <w:start w:w="140" w:type="dxa"/>
              <w:bottom w:w="90" w:type="dxa"/>
              <w:end w:w="140" w:type="dxa"/>
            </w:tcMar>
          </w:tcPr>
          <w:p>
            <w:r/>
            <w:r>
              <w:rPr>
                <w:rFonts w:ascii="Calibri" w:hAnsi="Calibri"/>
                <w:color w:val="0F172A"/>
                <w:sz w:val="20"/>
              </w:rPr>
              <w:t>Tanggal Penyusunan</w:t>
            </w:r>
          </w:p>
        </w:tc>
        <w:tc>
          <w:tcPr>
            <w:tcW w:type="dxa" w:w="6048"/>
            <w:shd w:val="clear" w:color="auto" w:fill="FFFFFF"/>
            <w:tcMar>
              <w:top w:w="90" w:type="dxa"/>
              <w:start w:w="140" w:type="dxa"/>
              <w:bottom w:w="90" w:type="dxa"/>
              <w:end w:w="140" w:type="dxa"/>
            </w:tcMar>
          </w:tcPr>
          <w:p>
            <w:r/>
            <w:r>
              <w:rPr>
                <w:rFonts w:ascii="Calibri" w:hAnsi="Calibri"/>
                <w:color w:val="0F172A"/>
                <w:sz w:val="20"/>
              </w:rPr>
              <w:t>Oktober 2026 — Institut Teknologi Nasional (ITENAS) Bandung</w:t>
            </w:r>
          </w:p>
        </w:tc>
      </w:tr>
    </w:tbl>
    <w:p/>
    <w:tbl>
      <w:tblPr>
        <w:tblW w:type="auto" w:w="0"/>
        <w:jc w:val="center"/>
        <w:tblLook w:firstColumn="1" w:firstRow="1" w:lastColumn="0" w:lastRow="0" w:noHBand="0" w:noVBand="1" w:val="04A0"/>
      </w:tblPr>
      <w:tblGrid>
        <w:gridCol w:w="9360"/>
      </w:tblGrid>
      <w:tr>
        <w:tc>
          <w:tcPr>
            <w:tcW w:type="dxa" w:w="9360"/>
            <w:shd w:val="clear" w:color="auto" w:fill="EFF6FF"/>
            <w:tcMar>
              <w:top w:w="140" w:type="dxa"/>
              <w:start w:w="180" w:type="dxa"/>
              <w:bottom w:w="140" w:type="dxa"/>
              <w:end w:w="180" w:type="dxa"/>
            </w:tcMar>
          </w:tcPr>
          <w:p>
            <w:r>
              <w:rPr>
                <w:rFonts w:ascii="Calibri" w:hAnsi="Calibri"/>
                <w:b/>
                <w:color w:val="1E3A8A"/>
                <w:sz w:val="22"/>
              </w:rPr>
              <w:t>RINGKASAN EKSEKUTIF UNTUK TIM DJKI</w:t>
              <w:br/>
            </w:r>
            <w:r>
              <w:rPr>
                <w:rFonts w:ascii="Calibri" w:hAnsi="Calibri"/>
                <w:color w:val="1E293B"/>
                <w:sz w:val="21"/>
              </w:rPr>
              <w:t>TechVal AI dirancang untuk menjawab tantangan utama dalam penilaian dan komersialisasi paten di Indonesia: (1) memisahkan secara tegas skor mutu teknis/TKT dari nilai ekonomi Rupiah (IDR) sesuai pedoman WIPO 2024 agar tidak terjadi konversi skor ke uang secara sembarangan, (2) mewajibkan setiap klaim dan skor mengutip halaman/paragraf dokumen asli secara verbatim (anti-halusinasi AI), serta (3) menyediakan mekanisme persetujuan Pakar Penilai (Expert Sign-Off) dengan pembatalan otomatis (Stale Invalidation) apabila dokumen atau asumsi arus kas berubah.</w:t>
            </w:r>
          </w:p>
        </w:tc>
      </w:tr>
    </w:tbl>
    <w:p/>
    <w:p>
      <w:r>
        <w:br w:type="page"/>
      </w:r>
    </w:p>
    <w:p>
      <w:pPr>
        <w:pStyle w:val="Heading1"/>
      </w:pPr>
      <w:r>
        <w:rPr>
          <w:color w:val="0F172A"/>
        </w:rPr>
        <w:t>1. Pendahuluan &amp; Empat Output Terpisah (Standar WIPO &amp; NASA)</w:t>
      </w:r>
    </w:p>
    <w:p>
      <w:r>
        <w:t>Dalam praktik valuasi Kekayaan Intelektual (KI) dan paten, kesalahan metodologis yang paling sering terjadi pada perangkat lunak otomatis adalah mencampuradukkan skor kualitatif (misalnya skor kebaruan 80% atau TKT 6) menjadi nilai Rupiah melalui pengali arbitrer. Pedoman resmi World Intellectual Property Organization (WIPO, 2024) melarang konversi langsung skor kualitatif menjadi nilai moneter.</w:t>
      </w:r>
    </w:p>
    <w:p>
      <w:r>
        <w:t>Oleh karena itu, TechVal AI menerapkan arsitektur Empat Output Terpisah (Four Strictly Separated Outputs) yang selalu ditampilkan secara berdampingan dan independen: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1E3A8A"/>
            <w:tcMar>
              <w:top w:w="120" w:type="dxa"/>
              <w:start w:w="140" w:type="dxa"/>
              <w:bottom w:w="120" w:type="dxa"/>
              <w:end w:w="140" w:type="dxa"/>
            </w:tcMar>
          </w:tcPr>
          <w:p>
            <w:r/>
            <w:r>
              <w:rPr>
                <w:rFonts w:ascii="Calibri" w:hAnsi="Calibri"/>
                <w:b/>
                <w:color w:val="FFFFFF"/>
                <w:sz w:val="21"/>
              </w:rPr>
              <w:t>No</w:t>
            </w:r>
          </w:p>
        </w:tc>
        <w:tc>
          <w:tcPr>
            <w:tcW w:type="dxa" w:w="2592"/>
            <w:shd w:val="clear" w:color="auto" w:fill="1E3A8A"/>
            <w:tcMar>
              <w:top w:w="120" w:type="dxa"/>
              <w:start w:w="140" w:type="dxa"/>
              <w:bottom w:w="120" w:type="dxa"/>
              <w:end w:w="140" w:type="dxa"/>
            </w:tcMar>
          </w:tcPr>
          <w:p>
            <w:r/>
            <w:r>
              <w:rPr>
                <w:rFonts w:ascii="Calibri" w:hAnsi="Calibri"/>
                <w:b/>
                <w:color w:val="FFFFFF"/>
                <w:sz w:val="21"/>
              </w:rPr>
              <w:t>Output Utama</w:t>
            </w:r>
          </w:p>
        </w:tc>
        <w:tc>
          <w:tcPr>
            <w:tcW w:type="dxa" w:w="2016"/>
            <w:shd w:val="clear" w:color="auto" w:fill="1E3A8A"/>
            <w:tcMar>
              <w:top w:w="120" w:type="dxa"/>
              <w:start w:w="140" w:type="dxa"/>
              <w:bottom w:w="120" w:type="dxa"/>
              <w:end w:w="140" w:type="dxa"/>
            </w:tcMar>
          </w:tcPr>
          <w:p>
            <w:r/>
            <w:r>
              <w:rPr>
                <w:rFonts w:ascii="Calibri" w:hAnsi="Calibri"/>
                <w:b/>
                <w:color w:val="FFFFFF"/>
                <w:sz w:val="21"/>
              </w:rPr>
              <w:t>Skala / Satuan</w:t>
            </w:r>
          </w:p>
        </w:tc>
        <w:tc>
          <w:tcPr>
            <w:tcW w:type="dxa" w:w="4032"/>
            <w:shd w:val="clear" w:color="auto" w:fill="1E3A8A"/>
            <w:tcMar>
              <w:top w:w="120" w:type="dxa"/>
              <w:start w:w="140" w:type="dxa"/>
              <w:bottom w:w="120" w:type="dxa"/>
              <w:end w:w="140" w:type="dxa"/>
            </w:tcMar>
          </w:tcPr>
          <w:p>
            <w:r/>
            <w:r>
              <w:rPr>
                <w:rFonts w:ascii="Calibri" w:hAnsi="Calibri"/>
                <w:b/>
                <w:color w:val="FFFFFF"/>
                <w:sz w:val="21"/>
              </w:rPr>
              <w:t>Landasan Ilmiah &amp; Fungsi bagi DJKI / TTO</w:t>
            </w:r>
          </w:p>
        </w:tc>
      </w:tr>
      <w:tr>
        <w:tc>
          <w:tcPr>
            <w:tcW w:type="dxa" w:w="720"/>
            <w:shd w:val="clear" w:color="auto" w:fill="FFFFFF"/>
            <w:tcMar>
              <w:top w:w="90" w:type="dxa"/>
              <w:start w:w="140" w:type="dxa"/>
              <w:bottom w:w="90" w:type="dxa"/>
              <w:end w:w="140" w:type="dxa"/>
            </w:tcMar>
          </w:tcPr>
          <w:p>
            <w:r/>
            <w:r>
              <w:rPr>
                <w:rFonts w:ascii="Calibri" w:hAnsi="Calibri"/>
                <w:color w:val="0F172A"/>
                <w:sz w:val="20"/>
              </w:rPr>
              <w:t>1</w:t>
            </w:r>
          </w:p>
        </w:tc>
        <w:tc>
          <w:tcPr>
            <w:tcW w:type="dxa" w:w="2592"/>
            <w:shd w:val="clear" w:color="auto" w:fill="FFFFFF"/>
            <w:tcMar>
              <w:top w:w="90" w:type="dxa"/>
              <w:start w:w="140" w:type="dxa"/>
              <w:bottom w:w="90" w:type="dxa"/>
              <w:end w:w="140" w:type="dxa"/>
            </w:tcMar>
          </w:tcPr>
          <w:p>
            <w:r/>
            <w:r>
              <w:rPr>
                <w:rFonts w:ascii="Calibri" w:hAnsi="Calibri"/>
                <w:color w:val="0F172A"/>
                <w:sz w:val="20"/>
              </w:rPr>
              <w:t>Skor Teknologi &amp; TKT/TRL</w:t>
            </w:r>
          </w:p>
        </w:tc>
        <w:tc>
          <w:tcPr>
            <w:tcW w:type="dxa" w:w="2016"/>
            <w:shd w:val="clear" w:color="auto" w:fill="FFFFFF"/>
            <w:tcMar>
              <w:top w:w="90" w:type="dxa"/>
              <w:start w:w="140" w:type="dxa"/>
              <w:bottom w:w="90" w:type="dxa"/>
              <w:end w:w="140" w:type="dxa"/>
            </w:tcMar>
          </w:tcPr>
          <w:p>
            <w:r/>
            <w:r>
              <w:rPr>
                <w:rFonts w:ascii="Calibri" w:hAnsi="Calibri"/>
                <w:color w:val="0F172A"/>
                <w:sz w:val="20"/>
              </w:rPr>
              <w:t>Skor [0,00 – 1,00] &amp; Skala Bulat TRL 1–9</w:t>
            </w:r>
          </w:p>
        </w:tc>
        <w:tc>
          <w:tcPr>
            <w:tcW w:type="dxa" w:w="4032"/>
            <w:shd w:val="clear" w:color="auto" w:fill="FFFFFF"/>
            <w:tcMar>
              <w:top w:w="90" w:type="dxa"/>
              <w:start w:w="140" w:type="dxa"/>
              <w:bottom w:w="90" w:type="dxa"/>
              <w:end w:w="140" w:type="dxa"/>
            </w:tcMar>
          </w:tcPr>
          <w:p>
            <w:r/>
            <w:r>
              <w:rPr>
                <w:rFonts w:ascii="Calibri" w:hAnsi="Calibri"/>
                <w:color w:val="0F172A"/>
                <w:sz w:val="20"/>
              </w:rPr>
              <w:t>Menilai kematangan teknis berdasarkan kriteria keluar (exit criteria) NASA ESTO / ISO 16290:2013 serta sinyal cakupan klaim paten (Harhoff et al., 2003). TRL dijaga pada skala bulat asli 1–9.</w:t>
            </w:r>
          </w:p>
        </w:tc>
      </w:tr>
      <w:tr>
        <w:tc>
          <w:tcPr>
            <w:tcW w:type="dxa" w:w="720"/>
            <w:shd w:val="clear" w:color="auto" w:fill="F8FAFC"/>
            <w:tcMar>
              <w:top w:w="90" w:type="dxa"/>
              <w:start w:w="140" w:type="dxa"/>
              <w:bottom w:w="90" w:type="dxa"/>
              <w:end w:w="140" w:type="dxa"/>
            </w:tcMar>
          </w:tcPr>
          <w:p>
            <w:r/>
            <w:r>
              <w:rPr>
                <w:rFonts w:ascii="Calibri" w:hAnsi="Calibri"/>
                <w:color w:val="0F172A"/>
                <w:sz w:val="20"/>
              </w:rPr>
              <w:t>2</w:t>
            </w:r>
          </w:p>
        </w:tc>
        <w:tc>
          <w:tcPr>
            <w:tcW w:type="dxa" w:w="2592"/>
            <w:shd w:val="clear" w:color="auto" w:fill="F8FAFC"/>
            <w:tcMar>
              <w:top w:w="90" w:type="dxa"/>
              <w:start w:w="140" w:type="dxa"/>
              <w:bottom w:w="90" w:type="dxa"/>
              <w:end w:w="140" w:type="dxa"/>
            </w:tcMar>
          </w:tcPr>
          <w:p>
            <w:r/>
            <w:r>
              <w:rPr>
                <w:rFonts w:ascii="Calibri" w:hAnsi="Calibri"/>
                <w:color w:val="0F172A"/>
                <w:sz w:val="20"/>
              </w:rPr>
              <w:t>Kesiapan Komersialisasi (Pasar)</w:t>
            </w:r>
          </w:p>
        </w:tc>
        <w:tc>
          <w:tcPr>
            <w:tcW w:type="dxa" w:w="2016"/>
            <w:shd w:val="clear" w:color="auto" w:fill="F8FAFC"/>
            <w:tcMar>
              <w:top w:w="90" w:type="dxa"/>
              <w:start w:w="140" w:type="dxa"/>
              <w:bottom w:w="90" w:type="dxa"/>
              <w:end w:w="140" w:type="dxa"/>
            </w:tcMar>
          </w:tcPr>
          <w:p>
            <w:r/>
            <w:r>
              <w:rPr>
                <w:rFonts w:ascii="Calibri" w:hAnsi="Calibri"/>
                <w:color w:val="0F172A"/>
                <w:sz w:val="20"/>
              </w:rPr>
              <w:t>Skor [0,00 – 1,00] (Normalisasi (s-1)/4)</w:t>
            </w:r>
          </w:p>
        </w:tc>
        <w:tc>
          <w:tcPr>
            <w:tcW w:type="dxa" w:w="4032"/>
            <w:shd w:val="clear" w:color="auto" w:fill="F8FAFC"/>
            <w:tcMar>
              <w:top w:w="90" w:type="dxa"/>
              <w:start w:w="140" w:type="dxa"/>
              <w:bottom w:w="90" w:type="dxa"/>
              <w:end w:w="140" w:type="dxa"/>
            </w:tcMar>
          </w:tcPr>
          <w:p>
            <w:r/>
            <w:r>
              <w:rPr>
                <w:rFonts w:ascii="Calibri" w:hAnsi="Calibri"/>
                <w:color w:val="0F172A"/>
                <w:sz w:val="20"/>
              </w:rPr>
              <w:t>Menilai permintaan industri sasaran, keunggulan biaya operasi (OPEX/CAPEX), kepatuhan regulasi/SNI/PermenLHK, rantai pasok (TKDN), dan kesiapan lisensi (LOI).</w:t>
            </w:r>
          </w:p>
        </w:tc>
      </w:tr>
      <w:tr>
        <w:tc>
          <w:tcPr>
            <w:tcW w:type="dxa" w:w="720"/>
            <w:shd w:val="clear" w:color="auto" w:fill="FFFFFF"/>
            <w:tcMar>
              <w:top w:w="90" w:type="dxa"/>
              <w:start w:w="140" w:type="dxa"/>
              <w:bottom w:w="90" w:type="dxa"/>
              <w:end w:w="140" w:type="dxa"/>
            </w:tcMar>
          </w:tcPr>
          <w:p>
            <w:r/>
            <w:r>
              <w:rPr>
                <w:rFonts w:ascii="Calibri" w:hAnsi="Calibri"/>
                <w:color w:val="0F172A"/>
                <w:sz w:val="20"/>
              </w:rPr>
              <w:t>3</w:t>
            </w:r>
          </w:p>
        </w:tc>
        <w:tc>
          <w:tcPr>
            <w:tcW w:type="dxa" w:w="2592"/>
            <w:shd w:val="clear" w:color="auto" w:fill="FFFFFF"/>
            <w:tcMar>
              <w:top w:w="90" w:type="dxa"/>
              <w:start w:w="140" w:type="dxa"/>
              <w:bottom w:w="90" w:type="dxa"/>
              <w:end w:w="140" w:type="dxa"/>
            </w:tcMar>
          </w:tcPr>
          <w:p>
            <w:r/>
            <w:r>
              <w:rPr>
                <w:rFonts w:ascii="Calibri" w:hAnsi="Calibri"/>
                <w:color w:val="0F172A"/>
                <w:sz w:val="20"/>
              </w:rPr>
              <w:t>Valuasi Ekonomi Indikatif (IDR)</w:t>
            </w:r>
          </w:p>
        </w:tc>
        <w:tc>
          <w:tcPr>
            <w:tcW w:type="dxa" w:w="2016"/>
            <w:shd w:val="clear" w:color="auto" w:fill="FFFFFF"/>
            <w:tcMar>
              <w:top w:w="90" w:type="dxa"/>
              <w:start w:w="140" w:type="dxa"/>
              <w:bottom w:w="90" w:type="dxa"/>
              <w:end w:w="140" w:type="dxa"/>
            </w:tcMar>
          </w:tcPr>
          <w:p>
            <w:r/>
            <w:r>
              <w:rPr>
                <w:rFonts w:ascii="Calibri" w:hAnsi="Calibri"/>
                <w:color w:val="0F172A"/>
                <w:sz w:val="20"/>
              </w:rPr>
              <w:t>Rupiah (Rp / IDR)</w:t>
            </w:r>
          </w:p>
        </w:tc>
        <w:tc>
          <w:tcPr>
            <w:tcW w:type="dxa" w:w="4032"/>
            <w:shd w:val="clear" w:color="auto" w:fill="FFFFFF"/>
            <w:tcMar>
              <w:top w:w="90" w:type="dxa"/>
              <w:start w:w="140" w:type="dxa"/>
              <w:bottom w:w="90" w:type="dxa"/>
              <w:end w:w="140" w:type="dxa"/>
            </w:tcMar>
          </w:tcPr>
          <w:p>
            <w:r/>
            <w:r>
              <w:rPr>
                <w:rFonts w:ascii="Calibri" w:hAnsi="Calibri"/>
                <w:color w:val="0F172A"/>
                <w:sz w:val="20"/>
              </w:rPr>
              <w:t>Dihitung murni dari proyeksi arus kas finansial menggunakan metode WIPO: Pendapatan (DCF), Pembebasan Royalti (Relief-from-Royalty), Biaya Reproduksi (Cost), dan Pembanding Pasar (Market) beserta simulasi Monte Carlo.</w:t>
            </w:r>
          </w:p>
        </w:tc>
      </w:tr>
      <w:tr>
        <w:tc>
          <w:tcPr>
            <w:tcW w:type="dxa" w:w="720"/>
            <w:shd w:val="clear" w:color="auto" w:fill="F8FAFC"/>
            <w:tcMar>
              <w:top w:w="90" w:type="dxa"/>
              <w:start w:w="140" w:type="dxa"/>
              <w:bottom w:w="90" w:type="dxa"/>
              <w:end w:w="140" w:type="dxa"/>
            </w:tcMar>
          </w:tcPr>
          <w:p>
            <w:r/>
            <w:r>
              <w:rPr>
                <w:rFonts w:ascii="Calibri" w:hAnsi="Calibri"/>
                <w:color w:val="0F172A"/>
                <w:sz w:val="20"/>
              </w:rPr>
              <w:t>4</w:t>
            </w:r>
          </w:p>
        </w:tc>
        <w:tc>
          <w:tcPr>
            <w:tcW w:type="dxa" w:w="2592"/>
            <w:shd w:val="clear" w:color="auto" w:fill="F8FAFC"/>
            <w:tcMar>
              <w:top w:w="90" w:type="dxa"/>
              <w:start w:w="140" w:type="dxa"/>
              <w:bottom w:w="90" w:type="dxa"/>
              <w:end w:w="140" w:type="dxa"/>
            </w:tcMar>
          </w:tcPr>
          <w:p>
            <w:r/>
            <w:r>
              <w:rPr>
                <w:rFonts w:ascii="Calibri" w:hAnsi="Calibri"/>
                <w:color w:val="0F172A"/>
                <w:sz w:val="20"/>
              </w:rPr>
              <w:t>Kelengkapan Bukti Dokumen</w:t>
            </w:r>
          </w:p>
        </w:tc>
        <w:tc>
          <w:tcPr>
            <w:tcW w:type="dxa" w:w="2016"/>
            <w:shd w:val="clear" w:color="auto" w:fill="F8FAFC"/>
            <w:tcMar>
              <w:top w:w="90" w:type="dxa"/>
              <w:start w:w="140" w:type="dxa"/>
              <w:bottom w:w="90" w:type="dxa"/>
              <w:end w:w="140" w:type="dxa"/>
            </w:tcMar>
          </w:tcPr>
          <w:p>
            <w:r/>
            <w:r>
              <w:rPr>
                <w:rFonts w:ascii="Calibri" w:hAnsi="Calibri"/>
                <w:color w:val="0F172A"/>
                <w:sz w:val="20"/>
              </w:rPr>
              <w:t>Persentase (0% – 100%)</w:t>
            </w:r>
          </w:p>
        </w:tc>
        <w:tc>
          <w:tcPr>
            <w:tcW w:type="dxa" w:w="4032"/>
            <w:shd w:val="clear" w:color="auto" w:fill="F8FAFC"/>
            <w:tcMar>
              <w:top w:w="90" w:type="dxa"/>
              <w:start w:w="140" w:type="dxa"/>
              <w:bottom w:w="90" w:type="dxa"/>
              <w:end w:w="140" w:type="dxa"/>
            </w:tcMar>
          </w:tcPr>
          <w:p>
            <w:r/>
            <w:r>
              <w:rPr>
                <w:rFonts w:ascii="Calibri" w:hAnsi="Calibri"/>
                <w:color w:val="0F172A"/>
                <w:sz w:val="20"/>
              </w:rPr>
              <w:t>Mengukur proporsi indikator yang didukung kutipan dokumen terverifikasi. Indikator yang belum memiliki bukti tidak diberi nilai nol (tidak dihukum secara semu), melainkan direnormalisasi secara transparan.</w:t>
            </w:r>
          </w:p>
        </w:tc>
      </w:tr>
    </w:tbl>
    <w:p/>
    <w:p>
      <w:pPr>
        <w:pStyle w:val="Heading1"/>
      </w:pPr>
      <w:r>
        <w:rPr>
          <w:color w:val="0F172A"/>
        </w:rPr>
        <w:t>2. Peran Pengguna &amp; Tata Kelola Pemeriksaan (Role-Based Access)</w:t>
      </w:r>
    </w:p>
    <w:p>
      <w:r>
        <w:t>Sistem menyediakan 3 (tiga) peran pengguna yang dapat dipilih atau diuji langsung melalui pemilih akun di pojok kanan atas layar:</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E3A8A"/>
            <w:tcMar>
              <w:top w:w="120" w:type="dxa"/>
              <w:start w:w="140" w:type="dxa"/>
              <w:bottom w:w="120" w:type="dxa"/>
              <w:end w:w="140" w:type="dxa"/>
            </w:tcMar>
          </w:tcPr>
          <w:p>
            <w:r/>
            <w:r>
              <w:rPr>
                <w:rFonts w:ascii="Calibri" w:hAnsi="Calibri"/>
                <w:b/>
                <w:color w:val="FFFFFF"/>
                <w:sz w:val="21"/>
              </w:rPr>
              <w:t>Peran (Role)</w:t>
            </w:r>
          </w:p>
        </w:tc>
        <w:tc>
          <w:tcPr>
            <w:tcW w:type="dxa" w:w="2736"/>
            <w:shd w:val="clear" w:color="auto" w:fill="1E3A8A"/>
            <w:tcMar>
              <w:top w:w="120" w:type="dxa"/>
              <w:start w:w="140" w:type="dxa"/>
              <w:bottom w:w="120" w:type="dxa"/>
              <w:end w:w="140" w:type="dxa"/>
            </w:tcMar>
          </w:tcPr>
          <w:p>
            <w:r/>
            <w:r>
              <w:rPr>
                <w:rFonts w:ascii="Calibri" w:hAnsi="Calibri"/>
                <w:b/>
                <w:color w:val="FFFFFF"/>
                <w:sz w:val="21"/>
              </w:rPr>
              <w:t>Akun Demo di Sistem</w:t>
            </w:r>
          </w:p>
        </w:tc>
        <w:tc>
          <w:tcPr>
            <w:tcW w:type="dxa" w:w="4320"/>
            <w:shd w:val="clear" w:color="auto" w:fill="1E3A8A"/>
            <w:tcMar>
              <w:top w:w="120" w:type="dxa"/>
              <w:start w:w="140" w:type="dxa"/>
              <w:bottom w:w="120" w:type="dxa"/>
              <w:end w:w="140" w:type="dxa"/>
            </w:tcMar>
          </w:tcPr>
          <w:p>
            <w:r/>
            <w:r>
              <w:rPr>
                <w:rFonts w:ascii="Calibri" w:hAnsi="Calibri"/>
                <w:b/>
                <w:color w:val="FFFFFF"/>
                <w:sz w:val="21"/>
              </w:rPr>
              <w:t>Kewenangan &amp; Tanggung Jawab Utama</w:t>
            </w:r>
          </w:p>
        </w:tc>
      </w:tr>
      <w:tr>
        <w:tc>
          <w:tcPr>
            <w:tcW w:type="dxa" w:w="2304"/>
            <w:shd w:val="clear" w:color="auto" w:fill="FFFFFF"/>
            <w:tcMar>
              <w:top w:w="90" w:type="dxa"/>
              <w:start w:w="140" w:type="dxa"/>
              <w:bottom w:w="90" w:type="dxa"/>
              <w:end w:w="140" w:type="dxa"/>
            </w:tcMar>
          </w:tcPr>
          <w:p>
            <w:r/>
            <w:r>
              <w:rPr>
                <w:rFonts w:ascii="Calibri" w:hAnsi="Calibri"/>
                <w:color w:val="0F172A"/>
                <w:sz w:val="20"/>
              </w:rPr>
              <w:t>Analis (Analyst)</w:t>
            </w:r>
          </w:p>
        </w:tc>
        <w:tc>
          <w:tcPr>
            <w:tcW w:type="dxa" w:w="2736"/>
            <w:shd w:val="clear" w:color="auto" w:fill="FFFFFF"/>
            <w:tcMar>
              <w:top w:w="90" w:type="dxa"/>
              <w:start w:w="140" w:type="dxa"/>
              <w:bottom w:w="90" w:type="dxa"/>
              <w:end w:w="140" w:type="dxa"/>
            </w:tcMar>
          </w:tcPr>
          <w:p>
            <w:r/>
            <w:r>
              <w:rPr>
                <w:rFonts w:ascii="Calibri" w:hAnsi="Calibri"/>
                <w:color w:val="0F172A"/>
                <w:sz w:val="20"/>
              </w:rPr>
              <w:t>Rina Kusuma, M.T. (analyst)</w:t>
            </w:r>
          </w:p>
        </w:tc>
        <w:tc>
          <w:tcPr>
            <w:tcW w:type="dxa" w:w="4320"/>
            <w:shd w:val="clear" w:color="auto" w:fill="FFFFFF"/>
            <w:tcMar>
              <w:top w:w="90" w:type="dxa"/>
              <w:start w:w="140" w:type="dxa"/>
              <w:bottom w:w="90" w:type="dxa"/>
              <w:end w:w="140" w:type="dxa"/>
            </w:tcMar>
          </w:tcPr>
          <w:p>
            <w:r/>
            <w:r>
              <w:rPr>
                <w:rFonts w:ascii="Calibri" w:hAnsi="Calibri"/>
                <w:color w:val="0F172A"/>
                <w:sz w:val="20"/>
              </w:rPr>
              <w:t>Menginput portofolio paten/teknologi, mengunggah dokumen spesifikasi paten &amp; studi pasar ke brankas terenkripsi, menjalankan analisis AI 8-agen, dan menyusun skenario valuasi IDR.</w:t>
            </w:r>
          </w:p>
        </w:tc>
      </w:tr>
      <w:tr>
        <w:tc>
          <w:tcPr>
            <w:tcW w:type="dxa" w:w="2304"/>
            <w:shd w:val="clear" w:color="auto" w:fill="F8FAFC"/>
            <w:tcMar>
              <w:top w:w="90" w:type="dxa"/>
              <w:start w:w="140" w:type="dxa"/>
              <w:bottom w:w="90" w:type="dxa"/>
              <w:end w:w="140" w:type="dxa"/>
            </w:tcMar>
          </w:tcPr>
          <w:p>
            <w:r/>
            <w:r>
              <w:rPr>
                <w:rFonts w:ascii="Calibri" w:hAnsi="Calibri"/>
                <w:color w:val="0F172A"/>
                <w:sz w:val="20"/>
              </w:rPr>
              <w:t>Pemeriksa / Pakar (Expert Reviewer)</w:t>
            </w:r>
          </w:p>
        </w:tc>
        <w:tc>
          <w:tcPr>
            <w:tcW w:type="dxa" w:w="2736"/>
            <w:shd w:val="clear" w:color="auto" w:fill="F8FAFC"/>
            <w:tcMar>
              <w:top w:w="90" w:type="dxa"/>
              <w:start w:w="140" w:type="dxa"/>
              <w:bottom w:w="90" w:type="dxa"/>
              <w:end w:w="140" w:type="dxa"/>
            </w:tcMar>
          </w:tcPr>
          <w:p>
            <w:r/>
            <w:r>
              <w:rPr>
                <w:rFonts w:ascii="Calibri" w:hAnsi="Calibri"/>
                <w:color w:val="0F172A"/>
                <w:sz w:val="20"/>
              </w:rPr>
              <w:t>Prof. Dr. Hendra Wijaya (reviewer)</w:t>
            </w:r>
          </w:p>
        </w:tc>
        <w:tc>
          <w:tcPr>
            <w:tcW w:type="dxa" w:w="4320"/>
            <w:shd w:val="clear" w:color="auto" w:fill="F8FAFC"/>
            <w:tcMar>
              <w:top w:w="90" w:type="dxa"/>
              <w:start w:w="140" w:type="dxa"/>
              <w:bottom w:w="90" w:type="dxa"/>
              <w:end w:w="140" w:type="dxa"/>
            </w:tcMar>
          </w:tcPr>
          <w:p>
            <w:r/>
            <w:r>
              <w:rPr>
                <w:rFonts w:ascii="Calibri" w:hAnsi="Calibri"/>
                <w:color w:val="0F172A"/>
                <w:sz w:val="20"/>
              </w:rPr>
              <w:t>Memeriksa kutipan bukti per indikator, merevisi skor dan bobot AHP, serta memberikan persetujuan akhir (Approved / Rejected) yang menghilangkan tanda DRAFT pada laporan PDF.</w:t>
            </w:r>
          </w:p>
        </w:tc>
      </w:tr>
      <w:tr>
        <w:tc>
          <w:tcPr>
            <w:tcW w:type="dxa" w:w="2304"/>
            <w:shd w:val="clear" w:color="auto" w:fill="FFFFFF"/>
            <w:tcMar>
              <w:top w:w="90" w:type="dxa"/>
              <w:start w:w="140" w:type="dxa"/>
              <w:bottom w:w="90" w:type="dxa"/>
              <w:end w:w="140" w:type="dxa"/>
            </w:tcMar>
          </w:tcPr>
          <w:p>
            <w:r/>
            <w:r>
              <w:rPr>
                <w:rFonts w:ascii="Calibri" w:hAnsi="Calibri"/>
                <w:color w:val="0F172A"/>
                <w:sz w:val="20"/>
              </w:rPr>
              <w:t>Administrator (Admin)</w:t>
            </w:r>
          </w:p>
        </w:tc>
        <w:tc>
          <w:tcPr>
            <w:tcW w:type="dxa" w:w="2736"/>
            <w:shd w:val="clear" w:color="auto" w:fill="FFFFFF"/>
            <w:tcMar>
              <w:top w:w="90" w:type="dxa"/>
              <w:start w:w="140" w:type="dxa"/>
              <w:bottom w:w="90" w:type="dxa"/>
              <w:end w:w="140" w:type="dxa"/>
            </w:tcMar>
          </w:tcPr>
          <w:p>
            <w:r/>
            <w:r>
              <w:rPr>
                <w:rFonts w:ascii="Calibri" w:hAnsi="Calibri"/>
                <w:color w:val="0F172A"/>
                <w:sz w:val="20"/>
              </w:rPr>
              <w:t>Dr. Ir. Pratama, IPU (admin)</w:t>
            </w:r>
          </w:p>
        </w:tc>
        <w:tc>
          <w:tcPr>
            <w:tcW w:type="dxa" w:w="4320"/>
            <w:shd w:val="clear" w:color="auto" w:fill="FFFFFF"/>
            <w:tcMar>
              <w:top w:w="90" w:type="dxa"/>
              <w:start w:w="140" w:type="dxa"/>
              <w:bottom w:w="90" w:type="dxa"/>
              <w:end w:w="140" w:type="dxa"/>
            </w:tcMar>
          </w:tcPr>
          <w:p>
            <w:r/>
            <w:r>
              <w:rPr>
                <w:rFonts w:ascii="Calibri" w:hAnsi="Calibri"/>
                <w:color w:val="0F172A"/>
                <w:sz w:val="20"/>
              </w:rPr>
              <w:t>Memantau log audit SHA-256, mengelola konfigurasi metodologi, dan menjalankan evaluasi akurasi sistem (Phase 4 Benchmark).</w:t>
            </w:r>
          </w:p>
        </w:tc>
      </w:tr>
    </w:tbl>
    <w:p/>
    <w:p>
      <w:pPr>
        <w:pStyle w:val="Heading1"/>
      </w:pPr>
      <w:r>
        <w:rPr>
          <w:color w:val="0F172A"/>
        </w:rPr>
        <w:t>3. Panduan Langkah demi Langkah Penggunaan Sistem</w:t>
      </w:r>
    </w:p>
    <w:p>
      <w:r>
        <w:t>Antarmuka TechVal AI telah dirancang agar sangat sederhana dan ramah pengguna. Di bagian atas layar terdapat pengalih bahasa (ID untuk Bahasa Indonesia / EN untuk Bahasa Inggris) serta pemilih teknologi aktif. Berikut adalah urutan penggunaan dari awal hingga akhir:</w:t>
      </w:r>
    </w:p>
    <w:p>
      <w:pPr>
        <w:pStyle w:val="Heading2"/>
      </w:pPr>
      <w:r>
        <w:rPr>
          <w:color w:val="1E3A8A"/>
        </w:rPr>
        <w:t>Langkah 1 — Beranda (`/`) : Melihat Portofolio &amp; Menambah Teknologi/Paten Baru</w:t>
      </w:r>
    </w:p>
    <w:p>
      <w:pPr>
        <w:pStyle w:val="ListBullet"/>
      </w:pPr>
      <w:r>
        <w:t>Buka halaman utama aplikasi. Pada bagian atas, Anda langsung melihat 4 kartu ringkasan utama untuk teknologi yang sedang dipilih (Skor Teknologi &amp; TRL, Kesiapan Pasar, Nilai Ekonomi Rupiah, dan Kelengkapan Bukti).</w:t>
      </w:r>
    </w:p>
    <w:p>
      <w:pPr>
        <w:pStyle w:val="ListBullet"/>
      </w:pPr>
      <w:r>
        <w:t>Untuk mendaftarkan invensi atau paten baru yang ingin dinilai, klik tombol biru '+ Tambah Teknologi' di kanan atas.</w:t>
      </w:r>
    </w:p>
    <w:p>
      <w:pPr>
        <w:pStyle w:val="ListBullet"/>
      </w:pPr>
      <w:r>
        <w:t>Isi Nama Teknologi dan Deskripsi Singkat. Jika ingin mengisi detail lengkap (Kode Paten, Bidang Teknis, Klaim TRL Awal 1–9, dan Status Paten seperti 'Dalam Proses Paten' atau 'Paten Diberikan'), klik bagian 'Pengaturan Lanjutan' lalu klik 'Simpan Teknologi'.</w:t>
      </w:r>
    </w:p>
    <w:p>
      <w:pPr>
        <w:pStyle w:val="Heading2"/>
      </w:pPr>
      <w:r>
        <w:rPr>
          <w:color w:val="1E3A8A"/>
        </w:rPr>
        <w:t>Langkah 2 — Unggah Dokumen (`/submission`) : Menyimpan Spesifikasi Paten &amp; Bukti Teknis</w:t>
      </w:r>
    </w:p>
    <w:p>
      <w:pPr>
        <w:pStyle w:val="ListBullet"/>
      </w:pPr>
      <w:r>
        <w:t>Klik menu 'Unggah Dokumen' pada bilah navigasi kiri (di bawah kelompok Langkah Utama).</w:t>
      </w:r>
    </w:p>
    <w:p>
      <w:pPr>
        <w:pStyle w:val="ListBullet"/>
      </w:pPr>
      <w:r>
        <w:t>Pilih Kategori Dokumen: (a) Patent Specification &amp; Claims, (b) Technical Disclosure &amp; Pilot Validation, (c) Market &amp; Commercialization Study, atau (d) Regulatory &amp; TKDN Dossier.</w:t>
      </w:r>
    </w:p>
    <w:p>
      <w:pPr>
        <w:pStyle w:val="ListBullet"/>
      </w:pPr>
      <w:r>
        <w:t>Pilih file dokumen (.pdf, .docx, .txt, atau .md hingga 25 MB) lalu klik 'Verify &amp; Store in Encrypted Vault'.</w:t>
      </w:r>
    </w:p>
    <w:p>
      <w:pPr>
        <w:pStyle w:val="ListBullet"/>
      </w:pPr>
      <w:r>
        <w:t>FITUR CEPAT UNTUK UJI COBA DJKI: Anda juga dapat menekan tombol 'Muat Contoh Dokumen Paten (1 Klik)' di kanan atas halaman untuk langsung memuat contoh dokumen spesifikasi paten &amp; uji pilot tanpa perlu menyiapkan file sendiri.</w:t>
      </w:r>
    </w:p>
    <w:p>
      <w:pPr>
        <w:pStyle w:val="ListBullet"/>
      </w:pPr>
      <w:r>
        <w:t>Setiap dokumen otomatis dienkripsi (AES-256-GCM), diberi sidik jari digital SHA-256, dan dipecah menjadi penunjuk lokasi kanonik ([page:1], [para:1], dst.) yang dapat dilihat dengan menekan tombol 'Locators'.</w:t>
      </w:r>
    </w:p>
    <w:p>
      <w:pPr>
        <w:pStyle w:val="Heading2"/>
      </w:pPr>
      <w:r>
        <w:rPr>
          <w:color w:val="1E3A8A"/>
        </w:rPr>
        <w:t>Langkah 3 — Analisis AI (`/pipeline`) : Menjalankan Orkestrasi 8-Agen Meta Muse AI</w:t>
      </w:r>
    </w:p>
    <w:p>
      <w:pPr>
        <w:pStyle w:val="ListBullet"/>
      </w:pPr>
      <w:r>
        <w:t>Buka menu 'Analisis AI'. Halaman ini menampilkan jumlah dokumen yang siap dianalisis.</w:t>
      </w:r>
    </w:p>
    <w:p>
      <w:pPr>
        <w:pStyle w:val="ListBullet"/>
      </w:pPr>
      <w:r>
        <w:t>Centang kotak persetujuan pemrosesan dokumen, lalu tekan tombol 'Mulai Analisis' (Start Analysis).</w:t>
      </w:r>
    </w:p>
    <w:p>
      <w:pPr>
        <w:pStyle w:val="ListBullet"/>
      </w:pPr>
      <w:r>
        <w:t>Sistem akan menjalankan alur kerja LangGraph 8-Agen menggunakan model Meta Muse AI secara bertahap:</w:t>
      </w:r>
    </w:p>
    <w:p>
      <w:pPr>
        <w:pStyle w:val="ListBullet"/>
      </w:pPr>
      <w:r>
        <w:t xml:space="preserve">  • Tahap 1 (Agent 1–4 dengan muse-spark-1.3): Validasi dokumen masuk, ekstraksi kutipan bukti verbatim beserta nomor halaman/paragraf, analisis sinyal klaim paten, dan ekstraksi intelijen pasar.</w:t>
      </w:r>
    </w:p>
    <w:p>
      <w:pPr>
        <w:pStyle w:val="ListBullet"/>
      </w:pPr>
      <w:r>
        <w:t xml:space="preserve">  • Tahap 2 (Agent 5–8 dengan muse-wonder-1.0): Penilaian kriteria keluar NASA TRL 1–9, perumusan jalur komersialisasi/lisensi WIPO, sintesis matriks risiko, dan kompilasi draf laporan.</w:t>
      </w:r>
    </w:p>
    <w:p>
      <w:pPr>
        <w:pStyle w:val="ListBullet"/>
      </w:pPr>
      <w:r>
        <w:t>Penting (Kebijakan Zero-Silent-Fallback): Apabila koneksi API eksternal gagal, sistem akan berhenti secara jujur dan menampilkan pesan kesalahan tanpa pernah memalsukan hasil menggunakan data contoh.</w:t>
      </w:r>
    </w:p>
    <w:p>
      <w:pPr>
        <w:pStyle w:val="Heading2"/>
      </w:pPr>
      <w:r>
        <w:rPr>
          <w:color w:val="1E3A8A"/>
        </w:rPr>
        <w:t>Langkah 4 — Skor Teknologi (`/assessment`) : Memeriksa Indikator Teknis, TRL 1–9, &amp; Kutipan Asli</w:t>
      </w:r>
    </w:p>
    <w:p>
      <w:pPr>
        <w:pStyle w:val="ListBullet"/>
      </w:pPr>
      <w:r>
        <w:t>Buka menu 'Skor Teknologi' di kelompok Hasil Penilaian.</w:t>
      </w:r>
    </w:p>
    <w:p>
      <w:pPr>
        <w:pStyle w:val="ListBullet"/>
      </w:pPr>
      <w:r>
        <w:t>Halaman ini menampilkan tabel 6 indikator dimensi teknis: TECH_TRL_NATIVE (Skala 1–9), TECH_NOVELTY (Kebaruan), TECH_VALIDATION (Validasi Empiris), TECH_SCALABILITY (Skalabilitas &amp; TKDN), TECH_PATENT_STRENGTH (Kekuatan Klaim Paten), dan TECH_SYSTEM_INTEGRATION.</w:t>
      </w:r>
    </w:p>
    <w:p>
      <w:pPr>
        <w:pStyle w:val="ListBullet"/>
      </w:pPr>
      <w:r>
        <w:t>Klik salah satu baris indikator (atau tombol 'View Quote') untuk melihat Kutipan Asli (Verbatim Quote) dan nomor halaman/paragraf ([page:2], [para:1]) di panel sebelah kanan.</w:t>
      </w:r>
    </w:p>
    <w:p>
      <w:pPr>
        <w:pStyle w:val="ListBullet"/>
      </w:pPr>
      <w:r>
        <w:t>Jika Pemeriksa/Analis menemukan bahwa skor perlu disesuaikan, ubah status atau angka skor pada tabel, isi alasan perubahan di bagian bawah, lalu klik 'Simpan'. Sistem akan membuat Revisi Baru yang tidak dapat diubah (Immutable Revision) tanpa menghapus riwayat revisi sebelumnya.</w:t>
      </w:r>
    </w:p>
    <w:p>
      <w:pPr>
        <w:pStyle w:val="Heading2"/>
      </w:pPr>
      <w:r>
        <w:rPr>
          <w:color w:val="1E3A8A"/>
        </w:rPr>
        <w:t>Langkah 5 — Kesiapan Pasar (`/commercialization`) : Menilai Pasar, Regulasi, &amp; Bobot AHP</w:t>
      </w:r>
    </w:p>
    <w:p>
      <w:pPr>
        <w:pStyle w:val="ListBullet"/>
      </w:pPr>
      <w:r>
        <w:t>Buka menu 'Kesiapan Pasar'. Halaman ini menampilkan 5 indikator komersialisasi berstandar WIPO: Permintaan Pasar Industri (COMM_MARKET_DEMAND), Keunggulan Kompetitif Biaya (COMM_COMPETITIVE_POSITION), Kepatuhan Regulasi (COMM_REGULATORY), Rantai Pasok &amp; TKDN (COMM_SUPPLY_CHAIN), serta Kesiapan Lisensi KI (COMM_IP_LICENSING_READINESS).</w:t>
      </w:r>
    </w:p>
    <w:p>
      <w:pPr>
        <w:pStyle w:val="ListBullet"/>
      </w:pPr>
      <w:r>
        <w:t>Di halaman ini juga terdapat kalkulator Analytic Hierarchy Process (AHP Saaty, 1980) yang menguji Rasio Konsistensi (CR &lt;= 0,10) apabila tim penilai ingin mengubah bobot kepentingan antar-indikator.</w:t>
      </w:r>
    </w:p>
    <w:p>
      <w:pPr>
        <w:pStyle w:val="Heading2"/>
      </w:pPr>
      <w:r>
        <w:rPr>
          <w:color w:val="1E3A8A"/>
        </w:rPr>
        <w:t>Langkah 6 — Nilai Ekonomi (Rp) (`/valuation`) : Menghitung Valuasi WIPO dalam Rupiah (IDR)</w:t>
      </w:r>
    </w:p>
    <w:p>
      <w:pPr>
        <w:pStyle w:val="ListBullet"/>
      </w:pPr>
      <w:r>
        <w:t>Buka menu 'Nilai Ekonomi (Rp)'. Halaman ini membandingkan 4 pendekatan valuasi resmi WIPO (2024) dalam mata uang Rupiah:</w:t>
      </w:r>
    </w:p>
    <w:p>
      <w:pPr>
        <w:pStyle w:val="ListBullet"/>
      </w:pPr>
      <w:r>
        <w:t xml:space="preserve">  1. Pendekatan Pendapatan — Discounted Cash Flow (DCF Base NPV IDR)</w:t>
      </w:r>
    </w:p>
    <w:p>
      <w:pPr>
        <w:pStyle w:val="ListBullet"/>
      </w:pPr>
      <w:r>
        <w:t xml:space="preserve">  2. Metode Pembebasan Royalti — Relief-from-Royalty (mis. tarif royalti 5,0% dari penjualan lisensi)</w:t>
      </w:r>
    </w:p>
    <w:p>
      <w:pPr>
        <w:pStyle w:val="ListBullet"/>
      </w:pPr>
      <w:r>
        <w:t xml:space="preserve">  3. Pendekatan Biaya — Reproduction Cost (biaya riset historis &amp; pembuatan ulang prototipe)</w:t>
      </w:r>
    </w:p>
    <w:p>
      <w:pPr>
        <w:pStyle w:val="ListBullet"/>
      </w:pPr>
      <w:r>
        <w:t xml:space="preserve">  4. Pendekatan Pasar — Market Comparables (pembanding transaksi lisensi sejenis)</w:t>
      </w:r>
    </w:p>
    <w:p>
      <w:pPr>
        <w:pStyle w:val="ListBullet"/>
      </w:pPr>
      <w:r>
        <w:t>Analis dapat mengubah proyeksi pendapatan 5 tahun, biaya operasi (OPEX), belanja modal (CAPEX), tingkat diskonto (WACC), dan Faktor Atribusi IP (alpha) lalu menekan tombol hitung ulang.</w:t>
      </w:r>
    </w:p>
    <w:p>
      <w:pPr>
        <w:pStyle w:val="ListBullet"/>
      </w:pPr>
      <w:r>
        <w:t>Sistem dilengkapi Penjaga Perhitungan Ganda (WIPO Section 4.3 Double-Counting Guard) yang memberi peringatan otomatis jika risiko teknologi dimasukkan ke arus kas sekaligus ke tingkat diskonto, serta simulasi Monte Carlo (500 iterasi) yang menghasilkan rentang nilai P10 (konservatif), P50 (median), dan P90 (optimis).</w:t>
      </w:r>
    </w:p>
    <w:p>
      <w:pPr>
        <w:pStyle w:val="Heading2"/>
      </w:pPr>
      <w:r>
        <w:rPr>
          <w:color w:val="1E3A8A"/>
        </w:rPr>
        <w:t>Langkah 7 — Persetujuan Pakar (`/governance`) : Verifikasi &amp; Sign-Off oleh Pemeriksa Senior</w:t>
      </w:r>
    </w:p>
    <w:p>
      <w:pPr>
        <w:pStyle w:val="ListBullet"/>
      </w:pPr>
      <w:r>
        <w:t>Buka menu 'Persetujuan Pakar' di kelompok Pemeriksaan &amp; Metode.</w:t>
      </w:r>
    </w:p>
    <w:p>
      <w:pPr>
        <w:pStyle w:val="ListBullet"/>
      </w:pPr>
      <w:r>
        <w:t>Di sini Pemeriksa Pakar (Expert Reviewer) dapat meninjau seluruh hasil revisi terbaru, mencentang verifikasi metodologi dan asumsi finansial, menuliskan catatan telaah pakar, lalu menekan tombol 'Approve Revision' (Setujui Revisi).</w:t>
      </w:r>
    </w:p>
    <w:p>
      <w:pPr>
        <w:pStyle w:val="ListBullet"/>
      </w:pPr>
      <w:r>
        <w:t>FITUR PENGAMAN AUDIT (Automatic Stale Invalidation): Apabila setelah disetujui oleh Pakar ternyata ada dokumen baru yang diunggah, dokumen dihapus, atau angka valuasi diubah, maka status 'Disetujui (Approved)' secara otomatis berubah menjadi 'Perlu Ditinjau Ulang (Stale)' sehingga laporan tidak bisa disalahgunakan.</w:t>
      </w:r>
    </w:p>
    <w:p>
      <w:pPr>
        <w:pStyle w:val="Heading2"/>
      </w:pPr>
      <w:r>
        <w:rPr>
          <w:color w:val="1E3A8A"/>
        </w:rPr>
        <w:t>Langkah 8 — Unduh Laporan (`/reports`) : Mencetak Sertifikat / Laporan PDF Dwibahasa</w:t>
      </w:r>
    </w:p>
    <w:p>
      <w:pPr>
        <w:pStyle w:val="ListBullet"/>
      </w:pPr>
      <w:r>
        <w:t>Buka menu 'Unduh Laporan' di kelompok Langkah Utama.</w:t>
      </w:r>
    </w:p>
    <w:p>
      <w:pPr>
        <w:pStyle w:val="ListBullet"/>
      </w:pPr>
      <w:r>
        <w:t>Pilih bahasa laporan (Bahasa Indonesia atau Bahasa Inggris) lalu klik 'Generate PDF Report Snapshot'.</w:t>
      </w:r>
    </w:p>
    <w:p>
      <w:pPr>
        <w:pStyle w:val="ListBullet"/>
      </w:pPr>
      <w:r>
        <w:t>Apabila revisi belum disetujui Pakar, PDF otomatis diberi cap air (watermark) 'DRAFT — UNAPPROVED / PROVISIONAL'. Apabila sudah disetujui Pakar, PDF diberi cap resmi 'EXPERT APPROVED — REVISION VERIFIED' beserta hash SHA-256 dan jejak model AI yang digunakan.</w:t>
      </w:r>
    </w:p>
    <w:p>
      <w:r>
        <w:br w:type="page"/>
      </w:r>
    </w:p>
    <w:p>
      <w:pPr>
        <w:pStyle w:val="Heading1"/>
      </w:pPr>
      <w:r>
        <w:rPr>
          <w:color w:val="0F172A"/>
        </w:rPr>
        <w:t>4. Daftar 11 Indikator Penilaian Teknis &amp; Komersialisasi</w:t>
      </w:r>
    </w:p>
    <w:p>
      <w:r>
        <w:t>Berikut adalah daftar lengkap 11 indikator yang dinilai oleh sistem beserta rentang skala dan rujukan metodologinya: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3A8A"/>
            <w:tcMar>
              <w:top w:w="120" w:type="dxa"/>
              <w:start w:w="140" w:type="dxa"/>
              <w:bottom w:w="120" w:type="dxa"/>
              <w:end w:w="140" w:type="dxa"/>
            </w:tcMar>
          </w:tcPr>
          <w:p>
            <w:r/>
            <w:r>
              <w:rPr>
                <w:rFonts w:ascii="Calibri" w:hAnsi="Calibri"/>
                <w:b/>
                <w:color w:val="FFFFFF"/>
                <w:sz w:val="21"/>
              </w:rPr>
              <w:t>Kode Indikator</w:t>
            </w:r>
          </w:p>
        </w:tc>
        <w:tc>
          <w:tcPr>
            <w:tcW w:type="dxa" w:w="1296"/>
            <w:shd w:val="clear" w:color="auto" w:fill="1E3A8A"/>
            <w:tcMar>
              <w:top w:w="120" w:type="dxa"/>
              <w:start w:w="140" w:type="dxa"/>
              <w:bottom w:w="120" w:type="dxa"/>
              <w:end w:w="140" w:type="dxa"/>
            </w:tcMar>
          </w:tcPr>
          <w:p>
            <w:r/>
            <w:r>
              <w:rPr>
                <w:rFonts w:ascii="Calibri" w:hAnsi="Calibri"/>
                <w:b/>
                <w:color w:val="FFFFFF"/>
                <w:sz w:val="21"/>
              </w:rPr>
              <w:t>Dimensi</w:t>
            </w:r>
          </w:p>
        </w:tc>
        <w:tc>
          <w:tcPr>
            <w:tcW w:type="dxa" w:w="3168"/>
            <w:shd w:val="clear" w:color="auto" w:fill="1E3A8A"/>
            <w:tcMar>
              <w:top w:w="120" w:type="dxa"/>
              <w:start w:w="140" w:type="dxa"/>
              <w:bottom w:w="120" w:type="dxa"/>
              <w:end w:w="140" w:type="dxa"/>
            </w:tcMar>
          </w:tcPr>
          <w:p>
            <w:r/>
            <w:r>
              <w:rPr>
                <w:rFonts w:ascii="Calibri" w:hAnsi="Calibri"/>
                <w:b/>
                <w:color w:val="FFFFFF"/>
                <w:sz w:val="21"/>
              </w:rPr>
              <w:t>Nama Indikator (Indonesia)</w:t>
            </w:r>
          </w:p>
        </w:tc>
        <w:tc>
          <w:tcPr>
            <w:tcW w:type="dxa" w:w="1008"/>
            <w:shd w:val="clear" w:color="auto" w:fill="1E3A8A"/>
            <w:tcMar>
              <w:top w:w="120" w:type="dxa"/>
              <w:start w:w="140" w:type="dxa"/>
              <w:bottom w:w="120" w:type="dxa"/>
              <w:end w:w="140" w:type="dxa"/>
            </w:tcMar>
          </w:tcPr>
          <w:p>
            <w:r/>
            <w:r>
              <w:rPr>
                <w:rFonts w:ascii="Calibri" w:hAnsi="Calibri"/>
                <w:b/>
                <w:color w:val="FFFFFF"/>
                <w:sz w:val="21"/>
              </w:rPr>
              <w:t>Skala</w:t>
            </w:r>
          </w:p>
        </w:tc>
        <w:tc>
          <w:tcPr>
            <w:tcW w:type="dxa" w:w="1728"/>
            <w:shd w:val="clear" w:color="auto" w:fill="1E3A8A"/>
            <w:tcMar>
              <w:top w:w="120" w:type="dxa"/>
              <w:start w:w="140" w:type="dxa"/>
              <w:bottom w:w="120" w:type="dxa"/>
              <w:end w:w="140" w:type="dxa"/>
            </w:tcMar>
          </w:tcPr>
          <w:p>
            <w:r/>
            <w:r>
              <w:rPr>
                <w:rFonts w:ascii="Calibri" w:hAnsi="Calibri"/>
                <w:b/>
                <w:color w:val="FFFFFF"/>
                <w:sz w:val="21"/>
              </w:rPr>
              <w:t>Rujukan Utama</w:t>
            </w:r>
          </w:p>
        </w:tc>
      </w:tr>
      <w:tr>
        <w:tc>
          <w:tcPr>
            <w:tcW w:type="dxa" w:w="2160"/>
            <w:shd w:val="clear" w:color="auto" w:fill="FFFFFF"/>
            <w:tcMar>
              <w:top w:w="90" w:type="dxa"/>
              <w:start w:w="140" w:type="dxa"/>
              <w:bottom w:w="90" w:type="dxa"/>
              <w:end w:w="140" w:type="dxa"/>
            </w:tcMar>
          </w:tcPr>
          <w:p>
            <w:r/>
            <w:r>
              <w:rPr>
                <w:rFonts w:ascii="Calibri" w:hAnsi="Calibri"/>
                <w:color w:val="0F172A"/>
                <w:sz w:val="20"/>
              </w:rPr>
              <w:t>TECH_TRL_NATIVE</w:t>
            </w:r>
          </w:p>
        </w:tc>
        <w:tc>
          <w:tcPr>
            <w:tcW w:type="dxa" w:w="1296"/>
            <w:shd w:val="clear" w:color="auto" w:fill="FFFFFF"/>
            <w:tcMar>
              <w:top w:w="90" w:type="dxa"/>
              <w:start w:w="140" w:type="dxa"/>
              <w:bottom w:w="90" w:type="dxa"/>
              <w:end w:w="140" w:type="dxa"/>
            </w:tcMar>
          </w:tcPr>
          <w:p>
            <w:r/>
            <w:r>
              <w:rPr>
                <w:rFonts w:ascii="Calibri" w:hAnsi="Calibri"/>
                <w:color w:val="0F172A"/>
                <w:sz w:val="20"/>
              </w:rPr>
              <w:t>Teknis</w:t>
            </w:r>
          </w:p>
        </w:tc>
        <w:tc>
          <w:tcPr>
            <w:tcW w:type="dxa" w:w="3168"/>
            <w:shd w:val="clear" w:color="auto" w:fill="FFFFFF"/>
            <w:tcMar>
              <w:top w:w="90" w:type="dxa"/>
              <w:start w:w="140" w:type="dxa"/>
              <w:bottom w:w="90" w:type="dxa"/>
              <w:end w:w="140" w:type="dxa"/>
            </w:tcMar>
          </w:tcPr>
          <w:p>
            <w:r/>
            <w:r>
              <w:rPr>
                <w:rFonts w:ascii="Calibri" w:hAnsi="Calibri"/>
                <w:color w:val="0F172A"/>
                <w:sz w:val="20"/>
              </w:rPr>
              <w:t>Tingkat Kesiapterapan Teknologi NASA (Skala Asli 1–9)</w:t>
            </w:r>
          </w:p>
        </w:tc>
        <w:tc>
          <w:tcPr>
            <w:tcW w:type="dxa" w:w="1008"/>
            <w:shd w:val="clear" w:color="auto" w:fill="FFFFFF"/>
            <w:tcMar>
              <w:top w:w="90" w:type="dxa"/>
              <w:start w:w="140" w:type="dxa"/>
              <w:bottom w:w="90" w:type="dxa"/>
              <w:end w:w="140" w:type="dxa"/>
            </w:tcMar>
          </w:tcPr>
          <w:p>
            <w:r/>
            <w:r>
              <w:rPr>
                <w:rFonts w:ascii="Calibri" w:hAnsi="Calibri"/>
                <w:color w:val="0F172A"/>
                <w:sz w:val="20"/>
              </w:rPr>
              <w:t>1–9 (Bulat)</w:t>
            </w:r>
          </w:p>
        </w:tc>
        <w:tc>
          <w:tcPr>
            <w:tcW w:type="dxa" w:w="1728"/>
            <w:shd w:val="clear" w:color="auto" w:fill="FFFFFF"/>
            <w:tcMar>
              <w:top w:w="90" w:type="dxa"/>
              <w:start w:w="140" w:type="dxa"/>
              <w:bottom w:w="90" w:type="dxa"/>
              <w:end w:w="140" w:type="dxa"/>
            </w:tcMar>
          </w:tcPr>
          <w:p>
            <w:r/>
            <w:r>
              <w:rPr>
                <w:rFonts w:ascii="Calibri" w:hAnsi="Calibri"/>
                <w:color w:val="0F172A"/>
                <w:sz w:val="20"/>
              </w:rPr>
              <w:t>NASA ESTO / ISO 16290:2013</w:t>
            </w:r>
          </w:p>
        </w:tc>
      </w:tr>
      <w:tr>
        <w:tc>
          <w:tcPr>
            <w:tcW w:type="dxa" w:w="2160"/>
            <w:shd w:val="clear" w:color="auto" w:fill="F8FAFC"/>
            <w:tcMar>
              <w:top w:w="90" w:type="dxa"/>
              <w:start w:w="140" w:type="dxa"/>
              <w:bottom w:w="90" w:type="dxa"/>
              <w:end w:w="140" w:type="dxa"/>
            </w:tcMar>
          </w:tcPr>
          <w:p>
            <w:r/>
            <w:r>
              <w:rPr>
                <w:rFonts w:ascii="Calibri" w:hAnsi="Calibri"/>
                <w:color w:val="0F172A"/>
                <w:sz w:val="20"/>
              </w:rPr>
              <w:t>TECH_NOVELTY</w:t>
            </w:r>
          </w:p>
        </w:tc>
        <w:tc>
          <w:tcPr>
            <w:tcW w:type="dxa" w:w="1296"/>
            <w:shd w:val="clear" w:color="auto" w:fill="F8FAFC"/>
            <w:tcMar>
              <w:top w:w="90" w:type="dxa"/>
              <w:start w:w="140" w:type="dxa"/>
              <w:bottom w:w="90" w:type="dxa"/>
              <w:end w:w="140" w:type="dxa"/>
            </w:tcMar>
          </w:tcPr>
          <w:p>
            <w:r/>
            <w:r>
              <w:rPr>
                <w:rFonts w:ascii="Calibri" w:hAnsi="Calibri"/>
                <w:color w:val="0F172A"/>
                <w:sz w:val="20"/>
              </w:rPr>
              <w:t>Teknis</w:t>
            </w:r>
          </w:p>
        </w:tc>
        <w:tc>
          <w:tcPr>
            <w:tcW w:type="dxa" w:w="3168"/>
            <w:shd w:val="clear" w:color="auto" w:fill="F8FAFC"/>
            <w:tcMar>
              <w:top w:w="90" w:type="dxa"/>
              <w:start w:w="140" w:type="dxa"/>
              <w:bottom w:w="90" w:type="dxa"/>
              <w:end w:w="140" w:type="dxa"/>
            </w:tcMar>
          </w:tcPr>
          <w:p>
            <w:r/>
            <w:r>
              <w:rPr>
                <w:rFonts w:ascii="Calibri" w:hAnsi="Calibri"/>
                <w:color w:val="0F172A"/>
                <w:sz w:val="20"/>
              </w:rPr>
              <w:t>Kebaruan Teknis &amp; Diferensiasi terhadap Prior-Art</w:t>
            </w:r>
          </w:p>
        </w:tc>
        <w:tc>
          <w:tcPr>
            <w:tcW w:type="dxa" w:w="1008"/>
            <w:shd w:val="clear" w:color="auto" w:fill="F8FAFC"/>
            <w:tcMar>
              <w:top w:w="90" w:type="dxa"/>
              <w:start w:w="140" w:type="dxa"/>
              <w:bottom w:w="90" w:type="dxa"/>
              <w:end w:w="140" w:type="dxa"/>
            </w:tcMar>
          </w:tcPr>
          <w:p>
            <w:r/>
            <w:r>
              <w:rPr>
                <w:rFonts w:ascii="Calibri" w:hAnsi="Calibri"/>
                <w:color w:val="0F172A"/>
                <w:sz w:val="20"/>
              </w:rPr>
              <w:t>1–5</w:t>
            </w:r>
          </w:p>
        </w:tc>
        <w:tc>
          <w:tcPr>
            <w:tcW w:type="dxa" w:w="1728"/>
            <w:shd w:val="clear" w:color="auto" w:fill="F8FAFC"/>
            <w:tcMar>
              <w:top w:w="90" w:type="dxa"/>
              <w:start w:w="140" w:type="dxa"/>
              <w:bottom w:w="90" w:type="dxa"/>
              <w:end w:w="140" w:type="dxa"/>
            </w:tcMar>
          </w:tcPr>
          <w:p>
            <w:r/>
            <w:r>
              <w:rPr>
                <w:rFonts w:ascii="Calibri" w:hAnsi="Calibri"/>
                <w:color w:val="0F172A"/>
                <w:sz w:val="20"/>
              </w:rPr>
              <w:t>Harhoff et al. (2003)</w:t>
            </w:r>
          </w:p>
        </w:tc>
      </w:tr>
      <w:tr>
        <w:tc>
          <w:tcPr>
            <w:tcW w:type="dxa" w:w="2160"/>
            <w:shd w:val="clear" w:color="auto" w:fill="FFFFFF"/>
            <w:tcMar>
              <w:top w:w="90" w:type="dxa"/>
              <w:start w:w="140" w:type="dxa"/>
              <w:bottom w:w="90" w:type="dxa"/>
              <w:end w:w="140" w:type="dxa"/>
            </w:tcMar>
          </w:tcPr>
          <w:p>
            <w:r/>
            <w:r>
              <w:rPr>
                <w:rFonts w:ascii="Calibri" w:hAnsi="Calibri"/>
                <w:color w:val="0F172A"/>
                <w:sz w:val="20"/>
              </w:rPr>
              <w:t>TECH_VALIDATION</w:t>
            </w:r>
          </w:p>
        </w:tc>
        <w:tc>
          <w:tcPr>
            <w:tcW w:type="dxa" w:w="1296"/>
            <w:shd w:val="clear" w:color="auto" w:fill="FFFFFF"/>
            <w:tcMar>
              <w:top w:w="90" w:type="dxa"/>
              <w:start w:w="140" w:type="dxa"/>
              <w:bottom w:w="90" w:type="dxa"/>
              <w:end w:w="140" w:type="dxa"/>
            </w:tcMar>
          </w:tcPr>
          <w:p>
            <w:r/>
            <w:r>
              <w:rPr>
                <w:rFonts w:ascii="Calibri" w:hAnsi="Calibri"/>
                <w:color w:val="0F172A"/>
                <w:sz w:val="20"/>
              </w:rPr>
              <w:t>Teknis</w:t>
            </w:r>
          </w:p>
        </w:tc>
        <w:tc>
          <w:tcPr>
            <w:tcW w:type="dxa" w:w="3168"/>
            <w:shd w:val="clear" w:color="auto" w:fill="FFFFFF"/>
            <w:tcMar>
              <w:top w:w="90" w:type="dxa"/>
              <w:start w:w="140" w:type="dxa"/>
              <w:bottom w:w="90" w:type="dxa"/>
              <w:end w:w="140" w:type="dxa"/>
            </w:tcMar>
          </w:tcPr>
          <w:p>
            <w:r/>
            <w:r>
              <w:rPr>
                <w:rFonts w:ascii="Calibri" w:hAnsi="Calibri"/>
                <w:color w:val="0F172A"/>
                <w:sz w:val="20"/>
              </w:rPr>
              <w:t>Validasi Empiris &amp; Keterulangan Pengujian</w:t>
            </w:r>
          </w:p>
        </w:tc>
        <w:tc>
          <w:tcPr>
            <w:tcW w:type="dxa" w:w="1008"/>
            <w:shd w:val="clear" w:color="auto" w:fill="FFFFFF"/>
            <w:tcMar>
              <w:top w:w="90" w:type="dxa"/>
              <w:start w:w="140" w:type="dxa"/>
              <w:bottom w:w="90" w:type="dxa"/>
              <w:end w:w="140" w:type="dxa"/>
            </w:tcMar>
          </w:tcPr>
          <w:p>
            <w:r/>
            <w:r>
              <w:rPr>
                <w:rFonts w:ascii="Calibri" w:hAnsi="Calibri"/>
                <w:color w:val="0F172A"/>
                <w:sz w:val="20"/>
              </w:rPr>
              <w:t>1–5</w:t>
            </w:r>
          </w:p>
        </w:tc>
        <w:tc>
          <w:tcPr>
            <w:tcW w:type="dxa" w:w="1728"/>
            <w:shd w:val="clear" w:color="auto" w:fill="FFFFFF"/>
            <w:tcMar>
              <w:top w:w="90" w:type="dxa"/>
              <w:start w:w="140" w:type="dxa"/>
              <w:bottom w:w="90" w:type="dxa"/>
              <w:end w:w="140" w:type="dxa"/>
            </w:tcMar>
          </w:tcPr>
          <w:p>
            <w:r/>
            <w:r>
              <w:rPr>
                <w:rFonts w:ascii="Calibri" w:hAnsi="Calibri"/>
                <w:color w:val="0F172A"/>
                <w:sz w:val="20"/>
              </w:rPr>
              <w:t>NASA ESTO Exit Criteria</w:t>
            </w:r>
          </w:p>
        </w:tc>
      </w:tr>
      <w:tr>
        <w:tc>
          <w:tcPr>
            <w:tcW w:type="dxa" w:w="2160"/>
            <w:shd w:val="clear" w:color="auto" w:fill="F8FAFC"/>
            <w:tcMar>
              <w:top w:w="90" w:type="dxa"/>
              <w:start w:w="140" w:type="dxa"/>
              <w:bottom w:w="90" w:type="dxa"/>
              <w:end w:w="140" w:type="dxa"/>
            </w:tcMar>
          </w:tcPr>
          <w:p>
            <w:r/>
            <w:r>
              <w:rPr>
                <w:rFonts w:ascii="Calibri" w:hAnsi="Calibri"/>
                <w:color w:val="0F172A"/>
                <w:sz w:val="20"/>
              </w:rPr>
              <w:t>TECH_SCALABILITY</w:t>
            </w:r>
          </w:p>
        </w:tc>
        <w:tc>
          <w:tcPr>
            <w:tcW w:type="dxa" w:w="1296"/>
            <w:shd w:val="clear" w:color="auto" w:fill="F8FAFC"/>
            <w:tcMar>
              <w:top w:w="90" w:type="dxa"/>
              <w:start w:w="140" w:type="dxa"/>
              <w:bottom w:w="90" w:type="dxa"/>
              <w:end w:w="140" w:type="dxa"/>
            </w:tcMar>
          </w:tcPr>
          <w:p>
            <w:r/>
            <w:r>
              <w:rPr>
                <w:rFonts w:ascii="Calibri" w:hAnsi="Calibri"/>
                <w:color w:val="0F172A"/>
                <w:sz w:val="20"/>
              </w:rPr>
              <w:t>Teknis</w:t>
            </w:r>
          </w:p>
        </w:tc>
        <w:tc>
          <w:tcPr>
            <w:tcW w:type="dxa" w:w="3168"/>
            <w:shd w:val="clear" w:color="auto" w:fill="F8FAFC"/>
            <w:tcMar>
              <w:top w:w="90" w:type="dxa"/>
              <w:start w:w="140" w:type="dxa"/>
              <w:bottom w:w="90" w:type="dxa"/>
              <w:end w:w="140" w:type="dxa"/>
            </w:tcMar>
          </w:tcPr>
          <w:p>
            <w:r/>
            <w:r>
              <w:rPr>
                <w:rFonts w:ascii="Calibri" w:hAnsi="Calibri"/>
                <w:color w:val="0F172A"/>
                <w:sz w:val="20"/>
              </w:rPr>
              <w:t>Skalabilitas Manufaktur &amp; Tingkat Komponen Dalam Negeri (TKDN)</w:t>
            </w:r>
          </w:p>
        </w:tc>
        <w:tc>
          <w:tcPr>
            <w:tcW w:type="dxa" w:w="1008"/>
            <w:shd w:val="clear" w:color="auto" w:fill="F8FAFC"/>
            <w:tcMar>
              <w:top w:w="90" w:type="dxa"/>
              <w:start w:w="140" w:type="dxa"/>
              <w:bottom w:w="90" w:type="dxa"/>
              <w:end w:w="140" w:type="dxa"/>
            </w:tcMar>
          </w:tcPr>
          <w:p>
            <w:r/>
            <w:r>
              <w:rPr>
                <w:rFonts w:ascii="Calibri" w:hAnsi="Calibri"/>
                <w:color w:val="0F172A"/>
                <w:sz w:val="20"/>
              </w:rPr>
              <w:t>1–5</w:t>
            </w:r>
          </w:p>
        </w:tc>
        <w:tc>
          <w:tcPr>
            <w:tcW w:type="dxa" w:w="1728"/>
            <w:shd w:val="clear" w:color="auto" w:fill="F8FAFC"/>
            <w:tcMar>
              <w:top w:w="90" w:type="dxa"/>
              <w:start w:w="140" w:type="dxa"/>
              <w:bottom w:w="90" w:type="dxa"/>
              <w:end w:w="140" w:type="dxa"/>
            </w:tcMar>
          </w:tcPr>
          <w:p>
            <w:r/>
            <w:r>
              <w:rPr>
                <w:rFonts w:ascii="Calibri" w:hAnsi="Calibri"/>
                <w:color w:val="0F172A"/>
                <w:sz w:val="20"/>
              </w:rPr>
              <w:t>Rubrik Rekayasa Terkalibrasi</w:t>
            </w:r>
          </w:p>
        </w:tc>
      </w:tr>
      <w:tr>
        <w:tc>
          <w:tcPr>
            <w:tcW w:type="dxa" w:w="2160"/>
            <w:shd w:val="clear" w:color="auto" w:fill="FFFFFF"/>
            <w:tcMar>
              <w:top w:w="90" w:type="dxa"/>
              <w:start w:w="140" w:type="dxa"/>
              <w:bottom w:w="90" w:type="dxa"/>
              <w:end w:w="140" w:type="dxa"/>
            </w:tcMar>
          </w:tcPr>
          <w:p>
            <w:r/>
            <w:r>
              <w:rPr>
                <w:rFonts w:ascii="Calibri" w:hAnsi="Calibri"/>
                <w:color w:val="0F172A"/>
                <w:sz w:val="20"/>
              </w:rPr>
              <w:t>TECH_PATENT_STRENGTH</w:t>
            </w:r>
          </w:p>
        </w:tc>
        <w:tc>
          <w:tcPr>
            <w:tcW w:type="dxa" w:w="1296"/>
            <w:shd w:val="clear" w:color="auto" w:fill="FFFFFF"/>
            <w:tcMar>
              <w:top w:w="90" w:type="dxa"/>
              <w:start w:w="140" w:type="dxa"/>
              <w:bottom w:w="90" w:type="dxa"/>
              <w:end w:w="140" w:type="dxa"/>
            </w:tcMar>
          </w:tcPr>
          <w:p>
            <w:r/>
            <w:r>
              <w:rPr>
                <w:rFonts w:ascii="Calibri" w:hAnsi="Calibri"/>
                <w:color w:val="0F172A"/>
                <w:sz w:val="20"/>
              </w:rPr>
              <w:t>Teknis</w:t>
            </w:r>
          </w:p>
        </w:tc>
        <w:tc>
          <w:tcPr>
            <w:tcW w:type="dxa" w:w="3168"/>
            <w:shd w:val="clear" w:color="auto" w:fill="FFFFFF"/>
            <w:tcMar>
              <w:top w:w="90" w:type="dxa"/>
              <w:start w:w="140" w:type="dxa"/>
              <w:bottom w:w="90" w:type="dxa"/>
              <w:end w:w="140" w:type="dxa"/>
            </w:tcMar>
          </w:tcPr>
          <w:p>
            <w:r/>
            <w:r>
              <w:rPr>
                <w:rFonts w:ascii="Calibri" w:hAnsi="Calibri"/>
                <w:color w:val="0F172A"/>
                <w:sz w:val="20"/>
              </w:rPr>
              <w:t>Cakupan Klaim Independen &amp; Sinyal Sitasi Paten Kontekstual</w:t>
            </w:r>
          </w:p>
        </w:tc>
        <w:tc>
          <w:tcPr>
            <w:tcW w:type="dxa" w:w="1008"/>
            <w:shd w:val="clear" w:color="auto" w:fill="FFFFFF"/>
            <w:tcMar>
              <w:top w:w="90" w:type="dxa"/>
              <w:start w:w="140" w:type="dxa"/>
              <w:bottom w:w="90" w:type="dxa"/>
              <w:end w:w="140" w:type="dxa"/>
            </w:tcMar>
          </w:tcPr>
          <w:p>
            <w:r/>
            <w:r>
              <w:rPr>
                <w:rFonts w:ascii="Calibri" w:hAnsi="Calibri"/>
                <w:color w:val="0F172A"/>
                <w:sz w:val="20"/>
              </w:rPr>
              <w:t>1–5</w:t>
            </w:r>
          </w:p>
        </w:tc>
        <w:tc>
          <w:tcPr>
            <w:tcW w:type="dxa" w:w="1728"/>
            <w:shd w:val="clear" w:color="auto" w:fill="FFFFFF"/>
            <w:tcMar>
              <w:top w:w="90" w:type="dxa"/>
              <w:start w:w="140" w:type="dxa"/>
              <w:bottom w:w="90" w:type="dxa"/>
              <w:end w:w="140" w:type="dxa"/>
            </w:tcMar>
          </w:tcPr>
          <w:p>
            <w:r/>
            <w:r>
              <w:rPr>
                <w:rFonts w:ascii="Calibri" w:hAnsi="Calibri"/>
                <w:color w:val="0F172A"/>
                <w:sz w:val="20"/>
              </w:rPr>
              <w:t>Harhoff et al. (2003)</w:t>
            </w:r>
          </w:p>
        </w:tc>
      </w:tr>
      <w:tr>
        <w:tc>
          <w:tcPr>
            <w:tcW w:type="dxa" w:w="2160"/>
            <w:shd w:val="clear" w:color="auto" w:fill="F8FAFC"/>
            <w:tcMar>
              <w:top w:w="90" w:type="dxa"/>
              <w:start w:w="140" w:type="dxa"/>
              <w:bottom w:w="90" w:type="dxa"/>
              <w:end w:w="140" w:type="dxa"/>
            </w:tcMar>
          </w:tcPr>
          <w:p>
            <w:r/>
            <w:r>
              <w:rPr>
                <w:rFonts w:ascii="Calibri" w:hAnsi="Calibri"/>
                <w:color w:val="0F172A"/>
                <w:sz w:val="20"/>
              </w:rPr>
              <w:t>TECH_SYSTEM_INTEGRATION</w:t>
            </w:r>
          </w:p>
        </w:tc>
        <w:tc>
          <w:tcPr>
            <w:tcW w:type="dxa" w:w="1296"/>
            <w:shd w:val="clear" w:color="auto" w:fill="F8FAFC"/>
            <w:tcMar>
              <w:top w:w="90" w:type="dxa"/>
              <w:start w:w="140" w:type="dxa"/>
              <w:bottom w:w="90" w:type="dxa"/>
              <w:end w:w="140" w:type="dxa"/>
            </w:tcMar>
          </w:tcPr>
          <w:p>
            <w:r/>
            <w:r>
              <w:rPr>
                <w:rFonts w:ascii="Calibri" w:hAnsi="Calibri"/>
                <w:color w:val="0F172A"/>
                <w:sz w:val="20"/>
              </w:rPr>
              <w:t>Teknis</w:t>
            </w:r>
          </w:p>
        </w:tc>
        <w:tc>
          <w:tcPr>
            <w:tcW w:type="dxa" w:w="3168"/>
            <w:shd w:val="clear" w:color="auto" w:fill="F8FAFC"/>
            <w:tcMar>
              <w:top w:w="90" w:type="dxa"/>
              <w:start w:w="140" w:type="dxa"/>
              <w:bottom w:w="90" w:type="dxa"/>
              <w:end w:w="140" w:type="dxa"/>
            </w:tcMar>
          </w:tcPr>
          <w:p>
            <w:r/>
            <w:r>
              <w:rPr>
                <w:rFonts w:ascii="Calibri" w:hAnsi="Calibri"/>
                <w:color w:val="0F172A"/>
                <w:sz w:val="20"/>
              </w:rPr>
              <w:t>Kompatibilitas Integrasi Subsistem &amp; Infrastruktur Pabrik</w:t>
            </w:r>
          </w:p>
        </w:tc>
        <w:tc>
          <w:tcPr>
            <w:tcW w:type="dxa" w:w="1008"/>
            <w:shd w:val="clear" w:color="auto" w:fill="F8FAFC"/>
            <w:tcMar>
              <w:top w:w="90" w:type="dxa"/>
              <w:start w:w="140" w:type="dxa"/>
              <w:bottom w:w="90" w:type="dxa"/>
              <w:end w:w="140" w:type="dxa"/>
            </w:tcMar>
          </w:tcPr>
          <w:p>
            <w:r/>
            <w:r>
              <w:rPr>
                <w:rFonts w:ascii="Calibri" w:hAnsi="Calibri"/>
                <w:color w:val="0F172A"/>
                <w:sz w:val="20"/>
              </w:rPr>
              <w:t>1–5</w:t>
            </w:r>
          </w:p>
        </w:tc>
        <w:tc>
          <w:tcPr>
            <w:tcW w:type="dxa" w:w="1728"/>
            <w:shd w:val="clear" w:color="auto" w:fill="F8FAFC"/>
            <w:tcMar>
              <w:top w:w="90" w:type="dxa"/>
              <w:start w:w="140" w:type="dxa"/>
              <w:bottom w:w="90" w:type="dxa"/>
              <w:end w:w="140" w:type="dxa"/>
            </w:tcMar>
          </w:tcPr>
          <w:p>
            <w:r/>
            <w:r>
              <w:rPr>
                <w:rFonts w:ascii="Calibri" w:hAnsi="Calibri"/>
                <w:color w:val="0F172A"/>
                <w:sz w:val="20"/>
              </w:rPr>
              <w:t>NASA ESTO TRL 5–7</w:t>
            </w:r>
          </w:p>
        </w:tc>
      </w:tr>
      <w:tr>
        <w:tc>
          <w:tcPr>
            <w:tcW w:type="dxa" w:w="2160"/>
            <w:shd w:val="clear" w:color="auto" w:fill="FFFFFF"/>
            <w:tcMar>
              <w:top w:w="90" w:type="dxa"/>
              <w:start w:w="140" w:type="dxa"/>
              <w:bottom w:w="90" w:type="dxa"/>
              <w:end w:w="140" w:type="dxa"/>
            </w:tcMar>
          </w:tcPr>
          <w:p>
            <w:r/>
            <w:r>
              <w:rPr>
                <w:rFonts w:ascii="Calibri" w:hAnsi="Calibri"/>
                <w:color w:val="0F172A"/>
                <w:sz w:val="20"/>
              </w:rPr>
              <w:t>COMM_MARKET_DEMAND</w:t>
            </w:r>
          </w:p>
        </w:tc>
        <w:tc>
          <w:tcPr>
            <w:tcW w:type="dxa" w:w="1296"/>
            <w:shd w:val="clear" w:color="auto" w:fill="FFFFFF"/>
            <w:tcMar>
              <w:top w:w="90" w:type="dxa"/>
              <w:start w:w="140" w:type="dxa"/>
              <w:bottom w:w="90" w:type="dxa"/>
              <w:end w:w="140" w:type="dxa"/>
            </w:tcMar>
          </w:tcPr>
          <w:p>
            <w:r/>
            <w:r>
              <w:rPr>
                <w:rFonts w:ascii="Calibri" w:hAnsi="Calibri"/>
                <w:color w:val="0F172A"/>
                <w:sz w:val="20"/>
              </w:rPr>
              <w:t>Komersial</w:t>
            </w:r>
          </w:p>
        </w:tc>
        <w:tc>
          <w:tcPr>
            <w:tcW w:type="dxa" w:w="3168"/>
            <w:shd w:val="clear" w:color="auto" w:fill="FFFFFF"/>
            <w:tcMar>
              <w:top w:w="90" w:type="dxa"/>
              <w:start w:w="140" w:type="dxa"/>
              <w:bottom w:w="90" w:type="dxa"/>
              <w:end w:w="140" w:type="dxa"/>
            </w:tcMar>
          </w:tcPr>
          <w:p>
            <w:r/>
            <w:r>
              <w:rPr>
                <w:rFonts w:ascii="Calibri" w:hAnsi="Calibri"/>
                <w:color w:val="0F172A"/>
                <w:sz w:val="20"/>
              </w:rPr>
              <w:t>Permintaan Pasar Industri Terverifikasi</w:t>
            </w:r>
          </w:p>
        </w:tc>
        <w:tc>
          <w:tcPr>
            <w:tcW w:type="dxa" w:w="1008"/>
            <w:shd w:val="clear" w:color="auto" w:fill="FFFFFF"/>
            <w:tcMar>
              <w:top w:w="90" w:type="dxa"/>
              <w:start w:w="140" w:type="dxa"/>
              <w:bottom w:w="90" w:type="dxa"/>
              <w:end w:w="140" w:type="dxa"/>
            </w:tcMar>
          </w:tcPr>
          <w:p>
            <w:r/>
            <w:r>
              <w:rPr>
                <w:rFonts w:ascii="Calibri" w:hAnsi="Calibri"/>
                <w:color w:val="0F172A"/>
                <w:sz w:val="20"/>
              </w:rPr>
              <w:t>1–5</w:t>
            </w:r>
          </w:p>
        </w:tc>
        <w:tc>
          <w:tcPr>
            <w:tcW w:type="dxa" w:w="1728"/>
            <w:shd w:val="clear" w:color="auto" w:fill="FFFFFF"/>
            <w:tcMar>
              <w:top w:w="90" w:type="dxa"/>
              <w:start w:w="140" w:type="dxa"/>
              <w:bottom w:w="90" w:type="dxa"/>
              <w:end w:w="140" w:type="dxa"/>
            </w:tcMar>
          </w:tcPr>
          <w:p>
            <w:r/>
            <w:r>
              <w:rPr>
                <w:rFonts w:ascii="Calibri" w:hAnsi="Calibri"/>
                <w:color w:val="0F172A"/>
                <w:sz w:val="20"/>
              </w:rPr>
              <w:t>WIPO IP Valuation (2024) Sec. 2</w:t>
            </w:r>
          </w:p>
        </w:tc>
      </w:tr>
      <w:tr>
        <w:tc>
          <w:tcPr>
            <w:tcW w:type="dxa" w:w="2160"/>
            <w:shd w:val="clear" w:color="auto" w:fill="F8FAFC"/>
            <w:tcMar>
              <w:top w:w="90" w:type="dxa"/>
              <w:start w:w="140" w:type="dxa"/>
              <w:bottom w:w="90" w:type="dxa"/>
              <w:end w:w="140" w:type="dxa"/>
            </w:tcMar>
          </w:tcPr>
          <w:p>
            <w:r/>
            <w:r>
              <w:rPr>
                <w:rFonts w:ascii="Calibri" w:hAnsi="Calibri"/>
                <w:color w:val="0F172A"/>
                <w:sz w:val="20"/>
              </w:rPr>
              <w:t>COMM_COMPETITIVE_POSITION</w:t>
            </w:r>
          </w:p>
        </w:tc>
        <w:tc>
          <w:tcPr>
            <w:tcW w:type="dxa" w:w="1296"/>
            <w:shd w:val="clear" w:color="auto" w:fill="F8FAFC"/>
            <w:tcMar>
              <w:top w:w="90" w:type="dxa"/>
              <w:start w:w="140" w:type="dxa"/>
              <w:bottom w:w="90" w:type="dxa"/>
              <w:end w:w="140" w:type="dxa"/>
            </w:tcMar>
          </w:tcPr>
          <w:p>
            <w:r/>
            <w:r>
              <w:rPr>
                <w:rFonts w:ascii="Calibri" w:hAnsi="Calibri"/>
                <w:color w:val="0F172A"/>
                <w:sz w:val="20"/>
              </w:rPr>
              <w:t>Komersial</w:t>
            </w:r>
          </w:p>
        </w:tc>
        <w:tc>
          <w:tcPr>
            <w:tcW w:type="dxa" w:w="3168"/>
            <w:shd w:val="clear" w:color="auto" w:fill="F8FAFC"/>
            <w:tcMar>
              <w:top w:w="90" w:type="dxa"/>
              <w:start w:w="140" w:type="dxa"/>
              <w:bottom w:w="90" w:type="dxa"/>
              <w:end w:w="140" w:type="dxa"/>
            </w:tcMar>
          </w:tcPr>
          <w:p>
            <w:r/>
            <w:r>
              <w:rPr>
                <w:rFonts w:ascii="Calibri" w:hAnsi="Calibri"/>
                <w:color w:val="0F172A"/>
                <w:sz w:val="20"/>
              </w:rPr>
              <w:t>Keunggulan Kompetitif Biaya Operasi &amp; Kinerja</w:t>
            </w:r>
          </w:p>
        </w:tc>
        <w:tc>
          <w:tcPr>
            <w:tcW w:type="dxa" w:w="1008"/>
            <w:shd w:val="clear" w:color="auto" w:fill="F8FAFC"/>
            <w:tcMar>
              <w:top w:w="90" w:type="dxa"/>
              <w:start w:w="140" w:type="dxa"/>
              <w:bottom w:w="90" w:type="dxa"/>
              <w:end w:w="140" w:type="dxa"/>
            </w:tcMar>
          </w:tcPr>
          <w:p>
            <w:r/>
            <w:r>
              <w:rPr>
                <w:rFonts w:ascii="Calibri" w:hAnsi="Calibri"/>
                <w:color w:val="0F172A"/>
                <w:sz w:val="20"/>
              </w:rPr>
              <w:t>1–5</w:t>
            </w:r>
          </w:p>
        </w:tc>
        <w:tc>
          <w:tcPr>
            <w:tcW w:type="dxa" w:w="1728"/>
            <w:shd w:val="clear" w:color="auto" w:fill="F8FAFC"/>
            <w:tcMar>
              <w:top w:w="90" w:type="dxa"/>
              <w:start w:w="140" w:type="dxa"/>
              <w:bottom w:w="90" w:type="dxa"/>
              <w:end w:w="140" w:type="dxa"/>
            </w:tcMar>
          </w:tcPr>
          <w:p>
            <w:r/>
            <w:r>
              <w:rPr>
                <w:rFonts w:ascii="Calibri" w:hAnsi="Calibri"/>
                <w:color w:val="0F172A"/>
                <w:sz w:val="20"/>
              </w:rPr>
              <w:t>WIPO IP Valuation (2024) Sec. 2</w:t>
            </w:r>
          </w:p>
        </w:tc>
      </w:tr>
      <w:tr>
        <w:tc>
          <w:tcPr>
            <w:tcW w:type="dxa" w:w="2160"/>
            <w:shd w:val="clear" w:color="auto" w:fill="FFFFFF"/>
            <w:tcMar>
              <w:top w:w="90" w:type="dxa"/>
              <w:start w:w="140" w:type="dxa"/>
              <w:bottom w:w="90" w:type="dxa"/>
              <w:end w:w="140" w:type="dxa"/>
            </w:tcMar>
          </w:tcPr>
          <w:p>
            <w:r/>
            <w:r>
              <w:rPr>
                <w:rFonts w:ascii="Calibri" w:hAnsi="Calibri"/>
                <w:color w:val="0F172A"/>
                <w:sz w:val="20"/>
              </w:rPr>
              <w:t>COMM_REGULATORY</w:t>
            </w:r>
          </w:p>
        </w:tc>
        <w:tc>
          <w:tcPr>
            <w:tcW w:type="dxa" w:w="1296"/>
            <w:shd w:val="clear" w:color="auto" w:fill="FFFFFF"/>
            <w:tcMar>
              <w:top w:w="90" w:type="dxa"/>
              <w:start w:w="140" w:type="dxa"/>
              <w:bottom w:w="90" w:type="dxa"/>
              <w:end w:w="140" w:type="dxa"/>
            </w:tcMar>
          </w:tcPr>
          <w:p>
            <w:r/>
            <w:r>
              <w:rPr>
                <w:rFonts w:ascii="Calibri" w:hAnsi="Calibri"/>
                <w:color w:val="0F172A"/>
                <w:sz w:val="20"/>
              </w:rPr>
              <w:t>Komersial</w:t>
            </w:r>
          </w:p>
        </w:tc>
        <w:tc>
          <w:tcPr>
            <w:tcW w:type="dxa" w:w="3168"/>
            <w:shd w:val="clear" w:color="auto" w:fill="FFFFFF"/>
            <w:tcMar>
              <w:top w:w="90" w:type="dxa"/>
              <w:start w:w="140" w:type="dxa"/>
              <w:bottom w:w="90" w:type="dxa"/>
              <w:end w:w="140" w:type="dxa"/>
            </w:tcMar>
          </w:tcPr>
          <w:p>
            <w:r/>
            <w:r>
              <w:rPr>
                <w:rFonts w:ascii="Calibri" w:hAnsi="Calibri"/>
                <w:color w:val="0F172A"/>
                <w:sz w:val="20"/>
              </w:rPr>
              <w:t>Kesiapan Kepatuhan Regulasi, SNI, &amp; Baku Mutu Lingkungan</w:t>
            </w:r>
          </w:p>
        </w:tc>
        <w:tc>
          <w:tcPr>
            <w:tcW w:type="dxa" w:w="1008"/>
            <w:shd w:val="clear" w:color="auto" w:fill="FFFFFF"/>
            <w:tcMar>
              <w:top w:w="90" w:type="dxa"/>
              <w:start w:w="140" w:type="dxa"/>
              <w:bottom w:w="90" w:type="dxa"/>
              <w:end w:w="140" w:type="dxa"/>
            </w:tcMar>
          </w:tcPr>
          <w:p>
            <w:r/>
            <w:r>
              <w:rPr>
                <w:rFonts w:ascii="Calibri" w:hAnsi="Calibri"/>
                <w:color w:val="0F172A"/>
                <w:sz w:val="20"/>
              </w:rPr>
              <w:t>1–5</w:t>
            </w:r>
          </w:p>
        </w:tc>
        <w:tc>
          <w:tcPr>
            <w:tcW w:type="dxa" w:w="1728"/>
            <w:shd w:val="clear" w:color="auto" w:fill="FFFFFF"/>
            <w:tcMar>
              <w:top w:w="90" w:type="dxa"/>
              <w:start w:w="140" w:type="dxa"/>
              <w:bottom w:w="90" w:type="dxa"/>
              <w:end w:w="140" w:type="dxa"/>
            </w:tcMar>
          </w:tcPr>
          <w:p>
            <w:r/>
            <w:r>
              <w:rPr>
                <w:rFonts w:ascii="Calibri" w:hAnsi="Calibri"/>
                <w:color w:val="0F172A"/>
                <w:sz w:val="20"/>
              </w:rPr>
              <w:t>Rubrik Kepatuhan Nasional</w:t>
            </w:r>
          </w:p>
        </w:tc>
      </w:tr>
      <w:tr>
        <w:tc>
          <w:tcPr>
            <w:tcW w:type="dxa" w:w="2160"/>
            <w:shd w:val="clear" w:color="auto" w:fill="F8FAFC"/>
            <w:tcMar>
              <w:top w:w="90" w:type="dxa"/>
              <w:start w:w="140" w:type="dxa"/>
              <w:bottom w:w="90" w:type="dxa"/>
              <w:end w:w="140" w:type="dxa"/>
            </w:tcMar>
          </w:tcPr>
          <w:p>
            <w:r/>
            <w:r>
              <w:rPr>
                <w:rFonts w:ascii="Calibri" w:hAnsi="Calibri"/>
                <w:color w:val="0F172A"/>
                <w:sz w:val="20"/>
              </w:rPr>
              <w:t>COMM_SUPPLY_CHAIN</w:t>
            </w:r>
          </w:p>
        </w:tc>
        <w:tc>
          <w:tcPr>
            <w:tcW w:type="dxa" w:w="1296"/>
            <w:shd w:val="clear" w:color="auto" w:fill="F8FAFC"/>
            <w:tcMar>
              <w:top w:w="90" w:type="dxa"/>
              <w:start w:w="140" w:type="dxa"/>
              <w:bottom w:w="90" w:type="dxa"/>
              <w:end w:w="140" w:type="dxa"/>
            </w:tcMar>
          </w:tcPr>
          <w:p>
            <w:r/>
            <w:r>
              <w:rPr>
                <w:rFonts w:ascii="Calibri" w:hAnsi="Calibri"/>
                <w:color w:val="0F172A"/>
                <w:sz w:val="20"/>
              </w:rPr>
              <w:t>Komersial</w:t>
            </w:r>
          </w:p>
        </w:tc>
        <w:tc>
          <w:tcPr>
            <w:tcW w:type="dxa" w:w="3168"/>
            <w:shd w:val="clear" w:color="auto" w:fill="F8FAFC"/>
            <w:tcMar>
              <w:top w:w="90" w:type="dxa"/>
              <w:start w:w="140" w:type="dxa"/>
              <w:bottom w:w="90" w:type="dxa"/>
              <w:end w:w="140" w:type="dxa"/>
            </w:tcMar>
          </w:tcPr>
          <w:p>
            <w:r/>
            <w:r>
              <w:rPr>
                <w:rFonts w:ascii="Calibri" w:hAnsi="Calibri"/>
                <w:color w:val="0F172A"/>
                <w:sz w:val="20"/>
              </w:rPr>
              <w:t>Kesiapan Rantai Pasok Bahan Baku &amp; Fabrikator Lokal</w:t>
            </w:r>
          </w:p>
        </w:tc>
        <w:tc>
          <w:tcPr>
            <w:tcW w:type="dxa" w:w="1008"/>
            <w:shd w:val="clear" w:color="auto" w:fill="F8FAFC"/>
            <w:tcMar>
              <w:top w:w="90" w:type="dxa"/>
              <w:start w:w="140" w:type="dxa"/>
              <w:bottom w:w="90" w:type="dxa"/>
              <w:end w:w="140" w:type="dxa"/>
            </w:tcMar>
          </w:tcPr>
          <w:p>
            <w:r/>
            <w:r>
              <w:rPr>
                <w:rFonts w:ascii="Calibri" w:hAnsi="Calibri"/>
                <w:color w:val="0F172A"/>
                <w:sz w:val="20"/>
              </w:rPr>
              <w:t>1–5</w:t>
            </w:r>
          </w:p>
        </w:tc>
        <w:tc>
          <w:tcPr>
            <w:tcW w:type="dxa" w:w="1728"/>
            <w:shd w:val="clear" w:color="auto" w:fill="F8FAFC"/>
            <w:tcMar>
              <w:top w:w="90" w:type="dxa"/>
              <w:start w:w="140" w:type="dxa"/>
              <w:bottom w:w="90" w:type="dxa"/>
              <w:end w:w="140" w:type="dxa"/>
            </w:tcMar>
          </w:tcPr>
          <w:p>
            <w:r/>
            <w:r>
              <w:rPr>
                <w:rFonts w:ascii="Calibri" w:hAnsi="Calibri"/>
                <w:color w:val="0F172A"/>
                <w:sz w:val="20"/>
              </w:rPr>
              <w:t>Rubrik Manufaktur Nasional</w:t>
            </w:r>
          </w:p>
        </w:tc>
      </w:tr>
      <w:tr>
        <w:tc>
          <w:tcPr>
            <w:tcW w:type="dxa" w:w="2160"/>
            <w:shd w:val="clear" w:color="auto" w:fill="FFFFFF"/>
            <w:tcMar>
              <w:top w:w="90" w:type="dxa"/>
              <w:start w:w="140" w:type="dxa"/>
              <w:bottom w:w="90" w:type="dxa"/>
              <w:end w:w="140" w:type="dxa"/>
            </w:tcMar>
          </w:tcPr>
          <w:p>
            <w:r/>
            <w:r>
              <w:rPr>
                <w:rFonts w:ascii="Calibri" w:hAnsi="Calibri"/>
                <w:color w:val="0F172A"/>
                <w:sz w:val="20"/>
              </w:rPr>
              <w:t>COMM_IP_LICENSING_READINESS</w:t>
            </w:r>
          </w:p>
        </w:tc>
        <w:tc>
          <w:tcPr>
            <w:tcW w:type="dxa" w:w="1296"/>
            <w:shd w:val="clear" w:color="auto" w:fill="FFFFFF"/>
            <w:tcMar>
              <w:top w:w="90" w:type="dxa"/>
              <w:start w:w="140" w:type="dxa"/>
              <w:bottom w:w="90" w:type="dxa"/>
              <w:end w:w="140" w:type="dxa"/>
            </w:tcMar>
          </w:tcPr>
          <w:p>
            <w:r/>
            <w:r>
              <w:rPr>
                <w:rFonts w:ascii="Calibri" w:hAnsi="Calibri"/>
                <w:color w:val="0F172A"/>
                <w:sz w:val="20"/>
              </w:rPr>
              <w:t>Komersial</w:t>
            </w:r>
          </w:p>
        </w:tc>
        <w:tc>
          <w:tcPr>
            <w:tcW w:type="dxa" w:w="3168"/>
            <w:shd w:val="clear" w:color="auto" w:fill="FFFFFF"/>
            <w:tcMar>
              <w:top w:w="90" w:type="dxa"/>
              <w:start w:w="140" w:type="dxa"/>
              <w:bottom w:w="90" w:type="dxa"/>
              <w:end w:w="140" w:type="dxa"/>
            </w:tcMar>
          </w:tcPr>
          <w:p>
            <w:r/>
            <w:r>
              <w:rPr>
                <w:rFonts w:ascii="Calibri" w:hAnsi="Calibri"/>
                <w:color w:val="0F172A"/>
                <w:sz w:val="20"/>
              </w:rPr>
              <w:t>Kejelasan Kepemilikan KI, FTO, &amp; Mitra Lisensi (LOI)</w:t>
            </w:r>
          </w:p>
        </w:tc>
        <w:tc>
          <w:tcPr>
            <w:tcW w:type="dxa" w:w="1008"/>
            <w:shd w:val="clear" w:color="auto" w:fill="FFFFFF"/>
            <w:tcMar>
              <w:top w:w="90" w:type="dxa"/>
              <w:start w:w="140" w:type="dxa"/>
              <w:bottom w:w="90" w:type="dxa"/>
              <w:end w:w="140" w:type="dxa"/>
            </w:tcMar>
          </w:tcPr>
          <w:p>
            <w:r/>
            <w:r>
              <w:rPr>
                <w:rFonts w:ascii="Calibri" w:hAnsi="Calibri"/>
                <w:color w:val="0F172A"/>
                <w:sz w:val="20"/>
              </w:rPr>
              <w:t>1–5</w:t>
            </w:r>
          </w:p>
        </w:tc>
        <w:tc>
          <w:tcPr>
            <w:tcW w:type="dxa" w:w="1728"/>
            <w:shd w:val="clear" w:color="auto" w:fill="FFFFFF"/>
            <w:tcMar>
              <w:top w:w="90" w:type="dxa"/>
              <w:start w:w="140" w:type="dxa"/>
              <w:bottom w:w="90" w:type="dxa"/>
              <w:end w:w="140" w:type="dxa"/>
            </w:tcMar>
          </w:tcPr>
          <w:p>
            <w:r/>
            <w:r>
              <w:rPr>
                <w:rFonts w:ascii="Calibri" w:hAnsi="Calibri"/>
                <w:color w:val="0F172A"/>
                <w:sz w:val="20"/>
              </w:rPr>
              <w:t>WIPO IP Valuation (2024) Sec. 2 &amp; 5</w:t>
            </w:r>
          </w:p>
        </w:tc>
      </w:tr>
    </w:tbl>
    <w:p/>
    <w:p>
      <w:pPr>
        <w:pStyle w:val="Heading1"/>
      </w:pPr>
      <w:r>
        <w:rPr>
          <w:color w:val="0F172A"/>
        </w:rPr>
        <w:t>5. Panduan Uji Coba Cepat (3 Menit) untuk Tim DJKI</w:t>
      </w:r>
    </w:p>
    <w:p>
      <w:r>
        <w:t>Apabila Bapak/Ibu di DJKI ingin langsung menguji kemampuan sistem secara cepat dalam waktu 3 menit, silakan ikuti skenario berikut:</w:t>
      </w:r>
    </w:p>
    <w:p>
      <w:pPr>
        <w:spacing w:after="120"/>
      </w:pPr>
      <w:r>
        <w:t>1. Buka halaman Beranda ('/'), amati contoh teknologi paten reaktor membran fotokatalitik (IDP000089421) atau tambahkan paten baru menggunakan tombol '+ Tambah Teknologi'.</w:t>
      </w:r>
    </w:p>
    <w:p>
      <w:pPr>
        <w:spacing w:after="120"/>
      </w:pPr>
      <w:r>
        <w:t>2. Masuk ke menu 'Unggah Dokumen', lalu klik tombol 'Muat Contoh Dokumen Paten (1 Klik)' di pojok kanan atas untuk memasukkan dokumen spesifikasi paten &amp; hasil uji pilot secara instan.</w:t>
      </w:r>
    </w:p>
    <w:p>
      <w:pPr>
        <w:spacing w:after="120"/>
      </w:pPr>
      <w:r>
        <w:t>3. Masuk ke menu 'Analisis AI', pastikan kotak persetujuan tercentang, lalu klik 'Mulai Analisis'. Amati bagaimana agen Meta Muse Spark 1.3 dan Muse Wonder 1.0 mengekstrak bukti dari dokumen dan menyusun sintesis TKT/TRL serta rekomendasi lisensi WIPO.</w:t>
      </w:r>
    </w:p>
    <w:p>
      <w:pPr>
        <w:spacing w:after="120"/>
      </w:pPr>
      <w:r>
        <w:t>4. Buka menu 'Skor Teknologi' dan klik tombol 'View Quote' pada salah satu indikator untuk membuktikan bahwa setiap skor terikat pada kutipan eksak halaman/paragraf dokumen.</w:t>
      </w:r>
    </w:p>
    <w:p>
      <w:pPr>
        <w:spacing w:after="120"/>
      </w:pPr>
      <w:r>
        <w:t>5. Buka menu 'Nilai Ekonomi (Rp)' untuk melihat perhitungan DCF, Relief-from-Royalty, Cost Approach, dan simulasi Monte Carlo dalam Rupiah.</w:t>
      </w:r>
    </w:p>
    <w:p>
      <w:pPr>
        <w:spacing w:after="120"/>
      </w:pPr>
      <w:r>
        <w:t>6. Buka menu 'Unduh Laporan', klik 'Generate PDF Report Snapshot' (pilih Bahasa Indonesia), lalu unduh dokumen PDF hasil penilaian.</w:t>
      </w:r>
    </w:p>
    <w:tbl>
      <w:tblPr>
        <w:tblW w:type="auto" w:w="0"/>
        <w:jc w:val="center"/>
        <w:tblLook w:firstColumn="1" w:firstRow="1" w:lastColumn="0" w:lastRow="0" w:noHBand="0" w:noVBand="1" w:val="04A0"/>
      </w:tblPr>
      <w:tblGrid>
        <w:gridCol w:w="9360"/>
      </w:tblGrid>
      <w:tr>
        <w:tc>
          <w:tcPr>
            <w:tcW w:type="dxa" w:w="9360"/>
            <w:shd w:val="clear" w:color="auto" w:fill="ECFDF5"/>
            <w:tcMar>
              <w:top w:w="140" w:type="dxa"/>
              <w:start w:w="180" w:type="dxa"/>
              <w:bottom w:w="140" w:type="dxa"/>
              <w:end w:w="180" w:type="dxa"/>
            </w:tcMar>
          </w:tcPr>
          <w:p>
            <w:r>
              <w:rPr>
                <w:rFonts w:ascii="Calibri" w:hAnsi="Calibri"/>
                <w:b/>
                <w:color w:val="065F46"/>
                <w:sz w:val="22"/>
              </w:rPr>
              <w:t>KONTAK &amp; DUKUNGAN TEKNIS</w:t>
              <w:br/>
            </w:r>
            <w:r>
              <w:rPr>
                <w:rFonts w:ascii="Calibri" w:hAnsi="Calibri"/>
                <w:color w:val="1E293B"/>
                <w:sz w:val="21"/>
              </w:rPr>
              <w:t>Apabila tim Direktorat Jenderal Kekayaan Intelektual (DJKI) memerlukan penyesuaian rubrik indikator spesifik bidang paten (misalnya Farmasi/Bioteknologi, Perangkat Lunak/AI, Rekayasa Kimia, atau Manufaktur), kalibrasi bobot AHP bersama Pemeriksa Paten, maupun integrasi dengan basis data PDKI, tim pengembang siap memfasilitasi sesi demonstrasi langsung.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