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4E79" w:val="clear"/>
        <w:spacing w:before="300" w:after="150"/>
        <w:ind w:lef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SOP-004: System Access &amp; User Management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SOP Number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SOP-004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Title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Access &amp; User Management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[DD-MMM-YYYY]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 Date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[DD-MMM-YYYY + 1 year]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IT / Quality Assurance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Regulatory Reference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 CFR Part 11.10(d); 21 CFR 11.300; EU Annex 11; GAMP 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PURPOSE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SOP defines controls for granting, modifying, reviewing, and revoking access to the DMS/TMS platform. It ensures only authorized personnel have access, that access rights are commensurate with job responsibilities, and all access events are traceable.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SCOPE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Applies to all users of the DMS/TMS platform including employees, contractors, consultants, and auditors. Covers all user account lifecycle activities from provisioning to deactivation.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ROLES &amp;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2500"/>
        <w:gridCol w:w="1860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DMS Permissions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TMS Permissions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Access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- configure &amp; manage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- configure &amp; manage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 Manager / Director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Create, Review, Approve, Release, Archive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Assign, View all, Report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QA Reviewer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Create, Review, Approve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Assign, View assigned, Report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 Author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Create, Submit, Edit draft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assigned training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Read-Only / General Staff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current approved docs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 training, View transcript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External Auditor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specified docs only (time-limited)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specified records only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 Coordinator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documents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Create, Assign, Track, Report all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PROCEDURE</w:t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4.1 New User Account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hiring manager or HR submits a User Access Request (FRM-IT-0001) specifying: Full name, Employee ID, Job title and department, Required role(s), and Manager approval signature.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System Administrator verifies the request is approved and the role is appropriate for the job function.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System Administrator creates the account with: Unique username (format: [FirstInitialLastname] or HR-assigned ID), System-generated temporary password, Assigned role(s), and Account activation 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New user receives onboarding instructions including system URL, username, temporary password, and requirement to change password on first login.</w:t>
      </w:r>
    </w:p>
    <w:p>
      <w:pPr>
        <w:pBdr>
          <w:left w:val="single" w:color="2E75B6" w:sz="4"/>
        </w:pBdr>
        <w:shd w:fill="D6E4F0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A3A5C"/>
          <w:sz w:val="19"/>
          <w:szCs w:val="19"/>
        </w:rPr>
        <w:t xml:space="preserve">NOTE: Shared or generic accounts are strictly prohibited. Each user must have a unique, individual account per 21 CFR 11.100.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4.2 Password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Minimum length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characters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Complexity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Must include: uppercase, lowercase, number, special character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Password expiry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Every 90 days (system-enforced)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Password history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Cannot reuse last 12 passwords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Failed login lockout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 locked after 5 consecutive failed attempts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Session timeout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Automatic logout after 15 minutes of inactivity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Password reset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Self-service reset via verified email; admin reset for locked accounts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4.3 Access Modification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Access changes require a new User Access Request (FRM-IT-0001) approved by the employee's manager and QA (for elevated access).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Access modifications must be implemented within 2 business days of approved request receipt.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access changes are logged in the system audit trail with: Requesting manager, Approving authority, Change made, and Date/time.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4.4 Privileged / Administrator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accounts are subject to additional controls: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Issued only to designated IT personnel approved by QA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Admin activity is logged with enhanced audit trail entries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Admin accounts require dual-factor authentication (where platform-supported)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Admin accounts are reviewed by QA quarterly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Administrators may not approve their own access requests.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Emergency 'break-glass' access must be documented, time-limited, and reviewed by QA within 24 hours of use.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4.5 Quarterly User Access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formal User Access Review is conducted quarterly by the System Administrator and QA.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review verifies: All active accounts have a corresponding active employee, Assigned roles remain appropriate, No unauthorized accounts exist, and Dormant accounts (no login in 60 days) are flagged.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Results are documented in the User Access Review Report (FRM-IT-0002) and retained in the DMS.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4.6 Account Deactivation / Offboarding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When an employee leaves or changes roles, the manager must notify the System Administrator within 1 business day (immediately for involuntary separation).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System Administrator deactivates the account immediately: Login access is revoked, Active sessions are terminated, Account is set to 'Inactive' (never deleted), and all audit trail records are fully preserved.</w:t>
      </w:r>
    </w:p>
    <w:p>
      <w:pPr>
        <w:pBdr>
          <w:left w:val="single" w:color="2E75B6" w:sz="4"/>
        </w:pBdr>
        <w:shd w:fill="D6E4F0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A3A5C"/>
          <w:sz w:val="19"/>
          <w:szCs w:val="19"/>
        </w:rPr>
        <w:t xml:space="preserve">NOTE: User accounts must never be deleted. Inactive accounts preserve the integrity of audit trails and electronic signature records per 21 CFR Part 11.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4.7 External / Auditor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External users may be granted temporary, read-only access requiring: Signed Confidentiality Agreement, QA Manager approval, Defined access scope, and Fixed expiry date (maximum 30 days).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External accounts are automatically deactivated on expiry. Manual extension requires fresh approval.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SECURITY INCIDENT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 Type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Action Required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Suspected compromised credentials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Disable account immediately; reset password; investigate via audit trail; notify QA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Unauthorized access attempt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 incident; investigate; escalate to QA and IT Security; assess data integrity impact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 sharing detected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Disable involved accounts; conduct for-cause training; initiate CAPA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Insider data exfiltration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Disable account; preserve audit logs; notify QA, Legal, and Management; regulatory reporting if applicable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TRAINING REQUIREMENTS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SOP-004 Read &amp; Understand (this document)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Information Security Awareness Training (TMS course: TRN-IT-001)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DMS/TMS User Training (TMS course: TRN-DMS-001)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500"/>
        <w:gridCol w:w="34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[Name]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Initial release for POC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2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8.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/ Electronic Approval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Prepared By (Author)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 Date: ________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Reviewed By (IT Security)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 Date: ________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Approved By (QA Manager)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_________________________ Date: ________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[Your Company Name]  |  For POC Use Only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120"/>
    </w:pPr>
    <w:r>
      <w:rPr>
        <w:rFonts w:ascii="Arial" w:cs="Arial" w:eastAsia="Arial" w:hAnsi="Arial"/>
        <w:color w:val="888888"/>
        <w:sz w:val="16"/>
        <w:szCs w:val="16"/>
      </w:rPr>
      <w:t xml:space="preserve">SOP-004: System Access &amp; User Management  |  21 CFR Part 11 Compliant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2026-03-20T16:12:01.315Z</dcterms:created>
  <dcterms:modified xsi:type="dcterms:W3CDTF">2026-03-20T16:12:01.315Z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