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CA9" w:rsidRDefault="005859BA" w:rsidP="00B63BDE">
      <w:pPr>
        <w:pStyle w:val="Heading1"/>
      </w:pPr>
      <w:r>
        <w:t>Lab 2 – Adding external analyzers</w:t>
      </w:r>
    </w:p>
    <w:p w:rsidR="009B7622" w:rsidRDefault="009B7622">
      <w:r>
        <w:t xml:space="preserve">In this lab, we’re going to continue improving the code file that we started in Lab1. This time, we’re going to add a couple open source analyzer packages and see what additional improvements they can recommend for our code. Begin by opening the </w:t>
      </w:r>
      <w:r w:rsidR="006641E1">
        <w:t>Lab2-Start.project file.</w:t>
      </w:r>
    </w:p>
    <w:p w:rsidR="006641E1" w:rsidRDefault="006641E1">
      <w:r>
        <w:t xml:space="preserve">Right click on the project and select “Manage </w:t>
      </w:r>
      <w:proofErr w:type="spellStart"/>
      <w:r>
        <w:t>NuGet</w:t>
      </w:r>
      <w:proofErr w:type="spellEnd"/>
      <w:r>
        <w:t xml:space="preserve"> Packages”. Click on the Browse tab and search for “Code-cracker”. Locate the </w:t>
      </w:r>
      <w:proofErr w:type="spellStart"/>
      <w:r>
        <w:t>codecracker.CSharp</w:t>
      </w:r>
      <w:proofErr w:type="spellEnd"/>
      <w:r>
        <w:t xml:space="preserve"> package and install it. Do the same for the </w:t>
      </w:r>
      <w:proofErr w:type="spellStart"/>
      <w:r>
        <w:t>StyleCop.Analyzers</w:t>
      </w:r>
      <w:proofErr w:type="spellEnd"/>
      <w:r>
        <w:t xml:space="preserve"> package.</w:t>
      </w:r>
    </w:p>
    <w:p w:rsidR="005859BA" w:rsidRDefault="005859BA">
      <w:r>
        <w:rPr>
          <w:noProof/>
        </w:rPr>
        <w:drawing>
          <wp:inline distT="0" distB="0" distL="0" distR="0" wp14:anchorId="5CB39B5C" wp14:editId="694B659A">
            <wp:extent cx="5943600" cy="390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9060"/>
                    </a:xfrm>
                    <a:prstGeom prst="rect">
                      <a:avLst/>
                    </a:prstGeom>
                  </pic:spPr>
                </pic:pic>
              </a:graphicData>
            </a:graphic>
          </wp:inline>
        </w:drawing>
      </w:r>
    </w:p>
    <w:p w:rsidR="006641E1" w:rsidRDefault="006641E1">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7773</wp:posOffset>
            </wp:positionV>
            <wp:extent cx="2286000" cy="1533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6000" cy="1533525"/>
                    </a:xfrm>
                    <a:prstGeom prst="rect">
                      <a:avLst/>
                    </a:prstGeom>
                  </pic:spPr>
                </pic:pic>
              </a:graphicData>
            </a:graphic>
          </wp:anchor>
        </w:drawing>
      </w:r>
      <w:r>
        <w:t xml:space="preserve">If you expand the references tab of your project, you should see a folder for “Analyzers” and under that entries for </w:t>
      </w:r>
      <w:proofErr w:type="spellStart"/>
      <w:r>
        <w:t>CodeCracker.CSharp</w:t>
      </w:r>
      <w:proofErr w:type="spellEnd"/>
      <w:r>
        <w:t xml:space="preserve"> and </w:t>
      </w:r>
      <w:proofErr w:type="spellStart"/>
      <w:r>
        <w:t>StyleCop.Analyzers</w:t>
      </w:r>
      <w:proofErr w:type="spellEnd"/>
      <w:r>
        <w:t xml:space="preserve">. Analyzers need to be installed on each project that you wish to use them on. This allows for easy deployment via the </w:t>
      </w:r>
      <w:proofErr w:type="spellStart"/>
      <w:r>
        <w:t>NuGet</w:t>
      </w:r>
      <w:proofErr w:type="spellEnd"/>
      <w:r>
        <w:t xml:space="preserve"> package manager. It also allows library authors to ship analyzers with their libraries when domain specific or best-practice issues are known. </w:t>
      </w:r>
    </w:p>
    <w:p w:rsidR="006641E1" w:rsidRDefault="006641E1">
      <w:r>
        <w:t xml:space="preserve"> </w:t>
      </w:r>
      <w:r>
        <w:br w:type="page"/>
      </w:r>
    </w:p>
    <w:p w:rsidR="00857DFD" w:rsidRDefault="00465C82">
      <w:r>
        <w:lastRenderedPageBreak/>
        <w:t>Even without b</w:t>
      </w:r>
      <w:r w:rsidR="006641E1">
        <w:t>uild</w:t>
      </w:r>
      <w:r>
        <w:t>ing</w:t>
      </w:r>
      <w:r w:rsidR="006641E1">
        <w:t xml:space="preserve"> your project</w:t>
      </w:r>
      <w:r>
        <w:t xml:space="preserve">, you should </w:t>
      </w:r>
      <w:r w:rsidR="006641E1">
        <w:t xml:space="preserve">notice that Visual Studio is now reporting quite a number of new errors, warnings, and info messages. Use the table below to guide you through locating the various issues and applying the appropriate code fixes for this lab. In many cases, the option you choose may be subject to your preferred coding standards, but if you select different fixes than recommended here, the subsequent fixes may not light up as some fixes are </w:t>
      </w:r>
      <w:r>
        <w:t>dependent</w:t>
      </w:r>
      <w:r w:rsidR="006641E1">
        <w:t xml:space="preserve"> on applying the previous fix. </w:t>
      </w:r>
    </w:p>
    <w:p w:rsidR="006641E1" w:rsidRDefault="006641E1">
      <w:r>
        <w:t>To illustrate the first row of the table</w:t>
      </w:r>
      <w:r w:rsidR="00465C82">
        <w:t>,</w:t>
      </w:r>
      <w:r>
        <w:t xml:space="preserve"> find the file Class1 on the “Person” string of the “Person class” to apply the fix “Move type to new file”</w:t>
      </w:r>
      <w:r w:rsidR="00B63BDE">
        <w:t>, you should see the following in Visual Studio 2017</w:t>
      </w:r>
      <w:r w:rsidR="00465C82">
        <w:t xml:space="preserve">. Applying the fix will apply the best practice rule of limiting each file to a single class and generates a new </w:t>
      </w:r>
      <w:proofErr w:type="spellStart"/>
      <w:r w:rsidR="00465C82">
        <w:t>Person.cs</w:t>
      </w:r>
      <w:proofErr w:type="spellEnd"/>
      <w:r w:rsidR="00465C82">
        <w:t xml:space="preserve"> file.</w:t>
      </w:r>
    </w:p>
    <w:p w:rsidR="00B63BDE" w:rsidRDefault="00B63BDE">
      <w:r w:rsidRPr="00B63BDE">
        <w:rPr>
          <w:noProof/>
        </w:rPr>
        <w:drawing>
          <wp:inline distT="0" distB="0" distL="0" distR="0" wp14:anchorId="2F80B796" wp14:editId="086BF292">
            <wp:extent cx="5943600" cy="324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4850"/>
                    </a:xfrm>
                    <a:prstGeom prst="rect">
                      <a:avLst/>
                    </a:prstGeom>
                  </pic:spPr>
                </pic:pic>
              </a:graphicData>
            </a:graphic>
          </wp:inline>
        </w:drawing>
      </w:r>
    </w:p>
    <w:p w:rsidR="00B63BDE" w:rsidRDefault="00B63BDE">
      <w:r>
        <w:br w:type="page"/>
      </w:r>
    </w:p>
    <w:p w:rsidR="00B63BDE" w:rsidRDefault="00B63BDE">
      <w:r>
        <w:lastRenderedPageBreak/>
        <w:t>Here are the remainder of the code fixes for this lab. See how many of them you can apply.</w:t>
      </w:r>
    </w:p>
    <w:tbl>
      <w:tblPr>
        <w:tblStyle w:val="ListTable3-Accent1"/>
        <w:tblW w:w="0" w:type="auto"/>
        <w:tblLook w:val="04A0" w:firstRow="1" w:lastRow="0" w:firstColumn="1" w:lastColumn="0" w:noHBand="0" w:noVBand="1"/>
      </w:tblPr>
      <w:tblGrid>
        <w:gridCol w:w="985"/>
        <w:gridCol w:w="2430"/>
        <w:gridCol w:w="1710"/>
        <w:gridCol w:w="4225"/>
      </w:tblGrid>
      <w:tr w:rsidR="006B3F3A" w:rsidTr="009B76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rsidR="006B3F3A" w:rsidRDefault="006B3F3A" w:rsidP="006E2A5E">
            <w:r>
              <w:t>File</w:t>
            </w:r>
          </w:p>
        </w:tc>
        <w:tc>
          <w:tcPr>
            <w:tcW w:w="2430" w:type="dxa"/>
          </w:tcPr>
          <w:p w:rsidR="006B3F3A" w:rsidRDefault="006B3F3A" w:rsidP="006E2A5E">
            <w:pPr>
              <w:cnfStyle w:val="100000000000" w:firstRow="1" w:lastRow="0" w:firstColumn="0" w:lastColumn="0" w:oddVBand="0" w:evenVBand="0" w:oddHBand="0" w:evenHBand="0" w:firstRowFirstColumn="0" w:firstRowLastColumn="0" w:lastRowFirstColumn="0" w:lastRowLastColumn="0"/>
            </w:pPr>
            <w:r>
              <w:t>Code block</w:t>
            </w:r>
          </w:p>
        </w:tc>
        <w:tc>
          <w:tcPr>
            <w:tcW w:w="1710" w:type="dxa"/>
          </w:tcPr>
          <w:p w:rsidR="006B3F3A" w:rsidRDefault="006B3F3A" w:rsidP="006E2A5E">
            <w:pPr>
              <w:cnfStyle w:val="100000000000" w:firstRow="1" w:lastRow="0" w:firstColumn="0" w:lastColumn="0" w:oddVBand="0" w:evenVBand="0" w:oddHBand="0" w:evenHBand="0" w:firstRowFirstColumn="0" w:firstRowLastColumn="0" w:lastRowFirstColumn="0" w:lastRowLastColumn="0"/>
            </w:pPr>
            <w:r>
              <w:t>Click on</w:t>
            </w:r>
          </w:p>
        </w:tc>
        <w:tc>
          <w:tcPr>
            <w:tcW w:w="4225" w:type="dxa"/>
          </w:tcPr>
          <w:p w:rsidR="006B3F3A" w:rsidRDefault="006B3F3A" w:rsidP="006E2A5E">
            <w:pPr>
              <w:cnfStyle w:val="100000000000" w:firstRow="1" w:lastRow="0" w:firstColumn="0" w:lastColumn="0" w:oddVBand="0" w:evenVBand="0" w:oddHBand="0" w:evenHBand="0" w:firstRowFirstColumn="0" w:firstRowLastColumn="0" w:lastRowFirstColumn="0" w:lastRowLastColumn="0"/>
            </w:pPr>
            <w:r>
              <w:t>Apply fix</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val="restart"/>
          </w:tcPr>
          <w:p w:rsidR="009B7622" w:rsidRDefault="009B7622" w:rsidP="006E2A5E">
            <w:r>
              <w:t>Class1</w:t>
            </w:r>
          </w:p>
        </w:tc>
        <w:tc>
          <w:tcPr>
            <w:tcW w:w="243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Person class</w:t>
            </w: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Person</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Move type to new file</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proofErr w:type="spellStart"/>
            <w:r>
              <w:t>ToDispose</w:t>
            </w:r>
            <w:proofErr w:type="spellEnd"/>
            <w:r>
              <w:t xml:space="preserve"> class</w:t>
            </w: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proofErr w:type="spellStart"/>
            <w:r>
              <w:t>ToDispose</w:t>
            </w:r>
            <w:proofErr w:type="spellEnd"/>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Move type to new file</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val="restart"/>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using block</w:t>
            </w:r>
          </w:p>
        </w:tc>
        <w:tc>
          <w:tcPr>
            <w:tcW w:w="1710" w:type="dxa"/>
            <w:vMerge w:val="restart"/>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using System</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 xml:space="preserve">Remove unnecessary </w:t>
            </w:r>
            <w:proofErr w:type="spellStart"/>
            <w:r>
              <w:t>usings</w:t>
            </w:r>
            <w:proofErr w:type="spellEnd"/>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171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 xml:space="preserve">Reorder </w:t>
            </w:r>
            <w:proofErr w:type="spellStart"/>
            <w:r>
              <w:t>usings</w:t>
            </w:r>
            <w:proofErr w:type="spellEnd"/>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Namespace block</w:t>
            </w: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namespace</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Add file header</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Class1 declaration</w:t>
            </w: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Class1</w:t>
            </w:r>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 xml:space="preserve">Order Class1’s members following </w:t>
            </w:r>
            <w:proofErr w:type="spellStart"/>
            <w:r>
              <w:t>StyleCop</w:t>
            </w:r>
            <w:proofErr w:type="spellEnd"/>
            <w:r>
              <w:t xml:space="preserve"> patterns</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val="restart"/>
          </w:tcPr>
          <w:p w:rsidR="009B7622" w:rsidRDefault="009B7622" w:rsidP="006E2A5E">
            <w:pPr>
              <w:cnfStyle w:val="000000100000" w:firstRow="0" w:lastRow="0" w:firstColumn="0" w:lastColumn="0" w:oddVBand="0" w:evenVBand="0" w:oddHBand="1" w:evenHBand="0" w:firstRowFirstColumn="0" w:firstRowLastColumn="0" w:lastRowFirstColumn="0" w:lastRowLastColumn="0"/>
            </w:pPr>
            <w:proofErr w:type="spellStart"/>
            <w:r>
              <w:t>GetJim</w:t>
            </w:r>
            <w:proofErr w:type="spellEnd"/>
            <w:r>
              <w:t xml:space="preserve"> method</w:t>
            </w:r>
          </w:p>
        </w:tc>
        <w:tc>
          <w:tcPr>
            <w:tcW w:w="1710" w:type="dxa"/>
            <w:vMerge w:val="restart"/>
          </w:tcPr>
          <w:p w:rsidR="009B7622" w:rsidRDefault="009B7622" w:rsidP="006E2A5E">
            <w:pPr>
              <w:cnfStyle w:val="000000100000" w:firstRow="0" w:lastRow="0" w:firstColumn="0" w:lastColumn="0" w:oddVBand="0" w:evenVBand="0" w:oddHBand="1" w:evenHBand="0" w:firstRowFirstColumn="0" w:firstRowLastColumn="0" w:lastRowFirstColumn="0" w:lastRowLastColumn="0"/>
            </w:pPr>
            <w:proofErr w:type="spellStart"/>
            <w:r>
              <w:t>var</w:t>
            </w:r>
            <w:proofErr w:type="spellEnd"/>
            <w:r>
              <w:t xml:space="preserve"> Person</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Use object initializer</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171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Inline temporary variable</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100000" w:firstRow="0" w:lastRow="0" w:firstColumn="0" w:lastColumn="0" w:oddVBand="0" w:evenVBand="0" w:oddHBand="1" w:evenHBand="0" w:firstRowFirstColumn="0" w:firstRowLastColumn="0" w:lastRowFirstColumn="0" w:lastRowLastColumn="0"/>
            </w:pPr>
          </w:p>
        </w:tc>
        <w:tc>
          <w:tcPr>
            <w:tcW w:w="1710" w:type="dxa"/>
            <w:vMerge/>
          </w:tcPr>
          <w:p w:rsidR="009B7622" w:rsidRDefault="009B7622" w:rsidP="006E2A5E">
            <w:pPr>
              <w:cnfStyle w:val="000000100000" w:firstRow="0" w:lastRow="0" w:firstColumn="0" w:lastColumn="0" w:oddVBand="0" w:evenVBand="0" w:oddHBand="1" w:evenHBand="0" w:firstRowFirstColumn="0" w:firstRowLastColumn="0" w:lastRowFirstColumn="0" w:lastRowLastColumn="0"/>
            </w:pP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Convert to expression bodied member</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proofErr w:type="spellStart"/>
            <w:r>
              <w:t>GetJim</w:t>
            </w:r>
            <w:proofErr w:type="spellEnd"/>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Replace “</w:t>
            </w:r>
            <w:proofErr w:type="spellStart"/>
            <w:r>
              <w:t>GetJim</w:t>
            </w:r>
            <w:proofErr w:type="spellEnd"/>
            <w:r>
              <w:t>” with property</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val="restart"/>
          </w:tcPr>
          <w:p w:rsidR="009B7622" w:rsidRDefault="009B7622" w:rsidP="006E2A5E">
            <w:pPr>
              <w:cnfStyle w:val="000000100000" w:firstRow="0" w:lastRow="0" w:firstColumn="0" w:lastColumn="0" w:oddVBand="0" w:evenVBand="0" w:oddHBand="1" w:evenHBand="0" w:firstRowFirstColumn="0" w:firstRowLastColumn="0" w:lastRowFirstColumn="0" w:lastRowLastColumn="0"/>
            </w:pPr>
            <w:proofErr w:type="spellStart"/>
            <w:r>
              <w:t>ShouldUseVar</w:t>
            </w:r>
            <w:proofErr w:type="spellEnd"/>
            <w:r>
              <w:t xml:space="preserve"> method – Throw new </w:t>
            </w:r>
            <w:proofErr w:type="spellStart"/>
            <w:r>
              <w:t>argumentException</w:t>
            </w:r>
            <w:proofErr w:type="spellEnd"/>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“input”</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 xml:space="preserve">use </w:t>
            </w:r>
            <w:proofErr w:type="spellStart"/>
            <w:r>
              <w:t>nameof</w:t>
            </w:r>
            <w:proofErr w:type="spellEnd"/>
            <w:r>
              <w:t>()</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 xml:space="preserve">Person </w:t>
            </w:r>
            <w:proofErr w:type="spellStart"/>
            <w:r>
              <w:t>person</w:t>
            </w:r>
            <w:proofErr w:type="spellEnd"/>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 xml:space="preserve">Use </w:t>
            </w:r>
            <w:proofErr w:type="spellStart"/>
            <w:r>
              <w:t>var</w:t>
            </w:r>
            <w:proofErr w:type="spellEnd"/>
          </w:p>
          <w:p w:rsidR="009B7622" w:rsidRDefault="009B7622" w:rsidP="006B3F3A">
            <w:pPr>
              <w:ind w:left="360"/>
              <w:cnfStyle w:val="000000000000" w:firstRow="0" w:lastRow="0" w:firstColumn="0" w:lastColumn="0" w:oddVBand="0" w:evenVBand="0" w:oddHBand="0" w:evenHBand="0" w:firstRowFirstColumn="0" w:firstRowLastColumn="0" w:lastRowFirstColumn="0" w:lastRowLastColumn="0"/>
            </w:pPr>
            <w:r>
              <w:t xml:space="preserve">(Note: The above action will cause a conflict with the </w:t>
            </w:r>
            <w:proofErr w:type="spellStart"/>
            <w:r>
              <w:t>stylecop</w:t>
            </w:r>
            <w:proofErr w:type="spellEnd"/>
            <w:r>
              <w:t xml:space="preserve"> rule. Disable the </w:t>
            </w:r>
            <w:proofErr w:type="spellStart"/>
            <w:r>
              <w:t>stylecop</w:t>
            </w:r>
            <w:proofErr w:type="spellEnd"/>
            <w:r>
              <w:t xml:space="preserve"> rule in the ruleset properties.)</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100000" w:firstRow="0" w:lastRow="0" w:firstColumn="0" w:lastColumn="0" w:oddVBand="0" w:evenVBand="0" w:oddHBand="1" w:evenHBand="0" w:firstRowFirstColumn="0" w:firstRowLastColumn="0" w:lastRowFirstColumn="0" w:lastRowLastColumn="0"/>
            </w:pP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His parent is {0}</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Change to string interpolation</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000000" w:firstRow="0" w:lastRow="0" w:firstColumn="0" w:lastColumn="0" w:oddVBand="0" w:evenVBand="0" w:oddHBand="0" w:evenHBand="0" w:firstRowFirstColumn="0" w:firstRowLastColumn="0" w:lastRowFirstColumn="0" w:lastRowLastColumn="0"/>
            </w:pP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Catch</w:t>
            </w:r>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Remove wrapping Try Block</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val="restart"/>
          </w:tcPr>
          <w:p w:rsidR="009B7622" w:rsidRDefault="009B7622" w:rsidP="006E2A5E">
            <w:r>
              <w:t>Person</w:t>
            </w:r>
          </w:p>
        </w:tc>
        <w:tc>
          <w:tcPr>
            <w:tcW w:w="243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_name field declaration</w:t>
            </w: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_name</w:t>
            </w: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Use auto property</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val="restart"/>
          </w:tcPr>
          <w:p w:rsidR="009B7622" w:rsidRDefault="009B7622" w:rsidP="006E2A5E">
            <w:pPr>
              <w:cnfStyle w:val="000000000000" w:firstRow="0" w:lastRow="0" w:firstColumn="0" w:lastColumn="0" w:oddVBand="0" w:evenVBand="0" w:oddHBand="0" w:evenHBand="0" w:firstRowFirstColumn="0" w:firstRowLastColumn="0" w:lastRowFirstColumn="0" w:lastRowLastColumn="0"/>
            </w:pPr>
            <w:proofErr w:type="spellStart"/>
            <w:r>
              <w:t>CanVote</w:t>
            </w:r>
            <w:proofErr w:type="spellEnd"/>
            <w:r>
              <w:t xml:space="preserve"> method</w:t>
            </w:r>
          </w:p>
        </w:tc>
        <w:tc>
          <w:tcPr>
            <w:tcW w:w="1710" w:type="dxa"/>
            <w:vMerge w:val="restart"/>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If</w:t>
            </w:r>
          </w:p>
        </w:tc>
        <w:tc>
          <w:tcPr>
            <w:tcW w:w="4225"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Change to ternary</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vMerge/>
          </w:tcPr>
          <w:p w:rsidR="009B7622" w:rsidRDefault="009B7622" w:rsidP="006E2A5E">
            <w:pPr>
              <w:cnfStyle w:val="000000100000" w:firstRow="0" w:lastRow="0" w:firstColumn="0" w:lastColumn="0" w:oddVBand="0" w:evenVBand="0" w:oddHBand="1" w:evenHBand="0" w:firstRowFirstColumn="0" w:firstRowLastColumn="0" w:lastRowFirstColumn="0" w:lastRowLastColumn="0"/>
            </w:pPr>
          </w:p>
        </w:tc>
        <w:tc>
          <w:tcPr>
            <w:tcW w:w="1710" w:type="dxa"/>
            <w:vMerge/>
          </w:tcPr>
          <w:p w:rsidR="009B7622" w:rsidRDefault="009B7622" w:rsidP="006E2A5E">
            <w:pPr>
              <w:cnfStyle w:val="000000100000" w:firstRow="0" w:lastRow="0" w:firstColumn="0" w:lastColumn="0" w:oddVBand="0" w:evenVBand="0" w:oddHBand="1" w:evenHBand="0" w:firstRowFirstColumn="0" w:firstRowLastColumn="0" w:lastRowFirstColumn="0" w:lastRowLastColumn="0"/>
            </w:pPr>
          </w:p>
        </w:tc>
        <w:tc>
          <w:tcPr>
            <w:tcW w:w="4225"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Convert to expression bodied member</w:t>
            </w:r>
          </w:p>
        </w:tc>
      </w:tr>
      <w:tr w:rsidR="00963C94" w:rsidTr="009B7622">
        <w:tc>
          <w:tcPr>
            <w:cnfStyle w:val="001000000000" w:firstRow="0" w:lastRow="0" w:firstColumn="1" w:lastColumn="0" w:oddVBand="0" w:evenVBand="0" w:oddHBand="0" w:evenHBand="0" w:firstRowFirstColumn="0" w:firstRowLastColumn="0" w:lastRowFirstColumn="0" w:lastRowLastColumn="0"/>
            <w:tcW w:w="985" w:type="dxa"/>
            <w:vMerge/>
          </w:tcPr>
          <w:p w:rsidR="00963C94" w:rsidRDefault="00963C94" w:rsidP="006E2A5E"/>
        </w:tc>
        <w:tc>
          <w:tcPr>
            <w:tcW w:w="2430" w:type="dxa"/>
          </w:tcPr>
          <w:p w:rsidR="00963C94" w:rsidRDefault="00963C94" w:rsidP="006E2A5E">
            <w:pPr>
              <w:cnfStyle w:val="000000000000" w:firstRow="0" w:lastRow="0" w:firstColumn="0" w:lastColumn="0" w:oddVBand="0" w:evenVBand="0" w:oddHBand="0" w:evenHBand="0" w:firstRowFirstColumn="0" w:firstRowLastColumn="0" w:lastRowFirstColumn="0" w:lastRowLastColumn="0"/>
            </w:pPr>
          </w:p>
        </w:tc>
        <w:tc>
          <w:tcPr>
            <w:tcW w:w="1710" w:type="dxa"/>
          </w:tcPr>
          <w:p w:rsidR="00963C94" w:rsidRDefault="00963C94" w:rsidP="006E2A5E">
            <w:pPr>
              <w:cnfStyle w:val="000000000000" w:firstRow="0" w:lastRow="0" w:firstColumn="0" w:lastColumn="0" w:oddVBand="0" w:evenVBand="0" w:oddHBand="0" w:evenHBand="0" w:firstRowFirstColumn="0" w:firstRowLastColumn="0" w:lastRowFirstColumn="0" w:lastRowLastColumn="0"/>
            </w:pPr>
            <w:r>
              <w:t>bool</w:t>
            </w:r>
          </w:p>
        </w:tc>
        <w:tc>
          <w:tcPr>
            <w:tcW w:w="4225" w:type="dxa"/>
          </w:tcPr>
          <w:p w:rsidR="00963C94" w:rsidRDefault="00963C94" w:rsidP="006E2A5E">
            <w:pPr>
              <w:cnfStyle w:val="000000000000" w:firstRow="0" w:lastRow="0" w:firstColumn="0" w:lastColumn="0" w:oddVBand="0" w:evenVBand="0" w:oddHBand="0" w:evenHBand="0" w:firstRowFirstColumn="0" w:firstRowLastColumn="0" w:lastRowFirstColumn="0" w:lastRowLastColumn="0"/>
            </w:pPr>
            <w:r>
              <w:t>Document return value</w:t>
            </w:r>
          </w:p>
        </w:tc>
      </w:tr>
      <w:tr w:rsidR="00963C94"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63C94" w:rsidRDefault="00963C94" w:rsidP="006E2A5E"/>
        </w:tc>
        <w:tc>
          <w:tcPr>
            <w:tcW w:w="2430" w:type="dxa"/>
          </w:tcPr>
          <w:p w:rsidR="00963C94" w:rsidRDefault="00963C94" w:rsidP="006E2A5E">
            <w:pPr>
              <w:cnfStyle w:val="000000100000" w:firstRow="0" w:lastRow="0" w:firstColumn="0" w:lastColumn="0" w:oddVBand="0" w:evenVBand="0" w:oddHBand="1" w:evenHBand="0" w:firstRowFirstColumn="0" w:firstRowLastColumn="0" w:lastRowFirstColumn="0" w:lastRowLastColumn="0"/>
            </w:pPr>
          </w:p>
        </w:tc>
        <w:tc>
          <w:tcPr>
            <w:tcW w:w="1710" w:type="dxa"/>
          </w:tcPr>
          <w:p w:rsidR="00963C94" w:rsidRDefault="00963C94" w:rsidP="006E2A5E">
            <w:pPr>
              <w:cnfStyle w:val="000000100000" w:firstRow="0" w:lastRow="0" w:firstColumn="0" w:lastColumn="0" w:oddVBand="0" w:evenVBand="0" w:oddHBand="1" w:evenHBand="0" w:firstRowFirstColumn="0" w:firstRowLastColumn="0" w:lastRowFirstColumn="0" w:lastRowLastColumn="0"/>
            </w:pPr>
            <w:r>
              <w:t>&lt;returns&gt;</w:t>
            </w:r>
          </w:p>
        </w:tc>
        <w:tc>
          <w:tcPr>
            <w:tcW w:w="4225" w:type="dxa"/>
          </w:tcPr>
          <w:p w:rsidR="00963C94" w:rsidRDefault="00963C94" w:rsidP="006E2A5E">
            <w:pPr>
              <w:cnfStyle w:val="000000100000" w:firstRow="0" w:lastRow="0" w:firstColumn="0" w:lastColumn="0" w:oddVBand="0" w:evenVBand="0" w:oddHBand="1" w:evenHBand="0" w:firstRowFirstColumn="0" w:firstRowLastColumn="0" w:lastRowFirstColumn="0" w:lastRowLastColumn="0"/>
            </w:pPr>
            <w:r>
              <w:t>Change to &lt;returns&gt;if person is of voting age</w:t>
            </w:r>
            <w:bookmarkStart w:id="0" w:name="_GoBack"/>
            <w:bookmarkEnd w:id="0"/>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Blog field declaration</w:t>
            </w: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w:t>
            </w:r>
            <w:proofErr w:type="spellStart"/>
            <w:r>
              <w:t>thinqlinq</w:t>
            </w:r>
            <w:proofErr w:type="spellEnd"/>
            <w:r>
              <w:t>”</w:t>
            </w:r>
          </w:p>
        </w:tc>
        <w:tc>
          <w:tcPr>
            <w:tcW w:w="4225" w:type="dxa"/>
          </w:tcPr>
          <w:p w:rsidR="009B7622" w:rsidRDefault="009B7622" w:rsidP="009B7622">
            <w:pPr>
              <w:cnfStyle w:val="000000000000" w:firstRow="0" w:lastRow="0" w:firstColumn="0" w:lastColumn="0" w:oddVBand="0" w:evenVBand="0" w:oddHBand="0" w:evenHBand="0" w:firstRowFirstColumn="0" w:firstRowLastColumn="0" w:lastRowFirstColumn="0" w:lastRowLastColumn="0"/>
            </w:pPr>
            <w:r>
              <w:t xml:space="preserve">Manually change the text to </w:t>
            </w:r>
            <w:hyperlink r:id="rId8" w:history="1">
              <w:r w:rsidRPr="000214D7">
                <w:rPr>
                  <w:rStyle w:val="Hyperlink"/>
                </w:rPr>
                <w:t>http://www.thinqlinq.com</w:t>
              </w:r>
            </w:hyperlink>
            <w:r>
              <w:t xml:space="preserve"> (a great site if I could be so modest). Note here, there is no fix. This is just an analyzer error message because it detects a runtime exception for a domain specific issue.</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proofErr w:type="spellStart"/>
            <w:r>
              <w:t>IsPrime</w:t>
            </w:r>
            <w:proofErr w:type="spellEnd"/>
            <w:r>
              <w:t xml:space="preserve"> method</w:t>
            </w: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Where</w:t>
            </w:r>
          </w:p>
        </w:tc>
        <w:tc>
          <w:tcPr>
            <w:tcW w:w="4225" w:type="dxa"/>
          </w:tcPr>
          <w:p w:rsidR="009B7622" w:rsidRDefault="009B7622" w:rsidP="009B7622">
            <w:pPr>
              <w:cnfStyle w:val="000000100000" w:firstRow="0" w:lastRow="0" w:firstColumn="0" w:lastColumn="0" w:oddVBand="0" w:evenVBand="0" w:oddHBand="1" w:evenHBand="0" w:firstRowFirstColumn="0" w:firstRowLastColumn="0" w:lastRowFirstColumn="0" w:lastRowLastColumn="0"/>
            </w:pPr>
            <w:r>
              <w:t>Remove ‘Where’ moving predicate to ‘Any’</w:t>
            </w:r>
          </w:p>
        </w:tc>
      </w:tr>
      <w:tr w:rsidR="009B7622" w:rsidTr="009B7622">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proofErr w:type="spellStart"/>
            <w:r>
              <w:t>IsFibber</w:t>
            </w:r>
            <w:proofErr w:type="spellEnd"/>
            <w:r>
              <w:t xml:space="preserve"> method</w:t>
            </w:r>
          </w:p>
        </w:tc>
        <w:tc>
          <w:tcPr>
            <w:tcW w:w="1710" w:type="dxa"/>
          </w:tcPr>
          <w:p w:rsidR="009B7622" w:rsidRDefault="009B7622" w:rsidP="006E2A5E">
            <w:pPr>
              <w:cnfStyle w:val="000000000000" w:firstRow="0" w:lastRow="0" w:firstColumn="0" w:lastColumn="0" w:oddVBand="0" w:evenVBand="0" w:oddHBand="0" w:evenHBand="0" w:firstRowFirstColumn="0" w:firstRowLastColumn="0" w:lastRowFirstColumn="0" w:lastRowLastColumn="0"/>
            </w:pPr>
            <w:r>
              <w:t xml:space="preserve">First “if” </w:t>
            </w:r>
          </w:p>
        </w:tc>
        <w:tc>
          <w:tcPr>
            <w:tcW w:w="4225" w:type="dxa"/>
          </w:tcPr>
          <w:p w:rsidR="009B7622" w:rsidRDefault="009B7622" w:rsidP="009B7622">
            <w:pPr>
              <w:cnfStyle w:val="000000000000" w:firstRow="0" w:lastRow="0" w:firstColumn="0" w:lastColumn="0" w:oddVBand="0" w:evenVBand="0" w:oddHBand="0" w:evenHBand="0" w:firstRowFirstColumn="0" w:firstRowLastColumn="0" w:lastRowFirstColumn="0" w:lastRowLastColumn="0"/>
            </w:pPr>
            <w:r>
              <w:t>Convert to switch</w:t>
            </w:r>
          </w:p>
        </w:tc>
      </w:tr>
      <w:tr w:rsidR="009B7622" w:rsidTr="009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Merge/>
          </w:tcPr>
          <w:p w:rsidR="009B7622" w:rsidRDefault="009B7622" w:rsidP="006E2A5E"/>
        </w:tc>
        <w:tc>
          <w:tcPr>
            <w:tcW w:w="243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proofErr w:type="spellStart"/>
            <w:r>
              <w:t>SayHello</w:t>
            </w:r>
            <w:proofErr w:type="spellEnd"/>
            <w:r>
              <w:t xml:space="preserve"> method</w:t>
            </w:r>
          </w:p>
        </w:tc>
        <w:tc>
          <w:tcPr>
            <w:tcW w:w="1710" w:type="dxa"/>
          </w:tcPr>
          <w:p w:rsidR="009B7622" w:rsidRDefault="009B7622" w:rsidP="006E2A5E">
            <w:pPr>
              <w:cnfStyle w:val="000000100000" w:firstRow="0" w:lastRow="0" w:firstColumn="0" w:lastColumn="0" w:oddVBand="0" w:evenVBand="0" w:oddHBand="1" w:evenHBand="0" w:firstRowFirstColumn="0" w:firstRowLastColumn="0" w:lastRowFirstColumn="0" w:lastRowLastColumn="0"/>
            </w:pPr>
            <w:r>
              <w:t>hello +=</w:t>
            </w:r>
          </w:p>
        </w:tc>
        <w:tc>
          <w:tcPr>
            <w:tcW w:w="4225" w:type="dxa"/>
          </w:tcPr>
          <w:p w:rsidR="009B7622" w:rsidRDefault="009B7622" w:rsidP="009B7622">
            <w:pPr>
              <w:cnfStyle w:val="000000100000" w:firstRow="0" w:lastRow="0" w:firstColumn="0" w:lastColumn="0" w:oddVBand="0" w:evenVBand="0" w:oddHBand="1" w:evenHBand="0" w:firstRowFirstColumn="0" w:firstRowLastColumn="0" w:lastRowFirstColumn="0" w:lastRowLastColumn="0"/>
            </w:pPr>
            <w:r>
              <w:t xml:space="preserve">Use </w:t>
            </w:r>
            <w:proofErr w:type="spellStart"/>
            <w:r>
              <w:t>StringBuilder</w:t>
            </w:r>
            <w:proofErr w:type="spellEnd"/>
            <w:r>
              <w:t xml:space="preserve"> to create a value for ‘hello’</w:t>
            </w:r>
          </w:p>
        </w:tc>
      </w:tr>
    </w:tbl>
    <w:p w:rsidR="006B3F3A" w:rsidRDefault="006B3F3A" w:rsidP="006E2A5E"/>
    <w:p w:rsidR="00B63BDE" w:rsidRDefault="00B63BDE" w:rsidP="00B63BDE">
      <w:pPr>
        <w:pStyle w:val="Heading2"/>
      </w:pPr>
      <w:r>
        <w:t>On your own</w:t>
      </w:r>
    </w:p>
    <w:p w:rsidR="00DA4C89" w:rsidRPr="00F50837" w:rsidRDefault="00DA4C89" w:rsidP="00DA4C89">
      <w:r>
        <w:t>Try working through the r</w:t>
      </w:r>
      <w:r w:rsidR="006B3F3A">
        <w:t>e</w:t>
      </w:r>
      <w:r>
        <w:t>st of the errors, warnings and info messages and see if you can either clean up all of the remaining issues, or suppress</w:t>
      </w:r>
      <w:r w:rsidR="006B3F3A">
        <w:t>/disable those that you don’t feel are necessary for your application/agency.</w:t>
      </w:r>
    </w:p>
    <w:sectPr w:rsidR="00DA4C89" w:rsidRPr="00F5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F7DBA"/>
    <w:multiLevelType w:val="hybridMultilevel"/>
    <w:tmpl w:val="0DD2733C"/>
    <w:lvl w:ilvl="0" w:tplc="A4FE0D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BA"/>
    <w:rsid w:val="00465C82"/>
    <w:rsid w:val="005859BA"/>
    <w:rsid w:val="006641E1"/>
    <w:rsid w:val="006B3F3A"/>
    <w:rsid w:val="006E2A5E"/>
    <w:rsid w:val="00857DFD"/>
    <w:rsid w:val="00963C94"/>
    <w:rsid w:val="009B7622"/>
    <w:rsid w:val="00A71269"/>
    <w:rsid w:val="00B63BDE"/>
    <w:rsid w:val="00C666BE"/>
    <w:rsid w:val="00DA4C89"/>
    <w:rsid w:val="00DC2CA9"/>
    <w:rsid w:val="00F5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7935"/>
  <w15:chartTrackingRefBased/>
  <w15:docId w15:val="{5C02C23B-499A-4013-AD7C-959D3E5C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5E"/>
    <w:pPr>
      <w:ind w:left="720"/>
      <w:contextualSpacing/>
    </w:pPr>
  </w:style>
  <w:style w:type="character" w:customStyle="1" w:styleId="Heading2Char">
    <w:name w:val="Heading 2 Char"/>
    <w:basedOn w:val="DefaultParagraphFont"/>
    <w:link w:val="Heading2"/>
    <w:uiPriority w:val="9"/>
    <w:rsid w:val="00F508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66BE"/>
    <w:rPr>
      <w:color w:val="0563C1" w:themeColor="hyperlink"/>
      <w:u w:val="single"/>
    </w:rPr>
  </w:style>
  <w:style w:type="character" w:styleId="Mention">
    <w:name w:val="Mention"/>
    <w:basedOn w:val="DefaultParagraphFont"/>
    <w:uiPriority w:val="99"/>
    <w:semiHidden/>
    <w:unhideWhenUsed/>
    <w:rsid w:val="00C666BE"/>
    <w:rPr>
      <w:color w:val="2B579A"/>
      <w:shd w:val="clear" w:color="auto" w:fill="E6E6E6"/>
    </w:rPr>
  </w:style>
  <w:style w:type="table" w:styleId="TableGrid">
    <w:name w:val="Table Grid"/>
    <w:basedOn w:val="TableNormal"/>
    <w:uiPriority w:val="39"/>
    <w:rsid w:val="006B3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B76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9B762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1Char">
    <w:name w:val="Heading 1 Char"/>
    <w:basedOn w:val="DefaultParagraphFont"/>
    <w:link w:val="Heading1"/>
    <w:uiPriority w:val="9"/>
    <w:rsid w:val="00B63B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qlinq.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Wooley</dc:creator>
  <cp:keywords/>
  <dc:description/>
  <cp:lastModifiedBy>Jim Wooley</cp:lastModifiedBy>
  <cp:revision>2</cp:revision>
  <dcterms:created xsi:type="dcterms:W3CDTF">2017-03-26T02:40:00Z</dcterms:created>
  <dcterms:modified xsi:type="dcterms:W3CDTF">2017-03-26T23:56:00Z</dcterms:modified>
</cp:coreProperties>
</file>