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242B"/>
          <w:sz w:val="36"/>
          <w:szCs w:val="36"/>
        </w:rPr>
        <w:t xml:space="preserve">AI Declaration — Saryarqa Go</w:t>
      </w:r>
    </w:p>
    <w:p>
      <w:pPr>
        <w:spacing w:after="100" w:before="0"/>
      </w:pPr>
      <w:r>
        <w:rPr>
          <w:rFonts w:ascii="Arial" w:cs="Arial" w:eastAsia="Arial" w:hAnsi="Arial"/>
          <w:color w:val="5F6B76"/>
          <w:sz w:val="20"/>
          <w:szCs w:val="20"/>
        </w:rPr>
        <w:t xml:space="preserve">ZERTTEX Hackathon 2026 · Case 1: Technology Product · Stage 2 materials. Based on the AI Declaration in our Stage 1 report and extended to the Stage 2 materials.</w:t>
      </w:r>
    </w:p>
    <w:p>
      <w:pPr>
        <w:spacing w:after="100" w:before="0"/>
      </w:pPr>
      <w:r>
        <w:rPr>
          <w:rFonts w:ascii="Arial" w:cs="Arial" w:eastAsia="Arial" w:hAnsi="Arial"/>
          <w:b/>
          <w:bCs/>
          <w:color w:val="1F242B"/>
          <w:sz w:val="20"/>
          <w:szCs w:val="20"/>
        </w:rPr>
        <w:t xml:space="preserve">Team: </w:t>
      </w:r>
      <w:r>
        <w:rPr>
          <w:rFonts w:ascii="Arial" w:cs="Arial" w:eastAsia="Arial" w:hAnsi="Arial"/>
          <w:color w:val="1F242B"/>
          <w:sz w:val="20"/>
          <w:szCs w:val="20"/>
        </w:rPr>
        <w:t xml:space="preserve">[team name — to fill in]   ·   Ikhsan (captain), Yeraly, Asylkhan, Ramazan</w:t>
      </w:r>
    </w:p>
    <w:p>
      <w:pPr>
        <w:spacing w:after="100" w:before="0"/>
      </w:pPr>
      <w:r>
        <w:rPr>
          <w:rFonts w:ascii="Arial" w:cs="Arial" w:eastAsia="Arial" w:hAnsi="Arial"/>
          <w:b/>
          <w:bCs/>
          <w:color w:val="B3401F"/>
          <w:sz w:val="20"/>
          <w:szCs w:val="20"/>
        </w:rPr>
        <w:t xml:space="preserve">Fields in [square brackets] must be confirmed by the team before submission. </w:t>
      </w:r>
      <w:r>
        <w:rPr>
          <w:rFonts w:ascii="Arial" w:cs="Arial" w:eastAsia="Arial" w:hAnsi="Arial"/>
          <w:color w:val="B3401F"/>
          <w:sz w:val="20"/>
          <w:szCs w:val="20"/>
        </w:rPr>
        <w:t xml:space="preserve">We did not guess tool names, links or dates we could not verify.</w:t>
      </w:r>
    </w:p>
    <w:p>
      <w:pPr>
        <w:pBdr>
          <w:bottom w:val="single" w:color="C9CFD5" w:sz="6" w:space="1"/>
        </w:pBdr>
        <w:spacing w:after="120"/>
      </w:pPr>
    </w:p>
    <w:p>
      <w:pPr>
        <w:pStyle w:val="Heading1"/>
        <w:spacing w:after="120" w:before="240"/>
      </w:pPr>
      <w:r>
        <w:rPr>
          <w:rFonts w:ascii="Arial" w:cs="Arial" w:eastAsia="Arial" w:hAnsi="Arial"/>
          <w:b/>
          <w:bCs/>
          <w:color w:val="1F242B"/>
          <w:sz w:val="30"/>
          <w:szCs w:val="30"/>
        </w:rPr>
        <w:t xml:space="preserve">1. Level of AI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3700"/>
        <w:gridCol w:w="2788"/>
      </w:tblGrid>
      <w:tr>
        <w:trPr>
          <w:tblHeader/>
        </w:trPr>
        <w:tc>
          <w:tcPr>
            <w:tcW w:type="dxa" w:w="2000"/>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Part</w:t>
            </w:r>
          </w:p>
        </w:tc>
        <w:tc>
          <w:tcPr>
            <w:tcW w:type="dxa" w:w="1150"/>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Level</w:t>
            </w:r>
          </w:p>
        </w:tc>
        <w:tc>
          <w:tcPr>
            <w:tcW w:type="dxa" w:w="3700"/>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How AI was used</w:t>
            </w:r>
          </w:p>
        </w:tc>
        <w:tc>
          <w:tcPr>
            <w:tcW w:type="dxa" w:w="2788"/>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What the team decided / checked</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Prototype code (Stage 1)</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Code of the clickable prototype and its automated tests written by an AI coding assistant from our written product description.</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What the product does, target market, numbers and rules.</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Prototype update (Stage 2)</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An AI coding assistant added: real QR codes, Judge mode, a manager inbox, a live-AI preview with scripted fallback (Phase 2), offline photo pipeline, faster loading, and the Phase 1 budget on the Impact page. 158 automated checks pass.</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Which features to add and which stay Phase 2; we tested the demo path ourselves. [Confirm]</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Stage 1 report, user flow, tables</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AI drafted text, tables and the flow diagram from our description; calculations run by code from our assumptions.</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Read, edited and checked the final text.</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Idea, target market, assumptions</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Low</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AI pointed out risks and weak points.</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Our own decisions.</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Research and sources (Stage 2 update)</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Medium</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AI ran web searches to re-check and update statistics (2025 full-year data, Chinese arrivals, visa-free rules, Trip.com facts, commission sources, payment options in Kazakhstan) and listed every source with a link.</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[Confirm: we opened and checked each link in the sources table.]</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Budget (Phase 1 = 8M within the 20M case cap) and payback model</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AI proposed the bottom-up budget lines, built the spreadsheet with live formulas and three scenarios (company target, required −30% worse case, stress test), and rebuilt our Stage 1 20M model to check its arithmetic.</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Case cap 20M confirmed by the organizers; choosing to ask for 8M (Phase 1) and a month-9 stage gate was our decision. [Confirm: margin 30%, salary and cost estimates.]</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Presentation (final deck, 8 slides, Russian)</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AI designed three deck versions in English. For the final, AI rebuilt the deck in Russian in the TypeUI "Agentic" style (Playfair Display, Inter, JetBrains Mono), using real Wikimedia photos and screenshots of our prototype, and simplified the slide text.</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Choice of the story, the Russian language, the role split and the style. [Confirm: edits made by the team.]</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Speech in Russian (≈7 min) and Q&amp;A prep</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High</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AI wrote a first draft of the Russian speech by slide with timings and short answers to likely jury questions.</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Role split: Ikhsan opens and closes, Yeraly market, site and demo, Asylkhan problem and competitors, Ramazan budget. [Confirm: each speaker retells their part in their own words.]</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Images</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None (AI-generated)</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No AI-generated images. Landscape photos are real photographs from Wikimedia Commons (CC0 or CC BY-SA 4.0, credited on slides). Product images are screenshots of our prototype. Charts are drawn by code from the data. Icons come from the open-source Lucide icon set.</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Photo choice can be changed by the team.</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QR code and postcard</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Medium</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QR code generated by a standard programming library (not an AI image) and checked by decoding it; AI designed the postcard layout.</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[Confirm the final URL in the QR code.]</w:t>
            </w:r>
          </w:p>
        </w:tc>
      </w:tr>
      <w:tr>
        <w:trPr>
          <w:tblHeader w:val="off"/>
        </w:trPr>
        <w:tc>
          <w:tcPr>
            <w:tcW w:type="dxa" w:w="2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Backup demo video</w:t>
            </w:r>
          </w:p>
        </w:tc>
        <w:tc>
          <w:tcPr>
            <w:tcW w:type="dxa" w:w="115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[to confirm]</w:t>
            </w:r>
          </w:p>
        </w:tc>
        <w:tc>
          <w:tcPr>
            <w:tcW w:type="dxa" w:w="37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[Fill in once made: screen recording of the real prototype; captions written with AI help.]</w:t>
            </w:r>
          </w:p>
        </w:tc>
        <w:tc>
          <w:tcPr>
            <w:tcW w:type="dxa" w:w="278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[to confirm]</w:t>
            </w:r>
          </w:p>
        </w:tc>
      </w:tr>
    </w:tbl>
    <w:p>
      <w:pPr>
        <w:pStyle w:val="Heading1"/>
        <w:spacing w:after="120" w:before="240"/>
      </w:pPr>
      <w:r>
        <w:rPr>
          <w:rFonts w:ascii="Arial" w:cs="Arial" w:eastAsia="Arial" w:hAnsi="Arial"/>
          <w:b/>
          <w:bCs/>
          <w:color w:val="1F242B"/>
          <w:sz w:val="30"/>
          <w:szCs w:val="30"/>
        </w:rPr>
        <w:t xml:space="preserve">2.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738"/>
      </w:tblGrid>
      <w:tr>
        <w:trPr>
          <w:tblHeader/>
        </w:trPr>
        <w:tc>
          <w:tcPr>
            <w:tcW w:type="dxa" w:w="3000"/>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Tool</w:t>
            </w:r>
          </w:p>
        </w:tc>
        <w:tc>
          <w:tcPr>
            <w:tcW w:type="dxa" w:w="3900"/>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Used for</w:t>
            </w:r>
          </w:p>
        </w:tc>
        <w:tc>
          <w:tcPr>
            <w:tcW w:type="dxa" w:w="2738"/>
            <w:tcBorders>
              <w:top w:val="single" w:color="C9CFD5" w:sz="4"/>
              <w:left w:val="single" w:color="C9CFD5" w:sz="4"/>
              <w:bottom w:val="single" w:color="C9CFD5" w:sz="4"/>
              <w:right w:val="single" w:color="C9CFD5" w:sz="4"/>
            </w:tcBorders>
            <w:shd w:fill="E9EDF0" w:color="auto" w:val="clear"/>
            <w:tcMar>
              <w:top w:type="dxa" w:w="60"/>
              <w:left w:type="dxa" w:w="90"/>
              <w:bottom w:type="dxa" w:w="60"/>
              <w:right w:type="dxa" w:w="90"/>
            </w:tcMar>
          </w:tcPr>
          <w:p>
            <w:pPr>
              <w:spacing w:after="0"/>
            </w:pPr>
            <w:r>
              <w:rPr>
                <w:rFonts w:ascii="Arial" w:cs="Arial" w:eastAsia="Arial" w:hAnsi="Arial"/>
                <w:b/>
                <w:bCs/>
                <w:color w:val="1F242B"/>
                <w:sz w:val="17"/>
                <w:szCs w:val="17"/>
              </w:rPr>
              <w:t xml:space="preserve">Link / session</w:t>
            </w:r>
          </w:p>
        </w:tc>
      </w:tr>
      <w:tr>
        <w:trPr>
          <w:tblHeader w:val="off"/>
        </w:trPr>
        <w:tc>
          <w:tcPr>
            <w:tcW w:type="dxa" w:w="3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Claude (Anthropic), in Claude Code</w:t>
            </w:r>
          </w:p>
        </w:tc>
        <w:tc>
          <w:tcPr>
            <w:tcW w:type="dxa" w:w="39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Stage 1: prototype code and tests, document drafts, source checks, PDF files</w:t>
            </w:r>
          </w:p>
        </w:tc>
        <w:tc>
          <w:tcPr>
            <w:tcW w:type="dxa" w:w="273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https://claude.ai/code/session_01HrYY9Y9MwxQVFQRES5YEHH (from our Stage 1 declaration)</w:t>
            </w:r>
          </w:p>
        </w:tc>
      </w:tr>
      <w:tr>
        <w:trPr>
          <w:tblHeader w:val="off"/>
        </w:trPr>
        <w:tc>
          <w:tcPr>
            <w:tcW w:type="dxa" w:w="3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Claude (Anthropic), in Claude Code</w:t>
            </w:r>
          </w:p>
        </w:tc>
        <w:tc>
          <w:tcPr>
            <w:tcW w:type="dxa" w:w="39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Stage 2: prototype update (QR, Judge mode, manager inbox, live-AI preview, tests)</w:t>
            </w:r>
          </w:p>
        </w:tc>
        <w:tc>
          <w:tcPr>
            <w:tcW w:type="dxa" w:w="273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[Session link — to add]</w:t>
            </w:r>
          </w:p>
        </w:tc>
      </w:tr>
      <w:tr>
        <w:trPr>
          <w:tblHeader w:val="off"/>
        </w:trPr>
        <w:tc>
          <w:tcPr>
            <w:tcW w:type="dxa" w:w="3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Claude (Anthropic), model Claude Opus 5.5, Claude app</w:t>
            </w:r>
          </w:p>
        </w:tc>
        <w:tc>
          <w:tcPr>
            <w:tcW w:type="dxa" w:w="39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Stage 2: research update, budget model, three decks, Russian final deck and speech, prototype budget update, this declaration, postcard</w:t>
            </w:r>
          </w:p>
        </w:tc>
        <w:tc>
          <w:tcPr>
            <w:tcW w:type="dxa" w:w="273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[Session links — confirm they open for the jury: https://claude.ai/code/session_01PaavcCWMyR6fzcZcdCKTuP · https://claude.ai/code/session_01EUF3NHuDLbKELtJ28ABXio]</w:t>
            </w:r>
          </w:p>
        </w:tc>
      </w:tr>
      <w:tr>
        <w:trPr>
          <w:tblHeader w:val="off"/>
        </w:trPr>
        <w:tc>
          <w:tcPr>
            <w:tcW w:type="dxa" w:w="30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bCs/>
                <w:color w:val="1F242B"/>
                <w:sz w:val="17"/>
                <w:szCs w:val="17"/>
              </w:rPr>
              <w:t xml:space="preserve">[Other tools, if any — e.g. Canva, ChatGPT, DeepL]</w:t>
            </w:r>
          </w:p>
        </w:tc>
        <w:tc>
          <w:tcPr>
            <w:tcW w:type="dxa" w:w="3900"/>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[what for]</w:t>
            </w:r>
          </w:p>
        </w:tc>
        <w:tc>
          <w:tcPr>
            <w:tcW w:type="dxa" w:w="2738"/>
            <w:tcBorders>
              <w:top w:val="single" w:color="C9CFD5" w:sz="4"/>
              <w:left w:val="single" w:color="C9CFD5" w:sz="4"/>
              <w:bottom w:val="single" w:color="C9CFD5" w:sz="4"/>
              <w:right w:val="single" w:color="C9CFD5" w:sz="4"/>
            </w:tcBorders>
            <w:tcMar>
              <w:top w:type="dxa" w:w="60"/>
              <w:left w:type="dxa" w:w="90"/>
              <w:bottom w:type="dxa" w:w="60"/>
              <w:right w:type="dxa" w:w="90"/>
            </w:tcMar>
          </w:tcPr>
          <w:p>
            <w:pPr>
              <w:spacing w:after="0"/>
            </w:pPr>
            <w:r>
              <w:rPr>
                <w:rFonts w:ascii="Arial" w:cs="Arial" w:eastAsia="Arial" w:hAnsi="Arial"/>
                <w:b w:val="false"/>
                <w:bCs w:val="false"/>
                <w:color w:val="1F242B"/>
                <w:sz w:val="17"/>
                <w:szCs w:val="17"/>
              </w:rPr>
              <w:t xml:space="preserve">[link]</w:t>
            </w:r>
          </w:p>
        </w:tc>
      </w:tr>
    </w:tbl>
    <w:p>
      <w:pPr>
        <w:pStyle w:val="Heading1"/>
        <w:spacing w:after="120" w:before="240"/>
      </w:pPr>
      <w:r>
        <w:rPr>
          <w:rFonts w:ascii="Arial" w:cs="Arial" w:eastAsia="Arial" w:hAnsi="Arial"/>
          <w:b/>
          <w:bCs/>
          <w:color w:val="1F242B"/>
          <w:sz w:val="30"/>
          <w:szCs w:val="30"/>
        </w:rPr>
        <w:t xml:space="preserve">3. How facts, links and calculations were checked</w:t>
      </w:r>
    </w:p>
    <w:p>
      <w:pPr>
        <w:pStyle w:val="ListParagraph"/>
        <w:numPr>
          <w:ilvl w:val="0"/>
          <w:numId w:val="2"/>
        </w:numPr>
        <w:spacing w:after="60"/>
      </w:pPr>
      <w:r>
        <w:rPr>
          <w:rFonts w:ascii="Arial" w:cs="Arial" w:eastAsia="Arial" w:hAnsi="Arial"/>
          <w:color w:val="1F242B"/>
          <w:sz w:val="20"/>
          <w:szCs w:val="20"/>
        </w:rPr>
        <w:t xml:space="preserve">Every external number on the slides has a numbered source in the separate sources table (title, publisher, link, date accessed, slide where used).</w:t>
      </w:r>
    </w:p>
    <w:p>
      <w:pPr>
        <w:pStyle w:val="ListParagraph"/>
        <w:numPr>
          <w:ilvl w:val="0"/>
          <w:numId w:val="2"/>
        </w:numPr>
        <w:spacing w:after="60"/>
      </w:pPr>
      <w:r>
        <w:rPr>
          <w:rFonts w:ascii="Arial" w:cs="Arial" w:eastAsia="Arial" w:hAnsi="Arial"/>
          <w:color w:val="1F242B"/>
          <w:sz w:val="20"/>
          <w:szCs w:val="20"/>
        </w:rPr>
        <w:t xml:space="preserve">Where two official reports disagreed, we used the later, more complete one and wrote down the conflict (full-year 2025 tourism totals).</w:t>
      </w:r>
    </w:p>
    <w:p>
      <w:pPr>
        <w:pStyle w:val="ListParagraph"/>
        <w:numPr>
          <w:ilvl w:val="0"/>
          <w:numId w:val="2"/>
        </w:numPr>
        <w:spacing w:after="60"/>
      </w:pPr>
      <w:r>
        <w:rPr>
          <w:rFonts w:ascii="Arial" w:cs="Arial" w:eastAsia="Arial" w:hAnsi="Arial"/>
          <w:color w:val="1F242B"/>
          <w:sz w:val="20"/>
          <w:szCs w:val="20"/>
        </w:rPr>
        <w:t xml:space="preserve">Numbers counted by different methods (arrivals vs. guests in accommodation) are shown side by side and never added or nested.</w:t>
      </w:r>
    </w:p>
    <w:p>
      <w:pPr>
        <w:pStyle w:val="ListParagraph"/>
        <w:numPr>
          <w:ilvl w:val="0"/>
          <w:numId w:val="2"/>
        </w:numPr>
        <w:spacing w:after="60"/>
      </w:pPr>
      <w:r>
        <w:rPr>
          <w:rFonts w:ascii="Arial" w:cs="Arial" w:eastAsia="Arial" w:hAnsi="Arial"/>
          <w:color w:val="1F242B"/>
          <w:sz w:val="20"/>
          <w:szCs w:val="20"/>
        </w:rPr>
        <w:t>All financial results come from one spreadsheet with live formulas (Cost_Payback_Sheet.xlsx, our own model). The prototype's Impact page and the one-page PDF use the same model and show the same payback months (22 / 28 / none). The spreadsheet was recalculated with zero formula errors.</w:t>
      </w:r>
    </w:p>
    <w:p>
      <w:pPr>
        <w:pStyle w:val="ListParagraph"/>
        <w:numPr>
          <w:ilvl w:val="0"/>
          <w:numId w:val="2"/>
        </w:numPr>
        <w:spacing w:after="60"/>
      </w:pPr>
      <w:r>
        <w:rPr>
          <w:rFonts w:ascii="Arial" w:cs="Arial" w:eastAsia="Arial" w:hAnsi="Arial"/>
          <w:color w:val="1F242B"/>
          <w:sz w:val="20"/>
          <w:szCs w:val="20"/>
        </w:rPr>
        <w:t xml:space="preserve">The Stage 1 model (20M) was rebuilt independently; its payback months (32 and 44) were reproduced.</w:t>
      </w:r>
    </w:p>
    <w:p>
      <w:pPr>
        <w:pStyle w:val="ListParagraph"/>
        <w:numPr>
          <w:ilvl w:val="0"/>
          <w:numId w:val="2"/>
        </w:numPr>
        <w:spacing w:after="60"/>
      </w:pPr>
      <w:r>
        <w:rPr>
          <w:rFonts w:ascii="Arial" w:cs="Arial" w:eastAsia="Arial" w:hAnsi="Arial"/>
          <w:color w:val="1F242B"/>
          <w:sz w:val="20"/>
          <w:szCs w:val="20"/>
        </w:rPr>
        <w:t xml:space="preserve">Competitor facts were checked on the live pages on 27 Oct 2026 (Trip.com listing, payment methods, company profile).</w:t>
      </w:r>
    </w:p>
    <w:p>
      <w:pPr>
        <w:pStyle w:val="ListParagraph"/>
        <w:numPr>
          <w:ilvl w:val="0"/>
          <w:numId w:val="2"/>
        </w:numPr>
        <w:spacing w:after="60"/>
      </w:pPr>
      <w:r>
        <w:rPr>
          <w:rFonts w:ascii="Arial" w:cs="Arial" w:eastAsia="Arial" w:hAnsi="Arial"/>
          <w:color w:val="1F242B"/>
          <w:sz w:val="20"/>
          <w:szCs w:val="20"/>
        </w:rPr>
        <w:t xml:space="preserve">[Team: confirm that at least one member opened each source link and that the numbers match.]</w:t>
      </w:r>
    </w:p>
    <w:p>
      <w:pPr>
        <w:pStyle w:val="Heading1"/>
        <w:spacing w:after="120" w:before="240"/>
      </w:pPr>
      <w:r>
        <w:rPr>
          <w:rFonts w:ascii="Arial" w:cs="Arial" w:eastAsia="Arial" w:hAnsi="Arial"/>
          <w:b/>
          <w:bCs/>
          <w:color w:val="1F242B"/>
          <w:sz w:val="30"/>
          <w:szCs w:val="30"/>
        </w:rPr>
        <w:t xml:space="preserve">4. What remains an assumption or limitation</w:t>
      </w:r>
    </w:p>
    <w:p>
      <w:pPr>
        <w:pStyle w:val="ListParagraph"/>
        <w:numPr>
          <w:ilvl w:val="0"/>
          <w:numId w:val="2"/>
        </w:numPr>
        <w:spacing w:after="60"/>
      </w:pPr>
      <w:r>
        <w:rPr>
          <w:rFonts w:ascii="Arial" w:cs="Arial" w:eastAsia="Arial" w:hAnsi="Arial"/>
          <w:color w:val="1F242B"/>
          <w:sz w:val="20"/>
          <w:szCs w:val="20"/>
        </w:rPr>
        <w:t xml:space="preserve">Contribution margin of 30% per traveler (13,200 KZT) — not confirmed by Saryarqa Routes.</w:t>
      </w:r>
    </w:p>
    <w:p>
      <w:pPr>
        <w:pStyle w:val="ListParagraph"/>
        <w:numPr>
          <w:ilvl w:val="0"/>
          <w:numId w:val="2"/>
        </w:numPr>
        <w:spacing w:after="60"/>
      </w:pPr>
      <w:r>
        <w:rPr>
          <w:rFonts w:ascii="Arial" w:cs="Arial" w:eastAsia="Arial" w:hAnsi="Arial"/>
          <w:color w:val="1F242B"/>
          <w:sz w:val="20"/>
          <w:szCs w:val="20"/>
        </w:rPr>
        <w:t>Traveler numbers in the scenarios (100% = company target, 70% = required worse case −30%, 40% = stress test) — planning assumptions, not forecasts.</w:t>
      </w:r>
    </w:p>
    <w:p>
      <w:pPr>
        <w:pStyle w:val="ListParagraph"/>
        <w:numPr>
          <w:ilvl w:val="0"/>
          <w:numId w:val="2"/>
        </w:numPr>
        <w:spacing w:after="60"/>
      </w:pPr>
      <w:r>
        <w:rPr>
          <w:rFonts w:ascii="Arial" w:cs="Arial" w:eastAsia="Arial" w:hAnsi="Arial"/>
          <w:color w:val="1F242B"/>
          <w:sz w:val="20"/>
          <w:szCs w:val="20"/>
        </w:rPr>
        <w:t>Salary and service costs in the Phase 1 budget (8M of the 20M cap) — our estimates; developer cost benchmarked on hh.kz 2026 data.</w:t>
      </w:r>
    </w:p>
    <w:p>
      <w:pPr>
        <w:pStyle w:val="ListParagraph"/>
        <w:numPr>
          <w:ilvl w:val="0"/>
          <w:numId w:val="2"/>
        </w:numPr>
        <w:spacing w:after="60"/>
      </w:pPr>
      <w:r>
        <w:rPr>
          <w:rFonts w:ascii="Arial" w:cs="Arial" w:eastAsia="Arial" w:hAnsi="Arial"/>
          <w:color w:val="1F242B"/>
          <w:sz w:val="20"/>
          <w:szCs w:val="20"/>
        </w:rPr>
        <w:t xml:space="preserve">No interviews or usability tests with Chinese travelers have been done yet; they are planned for weeks 1–2 and 10–11.</w:t>
      </w:r>
    </w:p>
    <w:p>
      <w:pPr>
        <w:pStyle w:val="ListParagraph"/>
        <w:numPr>
          <w:ilvl w:val="0"/>
          <w:numId w:val="2"/>
        </w:numPr>
        <w:spacing w:after="60"/>
      </w:pPr>
      <w:r>
        <w:rPr>
          <w:rFonts w:ascii="Arial" w:cs="Arial" w:eastAsia="Arial" w:hAnsi="Arial"/>
          <w:color w:val="1F242B"/>
          <w:sz w:val="20"/>
          <w:szCs w:val="20"/>
        </w:rPr>
        <w:t xml:space="preserve">Payments in the prototype are simulated; prices, guide profiles and weather in the prototype are demo data; Saryarqa Routes is a fictional company from the case.</w:t>
      </w:r>
    </w:p>
    <w:p>
      <w:pPr>
        <w:pStyle w:val="ListParagraph"/>
        <w:numPr>
          <w:ilvl w:val="0"/>
          <w:numId w:val="2"/>
        </w:numPr>
        <w:spacing w:after="60"/>
      </w:pPr>
      <w:r>
        <w:rPr>
          <w:rFonts w:ascii="Arial" w:cs="Arial" w:eastAsia="Arial" w:hAnsi="Arial"/>
          <w:color w:val="1F242B"/>
          <w:sz w:val="20"/>
          <w:szCs w:val="20"/>
        </w:rPr>
        <w:t xml:space="preserve">Platform commission for Trip.com activities is not public; 20–30% is a GetYourGuide range from an industry source.</w:t>
      </w:r>
    </w:p>
    <w:p>
      <w:pPr>
        <w:spacing w:after="100" w:before="120"/>
      </w:pPr>
      <w:r>
        <w:rPr>
          <w:rFonts w:ascii="Arial" w:cs="Arial" w:eastAsia="Arial" w:hAnsi="Arial"/>
          <w:b/>
          <w:bCs/>
          <w:color w:val="1F242B"/>
          <w:sz w:val="20"/>
          <w:szCs w:val="20"/>
        </w:rPr>
        <w:t xml:space="preserve">We did not use AI to invent statistics, interviews, reviews, licences, partnerships or payment-provider approvals. Everything not yet proven is marked as an assumption, a plan or “needs confirmation”.</w:t>
      </w:r>
    </w:p>
    <w:p>
      <w:pPr>
        <w:spacing w:after="100" w:before="0"/>
      </w:pPr>
      <w:r>
        <w:rPr>
          <w:rFonts w:ascii="Arial" w:cs="Arial" w:eastAsia="Arial" w:hAnsi="Arial"/>
          <w:color w:val="1F242B"/>
          <w:sz w:val="20"/>
          <w:szCs w:val="20"/>
        </w:rPr>
        <w:t xml:space="preserve"/>
      </w:r>
    </w:p>
    <w:p>
      <w:pPr>
        <w:spacing w:after="100" w:before="0"/>
      </w:pPr>
      <w:r>
        <w:rPr>
          <w:rFonts w:ascii="Arial" w:cs="Arial" w:eastAsia="Arial" w:hAnsi="Arial"/>
          <w:color w:val="1F242B"/>
          <w:sz w:val="20"/>
          <w:szCs w:val="20"/>
        </w:rPr>
        <w:t xml:space="preserve">Signed: ______________________________          Date: ______________</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6"/>
        <w:sz w:val="16"/>
        <w:szCs w:val="16"/>
      </w:rPr>
      <w:t xml:space="preserve">Saryarqa Go — AI Declaration  ·  </w:t>
    </w:r>
    <w:r>
      <w:rPr>
        <w:rFonts w:ascii="Arial" w:cs="Arial" w:eastAsia="Arial" w:hAnsi="Arial"/>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Saryarqa Go — AI Declaration</dc:title>
  <dc:creator>Team Saryarqa Go</dc:creator>
  <cp:lastModifiedBy>Un-named</cp:lastModifiedBy>
  <cp:revision>1</cp:revision>
  <dcterms:created xsi:type="dcterms:W3CDTF">2026-10-27T08:42:01.156Z</dcterms:created>
  <dcterms:modified xsi:type="dcterms:W3CDTF">2026-10-27T08:42:01.156Z</dcterms:modified>
</cp:coreProperties>
</file>

<file path=docProps/custom.xml><?xml version="1.0" encoding="utf-8"?>
<Properties xmlns="http://schemas.openxmlformats.org/officeDocument/2006/custom-properties" xmlns:vt="http://schemas.openxmlformats.org/officeDocument/2006/docPropsVTypes"/>
</file>