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Un agente consultor estadístico sobre el caso ISIC 2024</w:t>
      </w:r>
    </w:p>
    <w:p>
      <w:pPr>
        <w:jc w:val="both"/>
      </w:pPr>
      <w:r>
        <w:rPr>
          <w:b/>
          <w:i w:val="0"/>
        </w:rPr>
        <w:t>Trabajo final — Consultoría e Investigación</w:t>
      </w:r>
      <w:r>
        <w:rPr>
          <w:b w:val="0"/>
          <w:i w:val="0"/>
        </w:rPr>
        <w:t xml:space="preserve"> Borrador generado por la skill </w:t>
      </w:r>
      <w:r>
        <w:rPr>
          <w:rFonts w:ascii="Menlo" w:hAnsi="Menlo"/>
          <w:b w:val="0"/>
          <w:i w:val="0"/>
          <w:sz w:val="19"/>
        </w:rPr>
        <w:t>sintesis-consultoria</w:t>
      </w:r>
      <w:r>
        <w:rPr>
          <w:b w:val="0"/>
          <w:i w:val="0"/>
        </w:rPr>
        <w:t xml:space="preserve"> a partir de </w:t>
      </w:r>
      <w:r>
        <w:rPr>
          <w:rFonts w:ascii="Menlo" w:hAnsi="Menlo"/>
          <w:b w:val="0"/>
          <w:i w:val="0"/>
          <w:sz w:val="19"/>
        </w:rPr>
        <w:t>outputs/</w:t>
      </w:r>
      <w:r>
        <w:rPr>
          <w:b w:val="0"/>
          <w:i w:val="0"/>
        </w:rPr>
        <w:t>. Fecha: 2026-08-12.</w:t>
      </w:r>
    </w:p>
    <w:p>
      <w:pPr>
        <w:pStyle w:val="IntenseQuote"/>
      </w:pPr>
      <w:r>
        <w:rPr>
          <w:b/>
          <w:i w:val="0"/>
        </w:rPr>
        <w:t>Cómo leer las cifras de este informe.</w:t>
      </w:r>
      <w:r>
        <w:rPr>
          <w:b w:val="0"/>
          <w:i w:val="0"/>
        </w:rPr>
        <w:t xml:space="preserve"> Cada número lleva una marca </w:t>
      </w:r>
      <w:r>
        <w:rPr>
          <w:rFonts w:ascii="Menlo" w:hAnsi="Menlo"/>
          <w:b w:val="0"/>
          <w:i w:val="0"/>
          <w:sz w:val="19"/>
        </w:rPr>
        <w:t>[T#]</w:t>
      </w:r>
      <w:r>
        <w:rPr>
          <w:b w:val="0"/>
          <w:i w:val="0"/>
        </w:rPr>
        <w:t xml:space="preserve"> que remite a la fila correspondiente del Anexo de trazabilidad (sección 10), donde consta el archivo y el campo exacto del que sale. Ningún número del cuerpo procede de la memoria del agente. Las pocas cifras que provienen de fuentes externas y no de </w:t>
      </w:r>
      <w:r>
        <w:rPr>
          <w:rFonts w:ascii="Menlo" w:hAnsi="Menlo"/>
          <w:b w:val="0"/>
          <w:i w:val="0"/>
          <w:sz w:val="19"/>
        </w:rPr>
        <w:t>outputs/</w:t>
      </w:r>
      <w:r>
        <w:rPr>
          <w:b w:val="0"/>
          <w:i w:val="0"/>
        </w:rPr>
        <w:t xml:space="preserve"> están marcadas </w:t>
      </w:r>
      <w:r>
        <w:rPr>
          <w:rFonts w:ascii="Menlo" w:hAnsi="Menlo"/>
          <w:b w:val="0"/>
          <w:i w:val="0"/>
          <w:sz w:val="19"/>
        </w:rPr>
        <w:t>[E#]</w:t>
      </w:r>
      <w:r>
        <w:rPr>
          <w:b w:val="0"/>
          <w:i w:val="0"/>
        </w:rPr>
        <w:t xml:space="preserve"> y separadas en el anexo, para que la distinción sea visible y no haya que confiar en nadie.</w:t>
      </w:r>
    </w:p>
    <w:p>
      <w:r>
        <w:br w:type="page"/>
      </w:r>
    </w:p>
    <w:p>
      <w:r>
        <w:rPr>
          <w:b/>
          <w:sz w:val="36"/>
        </w:rPr>
        <w:t>Contenido</w:t>
      </w:r>
    </w:p>
    <w:p>
      <w:r>
        <w:fldChar w:fldCharType="begin"/>
        <w:instrText xml:space="preserve">TOC \o "1-3" \h \z \u</w:instrText>
        <w:fldChar w:fldCharType="separate"/>
        <w:t>Actualiza este campo (F9) para generar la tabla de contenido.</w:t>
        <w:fldChar w:fldCharType="end"/>
      </w:r>
    </w:p>
    <w:p>
      <w:r>
        <w:br w:type="page"/>
      </w:r>
    </w:p>
    <w:p>
      <w:pPr>
        <w:pStyle w:val="Heading1"/>
      </w:pPr>
      <w:r>
        <w:rPr>
          <w:b w:val="0"/>
          <w:i w:val="0"/>
        </w:rPr>
        <w:t>1. Resumen ejecutivo</w:t>
      </w:r>
    </w:p>
    <w:p>
      <w:pPr>
        <w:jc w:val="both"/>
      </w:pPr>
      <w:r>
        <w:rPr>
          <w:b w:val="0"/>
          <w:i w:val="0"/>
        </w:rPr>
        <w:t xml:space="preserve">Este proyecto no intenta ganar la competencia ISIC 2024 de Kaggle. Intenta algo distinto y, para una materia de consultoría, más pertinente: construir un agente que se comporte como un </w:t>
      </w:r>
      <w:r>
        <w:rPr>
          <w:b/>
          <w:i w:val="0"/>
        </w:rPr>
        <w:t>consultor estadístico</w:t>
      </w:r>
      <w:r>
        <w:rPr>
          <w:b w:val="0"/>
          <w:i w:val="0"/>
        </w:rPr>
        <w:t xml:space="preserve"> ante una pregunta clínica —que ejecute instrumentos de medición, lea sus resultados, resuelva las contradicciones entre ellos, y emita una recomendación defendible con supuestos y limitaciones explícitos.</w:t>
      </w:r>
    </w:p>
    <w:p>
      <w:pPr>
        <w:jc w:val="both"/>
      </w:pPr>
      <w:r>
        <w:rPr>
          <w:b w:val="0"/>
          <w:i w:val="0"/>
        </w:rPr>
        <w:t xml:space="preserve">La arquitectura separa deliberadamente dos cosas que suelen confundirse: los </w:t>
      </w:r>
      <w:r>
        <w:rPr>
          <w:b/>
          <w:i w:val="0"/>
        </w:rPr>
        <w:t>instrumentos</w:t>
      </w:r>
      <w:r>
        <w:rPr>
          <w:b w:val="0"/>
          <w:i w:val="0"/>
        </w:rPr>
        <w:t xml:space="preserve">, que miden y reportan sin interpretar, y el </w:t>
      </w:r>
      <w:r>
        <w:rPr>
          <w:b/>
          <w:i w:val="0"/>
        </w:rPr>
        <w:t>consultor</w:t>
      </w:r>
      <w:r>
        <w:rPr>
          <w:b w:val="0"/>
          <w:i w:val="0"/>
        </w:rPr>
        <w:t>, que interpreta. Cuatro skills instrumento (</w:t>
      </w:r>
      <w:r>
        <w:rPr>
          <w:rFonts w:ascii="Menlo" w:hAnsi="Menlo"/>
          <w:b w:val="0"/>
          <w:i w:val="0"/>
          <w:sz w:val="19"/>
        </w:rPr>
        <w:t>eda-diagnostico</w:t>
      </w:r>
      <w:r>
        <w:rPr>
          <w:b w:val="0"/>
          <w:i w:val="0"/>
        </w:rPr>
        <w:t xml:space="preserve">, </w:t>
      </w:r>
      <w:r>
        <w:rPr>
          <w:rFonts w:ascii="Menlo" w:hAnsi="Menlo"/>
          <w:b w:val="0"/>
          <w:i w:val="0"/>
          <w:sz w:val="19"/>
        </w:rPr>
        <w:t>diseno-validacion</w:t>
      </w:r>
      <w:r>
        <w:rPr>
          <w:b w:val="0"/>
          <w:i w:val="0"/>
        </w:rPr>
        <w:t xml:space="preserve">, </w:t>
      </w:r>
      <w:r>
        <w:rPr>
          <w:rFonts w:ascii="Menlo" w:hAnsi="Menlo"/>
          <w:b w:val="0"/>
          <w:i w:val="0"/>
          <w:sz w:val="19"/>
        </w:rPr>
        <w:t>auditoria-de-fugas</w:t>
      </w:r>
      <w:r>
        <w:rPr>
          <w:b w:val="0"/>
          <w:i w:val="0"/>
        </w:rPr>
        <w:t xml:space="preserve">, </w:t>
      </w:r>
      <w:r>
        <w:rPr>
          <w:rFonts w:ascii="Menlo" w:hAnsi="Menlo"/>
          <w:b w:val="0"/>
          <w:i w:val="0"/>
          <w:sz w:val="19"/>
        </w:rPr>
        <w:t>modelado-baseline</w:t>
      </w:r>
      <w:r>
        <w:rPr>
          <w:b w:val="0"/>
          <w:i w:val="0"/>
        </w:rPr>
        <w:t>) producen archivos estructurados; una quinta (</w:t>
      </w:r>
      <w:r>
        <w:rPr>
          <w:rFonts w:ascii="Menlo" w:hAnsi="Menlo"/>
          <w:b w:val="0"/>
          <w:i w:val="0"/>
          <w:sz w:val="19"/>
        </w:rPr>
        <w:t>sintesis-consultoria</w:t>
      </w:r>
      <w:r>
        <w:rPr>
          <w:b w:val="0"/>
          <w:i w:val="0"/>
        </w:rPr>
        <w:t>) los lee y produce este informe. Es la misma separación que existe entre el software estadístico y el estadístico.</w:t>
      </w:r>
    </w:p>
    <w:p>
      <w:pPr>
        <w:jc w:val="both"/>
      </w:pPr>
      <w:r>
        <w:rPr>
          <w:b w:val="0"/>
          <w:i w:val="0"/>
        </w:rPr>
        <w:t xml:space="preserve">El caso ISIC 2024 se eligió porque su métrica </w:t>
      </w:r>
      <w:r>
        <w:rPr>
          <w:b/>
          <w:i w:val="0"/>
        </w:rPr>
        <w:t>codifica la función de utilidad del cliente</w:t>
      </w:r>
      <w:r>
        <w:rPr>
          <w:b w:val="0"/>
          <w:i w:val="0"/>
        </w:rPr>
        <w:t xml:space="preserve">. El organizador no evalúa el AUC completo sino el área bajo la curva ROC restringida a sensibilidad superior al 80%, y justifica esa decisión en términos clínicos, no estadísticos </w:t>
      </w:r>
      <w:r>
        <w:rPr>
          <w:rFonts w:ascii="Menlo" w:hAnsi="Menlo"/>
          <w:b w:val="0"/>
          <w:i w:val="0"/>
          <w:sz w:val="19"/>
        </w:rPr>
        <w:t>[E1]</w:t>
      </w:r>
      <w:r>
        <w:rPr>
          <w:b w:val="0"/>
          <w:i w:val="0"/>
        </w:rPr>
        <w:t>. Un falso negativo en dermatología es un melanoma no detectado. La región del espacio ROC donde la sensibilidad es baja sencillamente no le interesa al cliente, y el organizador la descartó por escrito.</w:t>
      </w:r>
    </w:p>
    <w:p>
      <w:pPr>
        <w:jc w:val="both"/>
      </w:pPr>
      <w:r>
        <w:rPr>
          <w:b w:val="0"/>
          <w:i w:val="0"/>
        </w:rPr>
        <w:t>Los resultados sostienen la tesis mejor de lo previsto. Tres hallazgos concretos:</w:t>
      </w:r>
    </w:p>
    <w:p>
      <w:pPr>
        <w:pStyle w:val="ListNumber"/>
      </w:pPr>
      <w:r>
        <w:rPr>
          <w:b/>
          <w:i w:val="0"/>
        </w:rPr>
        <w:t>Partir los datos al azar habría inflado toda medición del proyecto.</w:t>
      </w:r>
      <w:r>
        <w:rPr>
          <w:b w:val="0"/>
          <w:i w:val="0"/>
        </w:rPr>
        <w:t xml:space="preserve"> Bajo una partición aleatoria a nivel de fila, el 99,04% de los pacientes </w:t>
      </w:r>
      <w:r>
        <w:rPr>
          <w:rFonts w:ascii="Menlo" w:hAnsi="Menlo"/>
          <w:b w:val="0"/>
          <w:i w:val="0"/>
          <w:sz w:val="19"/>
        </w:rPr>
        <w:t>[T18]</w:t>
      </w:r>
      <w:r>
        <w:rPr>
          <w:b w:val="0"/>
          <w:i w:val="0"/>
        </w:rPr>
        <w:t xml:space="preserve"> quedaría repartido entre entrenamiento y validación. No es un riesgo teórico: es lo que ocurre por defecto.</w:t>
      </w:r>
    </w:p>
    <w:p>
      <w:pPr>
        <w:pStyle w:val="ListNumber"/>
      </w:pPr>
      <w:r>
        <w:rPr>
          <w:b/>
          <w:i w:val="0"/>
        </w:rPr>
        <w:t>Once columnas del conjunto de entrenamiento no existen en el de prueba</w:t>
      </w:r>
      <w:r>
        <w:rPr>
          <w:b w:val="0"/>
          <w:i w:val="0"/>
        </w:rPr>
        <w:t xml:space="preserve"> </w:t>
      </w:r>
      <w:r>
        <w:rPr>
          <w:rFonts w:ascii="Menlo" w:hAnsi="Menlo"/>
          <w:b w:val="0"/>
          <w:i w:val="0"/>
          <w:sz w:val="19"/>
        </w:rPr>
        <w:t>[T10]</w:t>
      </w:r>
      <w:r>
        <w:rPr>
          <w:b w:val="0"/>
          <w:i w:val="0"/>
        </w:rPr>
        <w:t>, y tres familias distintas de razones lo explican. Un modelo que las use produce números excelentes e inservibles.</w:t>
      </w:r>
    </w:p>
    <w:p>
      <w:pPr>
        <w:pStyle w:val="ListNumber"/>
      </w:pPr>
      <w:r>
        <w:rPr>
          <w:b/>
          <w:i w:val="0"/>
        </w:rPr>
        <w:t>El modelo de mayor capacidad falla de un modo que la métrica estándar no detecta.</w:t>
      </w:r>
      <w:r>
        <w:rPr>
          <w:b w:val="0"/>
          <w:i w:val="0"/>
        </w:rPr>
        <w:t xml:space="preserve"> Sin ajustar por el desbalance, el gradient boosting obtiene un pAUC de 0,0013 </w:t>
      </w:r>
      <w:r>
        <w:rPr>
          <w:rFonts w:ascii="Menlo" w:hAnsi="Menlo"/>
          <w:b w:val="0"/>
          <w:i w:val="0"/>
          <w:sz w:val="19"/>
        </w:rPr>
        <w:t>[T30]</w:t>
      </w:r>
      <w:r>
        <w:rPr>
          <w:b w:val="0"/>
          <w:i w:val="0"/>
        </w:rPr>
        <w:t xml:space="preserve"> —por debajo del 0,02 que obtendría el azar </w:t>
      </w:r>
      <w:r>
        <w:rPr>
          <w:rFonts w:ascii="Menlo" w:hAnsi="Menlo"/>
          <w:b w:val="0"/>
          <w:i w:val="0"/>
          <w:sz w:val="19"/>
        </w:rPr>
        <w:t>[T27]</w:t>
      </w:r>
      <w:r>
        <w:rPr>
          <w:b w:val="0"/>
          <w:i w:val="0"/>
        </w:rPr>
        <w:t>— mientras su AUC convencional sugiere un desempeño mediocre pero no alarmante. La métrica del cliente ve el problema; la métrica por defecto no.</w:t>
      </w:r>
    </w:p>
    <w:p>
      <w:pPr>
        <w:jc w:val="both"/>
      </w:pPr>
      <w:r>
        <w:rPr>
          <w:b w:val="0"/>
          <w:i w:val="0"/>
        </w:rPr>
        <w:t>La recomendación al cliente no es "use el modelo 2b". Es más modesta y se detalla en la sección 9.</w:t>
      </w:r>
    </w:p>
    <w:p>
      <w:pPr>
        <w:pStyle w:val="Heading1"/>
      </w:pPr>
      <w:r>
        <w:rPr>
          <w:b w:val="0"/>
          <w:i w:val="0"/>
        </w:rPr>
        <w:t>2. Contexto y objetivo</w:t>
      </w:r>
    </w:p>
    <w:p>
      <w:pPr>
        <w:jc w:val="both"/>
      </w:pPr>
      <w:r>
        <w:rPr>
          <w:b w:val="0"/>
          <w:i w:val="0"/>
        </w:rPr>
        <w:t xml:space="preserve">La competencia ISIC 2024 plantea identificar lesiones cancerosas a partir de recortes de imagen extraídos de fotografía corporal total en 3D, acompañados de metadatos tabulares. Este proyecto trabaja </w:t>
      </w:r>
      <w:r>
        <w:rPr>
          <w:b/>
          <w:i w:val="0"/>
        </w:rPr>
        <w:t>solo con la metadata tabular</w:t>
      </w:r>
      <w:r>
        <w:rPr>
          <w:b w:val="0"/>
          <w:i w:val="0"/>
        </w:rPr>
        <w:t>: es suficiente para todos los problemas estadísticamente interesantes del caso —desbalance extremo, agrupación por paciente, fugas de información— y no exige GPU.</w:t>
      </w:r>
    </w:p>
    <w:p>
      <w:pPr>
        <w:jc w:val="both"/>
      </w:pPr>
      <w:r>
        <w:rPr>
          <w:b w:val="0"/>
          <w:i w:val="0"/>
        </w:rPr>
        <w:t>El caso se eligió sobre otras alternativas (RSNA rodilla, RSNA columna lumbar) precisamente porque esas requieren procesamiento de imagen 3D y aportan poco desde lo estadístico. Aquí, en cambio, la estructura de los datos plantea preguntas de diseño antes de que aparezca ningún modelo.</w:t>
      </w:r>
    </w:p>
    <w:p>
      <w:pPr>
        <w:jc w:val="both"/>
      </w:pPr>
      <w:r>
        <w:rPr>
          <w:b/>
          <w:i w:val="0"/>
        </w:rPr>
        <w:t>La pregunta que el consultor debe responder no es "¿qué modelo maximiza la métrica?"</w:t>
      </w:r>
      <w:r>
        <w:rPr>
          <w:b w:val="0"/>
          <w:i w:val="0"/>
        </w:rPr>
        <w:t xml:space="preserve"> sino "¿qué se puede afirmar con honestidad sobre la detección de lesiones malignas con estos datos, y con qué grado de confianza?".</w:t>
      </w:r>
    </w:p>
    <w:p>
      <w:pPr>
        <w:jc w:val="both"/>
      </w:pPr>
      <w:r>
        <w:rPr>
          <w:b w:val="0"/>
          <w:i w:val="0"/>
        </w:rPr>
        <w:t xml:space="preserve">Un matiz que conviene fijar desde el principio, porque condiciona todo lo demás: </w:t>
      </w:r>
      <w:r>
        <w:rPr>
          <w:b/>
          <w:i w:val="0"/>
        </w:rPr>
        <w:t>la etiqueta no es simétrica</w:t>
      </w:r>
      <w:r>
        <w:rPr>
          <w:b w:val="0"/>
          <w:i w:val="0"/>
        </w:rPr>
        <w:t xml:space="preserve">. Los casos positivos están confirmados por patología. Los negativos, en su gran mayoría, nunca fueron biopsiados: se asumen benignos por evaluación clínica </w:t>
      </w:r>
      <w:r>
        <w:rPr>
          <w:rFonts w:ascii="Menlo" w:hAnsi="Menlo"/>
          <w:b w:val="0"/>
          <w:i w:val="0"/>
          <w:sz w:val="19"/>
        </w:rPr>
        <w:t>[E2]</w:t>
      </w:r>
      <w:r>
        <w:rPr>
          <w:b w:val="0"/>
          <w:i w:val="0"/>
        </w:rPr>
        <w:t>. La clase negativa arrastra ruido de etiqueta estructural. Esto va en las limitaciones (sección 8) y no como nota al pie.</w:t>
      </w:r>
    </w:p>
    <w:p>
      <w:pPr>
        <w:pStyle w:val="Heading1"/>
      </w:pPr>
      <w:r>
        <w:rPr>
          <w:b w:val="0"/>
          <w:i w:val="0"/>
        </w:rPr>
        <w:t>3. Metodología: instrumentos y consultor</w:t>
      </w:r>
    </w:p>
    <w:p>
      <w:pPr>
        <w:pStyle w:val="Heading2"/>
      </w:pPr>
      <w:r>
        <w:rPr>
          <w:b w:val="0"/>
          <w:i w:val="0"/>
        </w:rPr>
        <w:t>3.1 La cadena de skills</w:t>
      </w:r>
    </w:p>
    <w:tbl>
      <w:tblPr>
        <w:tblStyle w:val="TableGrid"/>
        <w:tblW w:type="auto" w:w="0"/>
        <w:tblLayout w:type="fixed"/>
        <w:tblLook w:firstColumn="1" w:firstRow="1" w:lastColumn="0" w:lastRow="0" w:noHBand="0" w:noVBand="1" w:val="04A0"/>
      </w:tblPr>
      <w:tblGrid>
        <w:gridCol w:w="3216"/>
        <w:gridCol w:w="3216"/>
        <w:gridCol w:w="3216"/>
      </w:tblGrid>
      <w:tr>
        <w:tc>
          <w:tcPr>
            <w:tcW w:type="dxa" w:w="2211"/>
          </w:tcPr>
          <w:p>
            <w:r>
              <w:rPr>
                <w:b/>
              </w:rPr>
            </w:r>
            <w:r>
              <w:rPr>
                <w:b/>
                <w:i w:val="0"/>
              </w:rPr>
              <w:t>Skill</w:t>
            </w:r>
          </w:p>
        </w:tc>
        <w:tc>
          <w:tcPr>
            <w:tcW w:type="dxa" w:w="6030"/>
          </w:tcPr>
          <w:p>
            <w:r>
              <w:rPr>
                <w:b/>
              </w:rPr>
            </w:r>
            <w:r>
              <w:rPr>
                <w:b/>
                <w:i w:val="0"/>
              </w:rPr>
              <w:t>Función</w:t>
            </w:r>
          </w:p>
        </w:tc>
        <w:tc>
          <w:tcPr>
            <w:tcW w:type="dxa" w:w="1407"/>
          </w:tcPr>
          <w:p>
            <w:r>
              <w:rPr>
                <w:b/>
              </w:rPr>
            </w:r>
            <w:r>
              <w:rPr>
                <w:b/>
                <w:i w:val="0"/>
              </w:rPr>
              <w:t>Tipo</w:t>
            </w:r>
          </w:p>
        </w:tc>
      </w:tr>
      <w:tr>
        <w:tc>
          <w:tcPr>
            <w:tcW w:type="dxa" w:w="2211"/>
          </w:tcPr>
          <w:p>
            <w:r/>
            <w:r>
              <w:rPr>
                <w:rFonts w:ascii="Menlo" w:hAnsi="Menlo"/>
                <w:b w:val="0"/>
                <w:i w:val="0"/>
                <w:sz w:val="17"/>
              </w:rPr>
              <w:t>eda-diagnostico</w:t>
            </w:r>
          </w:p>
        </w:tc>
        <w:tc>
          <w:tcPr>
            <w:tcW w:type="dxa" w:w="6030"/>
          </w:tcPr>
          <w:p>
            <w:r/>
            <w:r>
              <w:rPr>
                <w:b w:val="0"/>
                <w:i w:val="0"/>
              </w:rPr>
              <w:t>Perfil de datos, faltantes, desbalance, estructura de grupos</w:t>
            </w:r>
          </w:p>
        </w:tc>
        <w:tc>
          <w:tcPr>
            <w:tcW w:type="dxa" w:w="1407"/>
          </w:tcPr>
          <w:p>
            <w:r/>
            <w:r>
              <w:rPr>
                <w:b w:val="0"/>
                <w:i w:val="0"/>
              </w:rPr>
              <w:t>instrumento</w:t>
            </w:r>
          </w:p>
        </w:tc>
      </w:tr>
      <w:tr>
        <w:tc>
          <w:tcPr>
            <w:tcW w:type="dxa" w:w="2211"/>
          </w:tcPr>
          <w:p>
            <w:r/>
            <w:r>
              <w:rPr>
                <w:rFonts w:ascii="Menlo" w:hAnsi="Menlo"/>
                <w:b w:val="0"/>
                <w:i w:val="0"/>
                <w:sz w:val="17"/>
              </w:rPr>
              <w:t>diseno-validacion</w:t>
            </w:r>
          </w:p>
        </w:tc>
        <w:tc>
          <w:tcPr>
            <w:tcW w:type="dxa" w:w="6030"/>
          </w:tcPr>
          <w:p>
            <w:r/>
            <w:r>
              <w:rPr>
                <w:b w:val="0"/>
                <w:i w:val="0"/>
              </w:rPr>
              <w:t xml:space="preserve">Propone y </w:t>
            </w:r>
            <w:r>
              <w:rPr>
                <w:b/>
                <w:i w:val="0"/>
              </w:rPr>
              <w:t>verifica</w:t>
            </w:r>
            <w:r>
              <w:rPr>
                <w:b w:val="0"/>
                <w:i w:val="0"/>
              </w:rPr>
              <w:t xml:space="preserve"> el esquema de validación cruzada</w:t>
            </w:r>
          </w:p>
        </w:tc>
        <w:tc>
          <w:tcPr>
            <w:tcW w:type="dxa" w:w="1407"/>
          </w:tcPr>
          <w:p>
            <w:r/>
            <w:r>
              <w:rPr>
                <w:b w:val="0"/>
                <w:i w:val="0"/>
              </w:rPr>
              <w:t>instrumento</w:t>
            </w:r>
          </w:p>
        </w:tc>
      </w:tr>
      <w:tr>
        <w:tc>
          <w:tcPr>
            <w:tcW w:type="dxa" w:w="2211"/>
          </w:tcPr>
          <w:p>
            <w:r/>
            <w:r>
              <w:rPr>
                <w:rFonts w:ascii="Menlo" w:hAnsi="Menlo"/>
                <w:b w:val="0"/>
                <w:i w:val="0"/>
                <w:sz w:val="17"/>
              </w:rPr>
              <w:t>auditoria-de-fugas</w:t>
            </w:r>
          </w:p>
        </w:tc>
        <w:tc>
          <w:tcPr>
            <w:tcW w:type="dxa" w:w="6030"/>
          </w:tcPr>
          <w:p>
            <w:r/>
            <w:r>
              <w:rPr>
                <w:b w:val="0"/>
                <w:i w:val="0"/>
              </w:rPr>
              <w:t>Chequeos de fuga estructural y escaneo univariado</w:t>
            </w:r>
          </w:p>
        </w:tc>
        <w:tc>
          <w:tcPr>
            <w:tcW w:type="dxa" w:w="1407"/>
          </w:tcPr>
          <w:p>
            <w:r/>
            <w:r>
              <w:rPr>
                <w:b w:val="0"/>
                <w:i w:val="0"/>
              </w:rPr>
              <w:t>instrumento</w:t>
            </w:r>
          </w:p>
        </w:tc>
      </w:tr>
      <w:tr>
        <w:tc>
          <w:tcPr>
            <w:tcW w:type="dxa" w:w="2211"/>
          </w:tcPr>
          <w:p>
            <w:r/>
            <w:r>
              <w:rPr>
                <w:rFonts w:ascii="Menlo" w:hAnsi="Menlo"/>
                <w:b w:val="0"/>
                <w:i w:val="0"/>
                <w:sz w:val="17"/>
              </w:rPr>
              <w:t>modelado-baseline</w:t>
            </w:r>
          </w:p>
        </w:tc>
        <w:tc>
          <w:tcPr>
            <w:tcW w:type="dxa" w:w="6030"/>
          </w:tcPr>
          <w:p>
            <w:r/>
            <w:r>
              <w:rPr>
                <w:b w:val="0"/>
                <w:i w:val="0"/>
              </w:rPr>
              <w:t>Modelos de referencia con la métrica oficial</w:t>
            </w:r>
          </w:p>
        </w:tc>
        <w:tc>
          <w:tcPr>
            <w:tcW w:type="dxa" w:w="1407"/>
          </w:tcPr>
          <w:p>
            <w:r/>
            <w:r>
              <w:rPr>
                <w:b w:val="0"/>
                <w:i w:val="0"/>
              </w:rPr>
              <w:t>instrumento</w:t>
            </w:r>
          </w:p>
        </w:tc>
      </w:tr>
      <w:tr>
        <w:tc>
          <w:tcPr>
            <w:tcW w:type="dxa" w:w="2211"/>
          </w:tcPr>
          <w:p>
            <w:r/>
            <w:r>
              <w:rPr>
                <w:rFonts w:ascii="Menlo" w:hAnsi="Menlo"/>
                <w:b w:val="0"/>
                <w:i w:val="0"/>
                <w:sz w:val="17"/>
              </w:rPr>
              <w:t>sintesis-consultoria</w:t>
            </w:r>
          </w:p>
        </w:tc>
        <w:tc>
          <w:tcPr>
            <w:tcW w:type="dxa" w:w="6030"/>
          </w:tcPr>
          <w:p>
            <w:r/>
            <w:r>
              <w:rPr>
                <w:b w:val="0"/>
                <w:i w:val="0"/>
              </w:rPr>
              <w:t xml:space="preserve">Lee todo </w:t>
            </w:r>
            <w:r>
              <w:rPr>
                <w:rFonts w:ascii="Menlo" w:hAnsi="Menlo"/>
                <w:b w:val="0"/>
                <w:i w:val="0"/>
                <w:sz w:val="17"/>
              </w:rPr>
              <w:t>outputs/</w:t>
            </w:r>
            <w:r>
              <w:rPr>
                <w:b w:val="0"/>
                <w:i w:val="0"/>
              </w:rPr>
              <w:t xml:space="preserve"> y produce este informe</w:t>
            </w:r>
          </w:p>
        </w:tc>
        <w:tc>
          <w:tcPr>
            <w:tcW w:type="dxa" w:w="1407"/>
          </w:tcPr>
          <w:p>
            <w:r/>
            <w:r>
              <w:rPr>
                <w:b w:val="0"/>
                <w:i w:val="0"/>
              </w:rPr>
              <w:t>interpretación</w:t>
            </w:r>
          </w:p>
        </w:tc>
      </w:tr>
    </w:tbl>
    <w:p/>
    <w:p>
      <w:pPr>
        <w:jc w:val="both"/>
      </w:pPr>
      <w:r>
        <w:rPr>
          <w:b w:val="0"/>
          <w:i w:val="0"/>
        </w:rPr>
        <w:t xml:space="preserve">Cada instrumento escribe dos archivos: un </w:t>
      </w:r>
      <w:r>
        <w:rPr>
          <w:rFonts w:ascii="Menlo" w:hAnsi="Menlo"/>
          <w:b w:val="0"/>
          <w:i w:val="0"/>
          <w:sz w:val="19"/>
        </w:rPr>
        <w:t>.json</w:t>
      </w:r>
      <w:r>
        <w:rPr>
          <w:b w:val="0"/>
          <w:i w:val="0"/>
        </w:rPr>
        <w:t xml:space="preserve"> con resultados completos y un </w:t>
      </w:r>
      <w:r>
        <w:rPr>
          <w:rFonts w:ascii="Menlo" w:hAnsi="Menlo"/>
          <w:b w:val="0"/>
          <w:i w:val="0"/>
          <w:sz w:val="19"/>
        </w:rPr>
        <w:t>.md</w:t>
      </w:r>
      <w:r>
        <w:rPr>
          <w:b w:val="0"/>
          <w:i w:val="0"/>
        </w:rPr>
        <w:t xml:space="preserve"> de resumen acotado a 15 líneas. Y cada uno declara explícitamente en su documentación: </w:t>
      </w:r>
      <w:r>
        <w:rPr>
          <w:b w:val="0"/>
          <w:i/>
        </w:rPr>
        <w:t>no interpretes los resultados aquí</w:t>
      </w:r>
      <w:r>
        <w:rPr>
          <w:b w:val="0"/>
          <w:i w:val="0"/>
        </w:rPr>
        <w:t>.</w:t>
      </w:r>
    </w:p>
    <w:p>
      <w:pPr>
        <w:pStyle w:val="Heading2"/>
      </w:pPr>
      <w:r>
        <w:rPr>
          <w:b w:val="0"/>
          <w:i w:val="0"/>
        </w:rPr>
        <w:t>3.2 Por qué la separación es el argumento, no un detalle de implementación</w:t>
      </w:r>
    </w:p>
    <w:p>
      <w:pPr>
        <w:jc w:val="both"/>
      </w:pPr>
      <w:r>
        <w:rPr>
          <w:b w:val="0"/>
          <w:i w:val="0"/>
        </w:rPr>
        <w:t>La tentación al construir un agente de análisis de datos es que el mismo componente mida e interprete. Separarlos tiene tres consecuencias verificables:</w:t>
      </w:r>
    </w:p>
    <w:p>
      <w:pPr>
        <w:pStyle w:val="ListBullet"/>
      </w:pPr>
      <w:r>
        <w:rPr>
          <w:b/>
          <w:i w:val="0"/>
        </w:rPr>
        <w:t>La interpretación es auditable.</w:t>
      </w:r>
      <w:r>
        <w:rPr>
          <w:b w:val="0"/>
          <w:i w:val="0"/>
        </w:rPr>
        <w:t xml:space="preserve"> Si el informe afirma algo, existe un archivo que lo respalda. La verificación deja de ser un acto de fe.</w:t>
      </w:r>
    </w:p>
    <w:p>
      <w:pPr>
        <w:pStyle w:val="ListBullet"/>
      </w:pPr>
      <w:r>
        <w:rPr>
          <w:b/>
          <w:i w:val="0"/>
        </w:rPr>
        <w:t>Los instrumentos no pueden mentir a su favor.</w:t>
      </w:r>
      <w:r>
        <w:rPr>
          <w:b w:val="0"/>
          <w:i w:val="0"/>
        </w:rPr>
        <w:t xml:space="preserve"> Un instrumento que interpretara sus propios resultados tendería a justificarlos.</w:t>
      </w:r>
    </w:p>
    <w:p>
      <w:pPr>
        <w:pStyle w:val="ListBullet"/>
      </w:pPr>
      <w:r>
        <w:rPr>
          <w:b/>
          <w:i w:val="0"/>
        </w:rPr>
        <w:t>Las contradicciones salen a la superficie en vez de resolverse en silencio.</w:t>
      </w:r>
      <w:r>
        <w:rPr>
          <w:b w:val="0"/>
          <w:i w:val="0"/>
        </w:rPr>
        <w:t xml:space="preserve"> El caso de </w:t>
      </w:r>
      <w:r>
        <w:rPr>
          <w:rFonts w:ascii="Menlo" w:hAnsi="Menlo"/>
          <w:b w:val="0"/>
          <w:i w:val="0"/>
          <w:sz w:val="19"/>
        </w:rPr>
        <w:t>tbp_lv_nevi_confidence</w:t>
      </w:r>
      <w:r>
        <w:rPr>
          <w:b w:val="0"/>
          <w:i w:val="0"/>
        </w:rPr>
        <w:t xml:space="preserve"> (sección 6.3) es exactamente eso: el instrumento marcó una columna y se detuvo en una pregunta que no podía responder. Resolverla exigió leer una fuente externa.</w:t>
      </w:r>
    </w:p>
    <w:p>
      <w:pPr>
        <w:pStyle w:val="Heading2"/>
      </w:pPr>
      <w:r>
        <w:rPr>
          <w:b w:val="0"/>
          <w:i w:val="0"/>
        </w:rPr>
        <w:t>3.3 Tres reglas que gobernaron el trabajo</w:t>
      </w:r>
    </w:p>
    <w:p>
      <w:pPr>
        <w:pStyle w:val="ListNumber"/>
      </w:pPr>
      <w:r>
        <w:rPr>
          <w:b/>
          <w:i w:val="0"/>
        </w:rPr>
        <w:t>Trazabilidad total.</w:t>
      </w:r>
      <w:r>
        <w:rPr>
          <w:b w:val="0"/>
          <w:i w:val="0"/>
        </w:rPr>
        <w:t xml:space="preserve"> Ninguna cifra del informe aparece si no está en un archivo de </w:t>
      </w:r>
      <w:r>
        <w:rPr>
          <w:rFonts w:ascii="Menlo" w:hAnsi="Menlo"/>
          <w:b w:val="0"/>
          <w:i w:val="0"/>
          <w:sz w:val="19"/>
        </w:rPr>
        <w:t>outputs/</w:t>
      </w:r>
      <w:r>
        <w:rPr>
          <w:b w:val="0"/>
          <w:i w:val="0"/>
        </w:rPr>
        <w:t>. Este borrador se somete a un verificador automático que extrae todos sus números y comprueba que tengan respaldo.</w:t>
      </w:r>
    </w:p>
    <w:p>
      <w:pPr>
        <w:pStyle w:val="ListNumber"/>
      </w:pPr>
      <w:r>
        <w:rPr>
          <w:b/>
          <w:i w:val="0"/>
        </w:rPr>
        <w:t>Nada de memoria como fuente.</w:t>
      </w:r>
      <w:r>
        <w:rPr>
          <w:b w:val="0"/>
          <w:i w:val="0"/>
        </w:rPr>
        <w:t xml:space="preserve"> El agente no cita de memoria las reglas de la competencia ni la definición de la métrica. Cuando Kaggle resultó ilegible —sus páginas se renderizan con JavaScript y no devuelven contenido a un cliente sin navegador— se resolvió tomando la fuente a mano y guardándola en </w:t>
      </w:r>
      <w:r>
        <w:rPr>
          <w:rFonts w:ascii="Menlo" w:hAnsi="Menlo"/>
          <w:b w:val="0"/>
          <w:i w:val="0"/>
          <w:sz w:val="19"/>
        </w:rPr>
        <w:t>referencias/</w:t>
      </w:r>
      <w:r>
        <w:rPr>
          <w:b w:val="0"/>
          <w:i w:val="0"/>
        </w:rPr>
        <w:t xml:space="preserve"> —el texto completo o, si su licencia no lo permite, una ficha con las citas literales—, no completando de memoria.</w:t>
      </w:r>
    </w:p>
    <w:p>
      <w:pPr>
        <w:pStyle w:val="ListNumber"/>
      </w:pPr>
      <w:r>
        <w:rPr>
          <w:b/>
          <w:i w:val="0"/>
        </w:rPr>
        <w:t>Antes de borrar código que parece muerto, comprobar si conectarlo cambia el resultado.</w:t>
      </w:r>
      <w:r>
        <w:rPr>
          <w:b w:val="0"/>
          <w:i w:val="0"/>
        </w:rPr>
        <w:t xml:space="preserve"> Esta regla se añadió a mitad de proyecto, después de que el patrón apareciera tres veces (sección 3.4).</w:t>
      </w:r>
    </w:p>
    <w:p>
      <w:pPr>
        <w:pStyle w:val="Heading2"/>
      </w:pPr>
      <w:r>
        <w:rPr>
          <w:b w:val="0"/>
          <w:i w:val="0"/>
        </w:rPr>
        <w:t>3.4 Las cuatro skills tenían defectos, y encontrarlos fue parte del trabajo</w:t>
      </w:r>
    </w:p>
    <w:p>
      <w:pPr>
        <w:jc w:val="both"/>
      </w:pPr>
      <w:r>
        <w:rPr>
          <w:b w:val="0"/>
          <w:i w:val="0"/>
        </w:rPr>
        <w:t>Ninguna skill se dio por buena sin correrla contra los datos reales. Las cuatro tenían al menos un defecto. Los más instructivos:</w:t>
      </w:r>
    </w:p>
    <w:p>
      <w:pPr>
        <w:pStyle w:val="ListBullet"/>
      </w:pPr>
      <w:r>
        <w:rPr>
          <w:b/>
          <w:i w:val="0"/>
        </w:rPr>
        <w:t>Un chequeo vacío de contenido.</w:t>
      </w:r>
      <w:r>
        <w:rPr>
          <w:b w:val="0"/>
          <w:i w:val="0"/>
        </w:rPr>
        <w:t xml:space="preserve"> La detección de duplicados exactos incluía la clave primaria entre las columnas comparadas, de modo que nunca podía encontrar nada. Daba cero, y el cero era correcto por la razón equivocada.</w:t>
      </w:r>
    </w:p>
    <w:p>
      <w:pPr>
        <w:pStyle w:val="ListBullet"/>
      </w:pPr>
      <w:r>
        <w:rPr>
          <w:b/>
          <w:i w:val="0"/>
        </w:rPr>
        <w:t>Una rama inalcanzable.</w:t>
      </w:r>
      <w:r>
        <w:rPr>
          <w:b w:val="0"/>
          <w:i w:val="0"/>
        </w:rPr>
        <w:t xml:space="preserve"> En la auditoría de fugas, una condición comparaba contra </w:t>
      </w:r>
      <w:r>
        <w:rPr>
          <w:rFonts w:ascii="Menlo" w:hAnsi="Menlo"/>
          <w:b w:val="0"/>
          <w:i w:val="0"/>
          <w:sz w:val="19"/>
        </w:rPr>
        <w:t>None</w:t>
      </w:r>
      <w:r>
        <w:rPr>
          <w:b w:val="0"/>
          <w:i w:val="0"/>
        </w:rPr>
        <w:t xml:space="preserve"> un valor que nunca podía ser </w:t>
      </w:r>
      <w:r>
        <w:rPr>
          <w:rFonts w:ascii="Menlo" w:hAnsi="Menlo"/>
          <w:b w:val="0"/>
          <w:i w:val="0"/>
          <w:sz w:val="19"/>
        </w:rPr>
        <w:t>None</w:t>
      </w:r>
      <w:r>
        <w:rPr>
          <w:b w:val="0"/>
          <w:i w:val="0"/>
        </w:rPr>
        <w:t>. El efecto: nueve de las diez preguntas abiertas que la skill debía plantear se perdían en silencio.</w:t>
      </w:r>
    </w:p>
    <w:p>
      <w:pPr>
        <w:pStyle w:val="ListBullet"/>
      </w:pPr>
      <w:r>
        <w:rPr>
          <w:b/>
          <w:i w:val="0"/>
        </w:rPr>
        <w:t>Una corrección a medio cablear.</w:t>
      </w:r>
      <w:r>
        <w:rPr>
          <w:b w:val="0"/>
          <w:i w:val="0"/>
        </w:rPr>
        <w:t xml:space="preserve"> En el modelado, </w:t>
      </w:r>
      <w:r>
        <w:rPr>
          <w:rFonts w:ascii="Menlo" w:hAnsi="Menlo"/>
          <w:b w:val="0"/>
          <w:i w:val="0"/>
          <w:sz w:val="19"/>
        </w:rPr>
        <w:t>StandardScaler</w:t>
      </w:r>
      <w:r>
        <w:rPr>
          <w:b w:val="0"/>
          <w:i w:val="0"/>
        </w:rPr>
        <w:t xml:space="preserve"> estaba importado y nunca usado. Parecía código sobrante. No lo era: sin escalar, la regresión logística no convergía, y el número reportado era el del optimizador detenido a mitad de camino, no el del modelo.</w:t>
      </w:r>
    </w:p>
    <w:p>
      <w:pPr>
        <w:pStyle w:val="ListBullet"/>
      </w:pPr>
      <w:r>
        <w:rPr>
          <w:b/>
          <w:i w:val="0"/>
        </w:rPr>
        <w:t>Una métrica mal implementada.</w:t>
      </w:r>
      <w:r>
        <w:rPr>
          <w:b w:val="0"/>
          <w:i w:val="0"/>
        </w:rPr>
        <w:t xml:space="preserve"> La primera versión del pAUC aplicaba una corrección que el algoritmo oficial no aplica. Un clasificador perfecto habría obtenido 0,12 en vez de 0,20. Se detectó comparando contra el script del organizador y se verificó la corrección en 200 casos aleatorios </w:t>
      </w:r>
      <w:r>
        <w:rPr>
          <w:rFonts w:ascii="Menlo" w:hAnsi="Menlo"/>
          <w:b w:val="0"/>
          <w:i w:val="0"/>
          <w:sz w:val="19"/>
        </w:rPr>
        <w:t>[E3]</w:t>
      </w:r>
      <w:r>
        <w:rPr>
          <w:b w:val="0"/>
          <w:i w:val="0"/>
        </w:rPr>
        <w:t>.</w:t>
      </w:r>
    </w:p>
    <w:p>
      <w:pPr>
        <w:jc w:val="both"/>
      </w:pPr>
      <w:r>
        <w:rPr>
          <w:b w:val="0"/>
          <w:i w:val="0"/>
        </w:rPr>
        <w:t xml:space="preserve">Que los cuatro instrumentos estuvieran defectuosos y los cuatro defectos fueran detectables </w:t>
      </w:r>
      <w:r>
        <w:rPr>
          <w:b/>
          <w:i w:val="0"/>
        </w:rPr>
        <w:t>por confrontación con los datos reales o con la fuente primaria</w:t>
      </w:r>
      <w:r>
        <w:rPr>
          <w:b w:val="0"/>
          <w:i w:val="0"/>
        </w:rPr>
        <w:t xml:space="preserve"> es, en sí, un resultado del proyecto.</w:t>
      </w:r>
    </w:p>
    <w:p>
      <w:pPr>
        <w:pStyle w:val="Heading1"/>
      </w:pPr>
      <w:r>
        <w:rPr>
          <w:b w:val="0"/>
          <w:i w:val="0"/>
        </w:rPr>
        <w:t>4. Hallazgos del análisis exploratorio</w:t>
      </w:r>
    </w:p>
    <w:p>
      <w:pPr>
        <w:jc w:val="both"/>
      </w:pPr>
      <w:r>
        <w:rPr>
          <w:b w:val="0"/>
          <w:i w:val="0"/>
        </w:rPr>
        <w:t xml:space="preserve">Fuente: </w:t>
      </w:r>
      <w:r>
        <w:rPr>
          <w:rFonts w:ascii="Menlo" w:hAnsi="Menlo"/>
          <w:b w:val="0"/>
          <w:i w:val="0"/>
          <w:sz w:val="19"/>
        </w:rPr>
        <w:t>outputs/eda-diagnostico.json</w:t>
      </w:r>
      <w:r>
        <w:rPr>
          <w:b w:val="0"/>
          <w:i w:val="0"/>
        </w:rPr>
        <w:t>.</w:t>
      </w:r>
    </w:p>
    <w:p>
      <w:pPr>
        <w:jc w:val="both"/>
      </w:pPr>
      <w:r>
        <w:rPr>
          <w:b w:val="0"/>
          <w:i w:val="0"/>
        </w:rPr>
        <w:t xml:space="preserve">El conjunto de entrenamiento tiene </w:t>
      </w:r>
      <w:r>
        <w:rPr>
          <w:b/>
          <w:i w:val="0"/>
        </w:rPr>
        <w:t>401.059 filas</w:t>
      </w:r>
      <w:r>
        <w:rPr>
          <w:b w:val="0"/>
          <w:i w:val="0"/>
        </w:rPr>
        <w:t xml:space="preserve"> </w:t>
      </w:r>
      <w:r>
        <w:rPr>
          <w:rFonts w:ascii="Menlo" w:hAnsi="Menlo"/>
          <w:b w:val="0"/>
          <w:i w:val="0"/>
          <w:sz w:val="19"/>
        </w:rPr>
        <w:t>[T1]</w:t>
      </w:r>
      <w:r>
        <w:rPr>
          <w:b w:val="0"/>
          <w:i w:val="0"/>
        </w:rPr>
        <w:t xml:space="preserve"> y </w:t>
      </w:r>
      <w:r>
        <w:rPr>
          <w:b/>
          <w:i w:val="0"/>
        </w:rPr>
        <w:t>55 columnas</w:t>
      </w:r>
      <w:r>
        <w:rPr>
          <w:b w:val="0"/>
          <w:i w:val="0"/>
        </w:rPr>
        <w:t xml:space="preserve"> </w:t>
      </w:r>
      <w:r>
        <w:rPr>
          <w:rFonts w:ascii="Menlo" w:hAnsi="Menlo"/>
          <w:b w:val="0"/>
          <w:i w:val="0"/>
          <w:sz w:val="19"/>
        </w:rPr>
        <w:t>[T2]</w:t>
      </w:r>
      <w:r>
        <w:rPr>
          <w:b w:val="0"/>
          <w:i w:val="0"/>
        </w:rPr>
        <w:t>.</w:t>
      </w:r>
    </w:p>
    <w:p>
      <w:pPr>
        <w:pStyle w:val="Heading2"/>
      </w:pPr>
      <w:r>
        <w:rPr>
          <w:b w:val="0"/>
          <w:i w:val="0"/>
        </w:rPr>
        <w:t>4.1 Desbalance extremo</w:t>
      </w:r>
    </w:p>
    <w:p>
      <w:pPr>
        <w:jc w:val="both"/>
      </w:pPr>
      <w:r>
        <w:rPr>
          <w:b w:val="0"/>
          <w:i w:val="0"/>
        </w:rPr>
        <w:t xml:space="preserve">De las 401.059 lesiones, </w:t>
      </w:r>
      <w:r>
        <w:rPr>
          <w:b/>
          <w:i w:val="0"/>
        </w:rPr>
        <w:t>393 son positivas</w:t>
      </w:r>
      <w:r>
        <w:rPr>
          <w:b w:val="0"/>
          <w:i w:val="0"/>
        </w:rPr>
        <w:t xml:space="preserve"> </w:t>
      </w:r>
      <w:r>
        <w:rPr>
          <w:rFonts w:ascii="Menlo" w:hAnsi="Menlo"/>
          <w:b w:val="0"/>
          <w:i w:val="0"/>
          <w:sz w:val="19"/>
        </w:rPr>
        <w:t>[T3]</w:t>
      </w:r>
      <w:r>
        <w:rPr>
          <w:b w:val="0"/>
          <w:i w:val="0"/>
        </w:rPr>
        <w:t xml:space="preserve"> y </w:t>
      </w:r>
      <w:r>
        <w:rPr>
          <w:b/>
          <w:i w:val="0"/>
        </w:rPr>
        <w:t>400.666 negativas</w:t>
      </w:r>
      <w:r>
        <w:rPr>
          <w:b w:val="0"/>
          <w:i w:val="0"/>
        </w:rPr>
        <w:t xml:space="preserve"> </w:t>
      </w:r>
      <w:r>
        <w:rPr>
          <w:rFonts w:ascii="Menlo" w:hAnsi="Menlo"/>
          <w:b w:val="0"/>
          <w:i w:val="0"/>
          <w:sz w:val="19"/>
        </w:rPr>
        <w:t>[T4]</w:t>
      </w:r>
      <w:r>
        <w:rPr>
          <w:b w:val="0"/>
          <w:i w:val="0"/>
        </w:rPr>
        <w:t xml:space="preserve">: un </w:t>
      </w:r>
      <w:r>
        <w:rPr>
          <w:b/>
          <w:i w:val="0"/>
        </w:rPr>
        <w:t>0,098%</w:t>
      </w:r>
      <w:r>
        <w:rPr>
          <w:b w:val="0"/>
          <w:i w:val="0"/>
        </w:rPr>
        <w:t xml:space="preserve"> de prevalencia </w:t>
      </w:r>
      <w:r>
        <w:rPr>
          <w:rFonts w:ascii="Menlo" w:hAnsi="Menlo"/>
          <w:b w:val="0"/>
          <w:i w:val="0"/>
          <w:sz w:val="19"/>
        </w:rPr>
        <w:t>[T5]</w:t>
      </w:r>
      <w:r>
        <w:rPr>
          <w:b w:val="0"/>
          <w:i w:val="0"/>
        </w:rPr>
        <w:t>.</w:t>
      </w:r>
    </w:p>
    <w:p>
      <w:pPr>
        <w:jc w:val="both"/>
      </w:pPr>
      <w:r>
        <w:rPr>
          <w:b w:val="0"/>
          <w:i w:val="0"/>
        </w:rPr>
        <w:t>La magnitud importa por una razón operativa concreta: un clasificador que prediga "benigno" siempre acierta el 99,9% de las veces. Cualquier métrica basada en tasa de acierto es inútil aquí, y cualquier modelo entrenado sin ajustar por el desbalance está expuesto a degenerar. La sección 7 muestra que eso ocurre, y de una forma menos evidente que la esperada.</w:t>
      </w:r>
    </w:p>
    <w:p>
      <w:pPr>
        <w:pStyle w:val="Heading2"/>
      </w:pPr>
      <w:r>
        <w:rPr>
          <w:b w:val="0"/>
          <w:i w:val="0"/>
        </w:rPr>
        <w:t>4.2 Estructura de grupos: el hallazgo que condiciona todo el diseño</w:t>
      </w:r>
    </w:p>
    <w:p>
      <w:pPr>
        <w:jc w:val="both"/>
      </w:pPr>
      <w:r>
        <w:rPr>
          <w:b w:val="0"/>
          <w:i w:val="0"/>
        </w:rPr>
        <w:t xml:space="preserve">Las 401.059 lesiones provienen de </w:t>
      </w:r>
      <w:r>
        <w:rPr>
          <w:b/>
          <w:i w:val="0"/>
        </w:rPr>
        <w:t>1.042 pacientes</w:t>
      </w:r>
      <w:r>
        <w:rPr>
          <w:b w:val="0"/>
          <w:i w:val="0"/>
        </w:rPr>
        <w:t xml:space="preserve"> </w:t>
      </w:r>
      <w:r>
        <w:rPr>
          <w:rFonts w:ascii="Menlo" w:hAnsi="Menlo"/>
          <w:b w:val="0"/>
          <w:i w:val="0"/>
          <w:sz w:val="19"/>
        </w:rPr>
        <w:t>[T6]</w:t>
      </w:r>
      <w:r>
        <w:rPr>
          <w:b w:val="0"/>
          <w:i w:val="0"/>
        </w:rPr>
        <w:t xml:space="preserve">. El promedio es de </w:t>
      </w:r>
      <w:r>
        <w:rPr>
          <w:b/>
          <w:i w:val="0"/>
        </w:rPr>
        <w:t>384,89 lesiones por paciente</w:t>
      </w:r>
      <w:r>
        <w:rPr>
          <w:b w:val="0"/>
          <w:i w:val="0"/>
        </w:rPr>
        <w:t xml:space="preserve"> </w:t>
      </w:r>
      <w:r>
        <w:rPr>
          <w:rFonts w:ascii="Menlo" w:hAnsi="Menlo"/>
          <w:b w:val="0"/>
          <w:i w:val="0"/>
          <w:sz w:val="19"/>
        </w:rPr>
        <w:t>[T7]</w:t>
      </w:r>
      <w:r>
        <w:rPr>
          <w:b w:val="0"/>
          <w:i w:val="0"/>
        </w:rPr>
        <w:t xml:space="preserve">, con mediana </w:t>
      </w:r>
      <w:r>
        <w:rPr>
          <w:b/>
          <w:i w:val="0"/>
        </w:rPr>
        <w:t>241,5</w:t>
      </w:r>
      <w:r>
        <w:rPr>
          <w:b w:val="0"/>
          <w:i w:val="0"/>
        </w:rPr>
        <w:t xml:space="preserve"> </w:t>
      </w:r>
      <w:r>
        <w:rPr>
          <w:rFonts w:ascii="Menlo" w:hAnsi="Menlo"/>
          <w:b w:val="0"/>
          <w:i w:val="0"/>
          <w:sz w:val="19"/>
        </w:rPr>
        <w:t>[T8]</w:t>
      </w:r>
      <w:r>
        <w:rPr>
          <w:b w:val="0"/>
          <w:i w:val="0"/>
        </w:rPr>
        <w:t xml:space="preserve"> y un máximo de </w:t>
      </w:r>
      <w:r>
        <w:rPr>
          <w:b/>
          <w:i w:val="0"/>
        </w:rPr>
        <w:t>9.184</w:t>
      </w:r>
      <w:r>
        <w:rPr>
          <w:b w:val="0"/>
          <w:i w:val="0"/>
        </w:rPr>
        <w:t xml:space="preserve"> </w:t>
      </w:r>
      <w:r>
        <w:rPr>
          <w:rFonts w:ascii="Menlo" w:hAnsi="Menlo"/>
          <w:b w:val="0"/>
          <w:i w:val="0"/>
          <w:sz w:val="19"/>
        </w:rPr>
        <w:t>[T9]</w:t>
      </w:r>
      <w:r>
        <w:rPr>
          <w:b w:val="0"/>
          <w:i w:val="0"/>
        </w:rPr>
        <w:t xml:space="preserve"> en un solo paciente.</w:t>
      </w:r>
    </w:p>
    <w:p>
      <w:pPr>
        <w:jc w:val="both"/>
      </w:pPr>
      <w:r>
        <w:rPr>
          <w:b w:val="0"/>
          <w:i w:val="0"/>
        </w:rPr>
        <w:t>Esto no es un dato descriptivo: es una restricción de diseño. Con ese promedio de lesiones por paciente, las del mismo individuo comparten características de piel, edad, tipo de captura y sesgo del centro. Si caen a ambos lados de una partición, el modelo reconoce al paciente, no a la patología. La sección 5 lo cuantifica.</w:t>
      </w:r>
    </w:p>
    <w:p>
      <w:pPr>
        <w:pStyle w:val="Heading2"/>
      </w:pPr>
      <w:r>
        <w:rPr>
          <w:b w:val="0"/>
          <w:i w:val="0"/>
        </w:rPr>
        <w:t>4.3 Datos faltantes y calidad</w:t>
      </w:r>
    </w:p>
    <w:p>
      <w:pPr>
        <w:jc w:val="both"/>
      </w:pPr>
      <w:r>
        <w:rPr>
          <w:b w:val="0"/>
          <w:i w:val="0"/>
        </w:rPr>
        <w:t xml:space="preserve">Diez columnas tienen al menos un valor faltante. Entre las clínicamente relevantes: </w:t>
      </w:r>
      <w:r>
        <w:rPr>
          <w:rFonts w:ascii="Menlo" w:hAnsi="Menlo"/>
          <w:b w:val="0"/>
          <w:i w:val="0"/>
          <w:sz w:val="19"/>
        </w:rPr>
        <w:t>sex</w:t>
      </w:r>
      <w:r>
        <w:rPr>
          <w:b w:val="0"/>
          <w:i w:val="0"/>
        </w:rPr>
        <w:t xml:space="preserve"> con </w:t>
      </w:r>
      <w:r>
        <w:rPr>
          <w:b/>
          <w:i w:val="0"/>
        </w:rPr>
        <w:t>11.517</w:t>
      </w:r>
      <w:r>
        <w:rPr>
          <w:b w:val="0"/>
          <w:i w:val="0"/>
        </w:rPr>
        <w:t xml:space="preserve"> ausentes (</w:t>
      </w:r>
      <w:r>
        <w:rPr>
          <w:b/>
          <w:i w:val="0"/>
        </w:rPr>
        <w:t>2,872%</w:t>
      </w:r>
      <w:r>
        <w:rPr>
          <w:b w:val="0"/>
          <w:i w:val="0"/>
        </w:rPr>
        <w:t xml:space="preserve">) </w:t>
      </w:r>
      <w:r>
        <w:rPr>
          <w:rFonts w:ascii="Menlo" w:hAnsi="Menlo"/>
          <w:b w:val="0"/>
          <w:i w:val="0"/>
          <w:sz w:val="19"/>
        </w:rPr>
        <w:t>[T13]</w:t>
      </w:r>
      <w:r>
        <w:rPr>
          <w:b w:val="0"/>
          <w:i w:val="0"/>
        </w:rPr>
        <w:t xml:space="preserve">, </w:t>
      </w:r>
      <w:r>
        <w:rPr>
          <w:rFonts w:ascii="Menlo" w:hAnsi="Menlo"/>
          <w:b w:val="0"/>
          <w:i w:val="0"/>
          <w:sz w:val="19"/>
        </w:rPr>
        <w:t>anatom_site_general</w:t>
      </w:r>
      <w:r>
        <w:rPr>
          <w:b w:val="0"/>
          <w:i w:val="0"/>
        </w:rPr>
        <w:t xml:space="preserve"> con </w:t>
      </w:r>
      <w:r>
        <w:rPr>
          <w:b/>
          <w:i w:val="0"/>
        </w:rPr>
        <w:t>5.756</w:t>
      </w:r>
      <w:r>
        <w:rPr>
          <w:b w:val="0"/>
          <w:i w:val="0"/>
        </w:rPr>
        <w:t xml:space="preserve"> (</w:t>
      </w:r>
      <w:r>
        <w:rPr>
          <w:b/>
          <w:i w:val="0"/>
        </w:rPr>
        <w:t>1,435%</w:t>
      </w:r>
      <w:r>
        <w:rPr>
          <w:b w:val="0"/>
          <w:i w:val="0"/>
        </w:rPr>
        <w:t xml:space="preserve">) </w:t>
      </w:r>
      <w:r>
        <w:rPr>
          <w:rFonts w:ascii="Menlo" w:hAnsi="Menlo"/>
          <w:b w:val="0"/>
          <w:i w:val="0"/>
          <w:sz w:val="19"/>
        </w:rPr>
        <w:t>[T14]</w:t>
      </w:r>
      <w:r>
        <w:rPr>
          <w:b w:val="0"/>
          <w:i w:val="0"/>
        </w:rPr>
        <w:t xml:space="preserve">, y </w:t>
      </w:r>
      <w:r>
        <w:rPr>
          <w:rFonts w:ascii="Menlo" w:hAnsi="Menlo"/>
          <w:b w:val="0"/>
          <w:i w:val="0"/>
          <w:sz w:val="19"/>
        </w:rPr>
        <w:t>age_approx</w:t>
      </w:r>
      <w:r>
        <w:rPr>
          <w:b w:val="0"/>
          <w:i w:val="0"/>
        </w:rPr>
        <w:t xml:space="preserve"> con </w:t>
      </w:r>
      <w:r>
        <w:rPr>
          <w:b/>
          <w:i w:val="0"/>
        </w:rPr>
        <w:t>2.798</w:t>
      </w:r>
      <w:r>
        <w:rPr>
          <w:b w:val="0"/>
          <w:i w:val="0"/>
        </w:rPr>
        <w:t xml:space="preserve"> (</w:t>
      </w:r>
      <w:r>
        <w:rPr>
          <w:b/>
          <w:i w:val="0"/>
        </w:rPr>
        <w:t>0,698%</w:t>
      </w:r>
      <w:r>
        <w:rPr>
          <w:b w:val="0"/>
          <w:i w:val="0"/>
        </w:rPr>
        <w:t xml:space="preserve">) </w:t>
      </w:r>
      <w:r>
        <w:rPr>
          <w:rFonts w:ascii="Menlo" w:hAnsi="Menlo"/>
          <w:b w:val="0"/>
          <w:i w:val="0"/>
          <w:sz w:val="19"/>
        </w:rPr>
        <w:t>[T15]</w:t>
      </w:r>
      <w:r>
        <w:rPr>
          <w:b w:val="0"/>
          <w:i w:val="0"/>
        </w:rPr>
        <w:t>.</w:t>
      </w:r>
    </w:p>
    <w:p>
      <w:pPr>
        <w:jc w:val="both"/>
      </w:pPr>
      <w:r>
        <w:rPr>
          <w:b w:val="0"/>
          <w:i w:val="0"/>
        </w:rPr>
        <w:t>Las demás columnas con faltantes masivos —</w:t>
      </w:r>
      <w:r>
        <w:rPr>
          <w:rFonts w:ascii="Menlo" w:hAnsi="Menlo"/>
          <w:b w:val="0"/>
          <w:i w:val="0"/>
          <w:sz w:val="19"/>
        </w:rPr>
        <w:t>lesion_id</w:t>
      </w:r>
      <w:r>
        <w:rPr>
          <w:b w:val="0"/>
          <w:i w:val="0"/>
        </w:rPr>
        <w:t xml:space="preserve">, </w:t>
      </w:r>
      <w:r>
        <w:rPr>
          <w:rFonts w:ascii="Menlo" w:hAnsi="Menlo"/>
          <w:b w:val="0"/>
          <w:i w:val="0"/>
          <w:sz w:val="19"/>
        </w:rPr>
        <w:t>iddx_2</w:t>
      </w:r>
      <w:r>
        <w:rPr>
          <w:b w:val="0"/>
          <w:i w:val="0"/>
        </w:rPr>
        <w:t xml:space="preserve"> a </w:t>
      </w:r>
      <w:r>
        <w:rPr>
          <w:rFonts w:ascii="Menlo" w:hAnsi="Menlo"/>
          <w:b w:val="0"/>
          <w:i w:val="0"/>
          <w:sz w:val="19"/>
        </w:rPr>
        <w:t>iddx_5</w:t>
      </w:r>
      <w:r>
        <w:rPr>
          <w:b w:val="0"/>
          <w:i w:val="0"/>
        </w:rPr>
        <w:t xml:space="preserve">, </w:t>
      </w:r>
      <w:r>
        <w:rPr>
          <w:rFonts w:ascii="Menlo" w:hAnsi="Menlo"/>
          <w:b w:val="0"/>
          <w:i w:val="0"/>
          <w:sz w:val="19"/>
        </w:rPr>
        <w:t>mel_mitotic_index</w:t>
      </w:r>
      <w:r>
        <w:rPr>
          <w:b w:val="0"/>
          <w:i w:val="0"/>
        </w:rPr>
        <w:t xml:space="preserve">, </w:t>
      </w:r>
      <w:r>
        <w:rPr>
          <w:rFonts w:ascii="Menlo" w:hAnsi="Menlo"/>
          <w:b w:val="0"/>
          <w:i w:val="0"/>
          <w:sz w:val="19"/>
        </w:rPr>
        <w:t>mel_thick_mm</w:t>
      </w:r>
      <w:r>
        <w:rPr>
          <w:b w:val="0"/>
          <w:i w:val="0"/>
        </w:rPr>
        <w:t>— son precisamente las que la auditoría de fugas excluye (sección 6). Su ausencia no es un problema de calidad de datos: es la huella de que solo existen para un subconjunto diagnosticado.</w:t>
      </w:r>
    </w:p>
    <w:p>
      <w:pPr>
        <w:jc w:val="both"/>
      </w:pPr>
      <w:r>
        <w:rPr>
          <w:b/>
          <w:i w:val="0"/>
        </w:rPr>
        <w:t>Duplicados exactos: 0</w:t>
      </w:r>
      <w:r>
        <w:rPr>
          <w:b w:val="0"/>
          <w:i w:val="0"/>
        </w:rPr>
        <w:t xml:space="preserve"> </w:t>
      </w:r>
      <w:r>
        <w:rPr>
          <w:rFonts w:ascii="Menlo" w:hAnsi="Menlo"/>
          <w:b w:val="0"/>
          <w:i w:val="0"/>
          <w:sz w:val="19"/>
        </w:rPr>
        <w:t>[T12]</w:t>
      </w:r>
      <w:r>
        <w:rPr>
          <w:b w:val="0"/>
          <w:i w:val="0"/>
        </w:rPr>
        <w:t xml:space="preserve">, excluyendo del cotejo las dos columnas identificadoras </w:t>
      </w:r>
      <w:r>
        <w:rPr>
          <w:rFonts w:ascii="Menlo" w:hAnsi="Menlo"/>
          <w:b w:val="0"/>
          <w:i w:val="0"/>
          <w:sz w:val="19"/>
        </w:rPr>
        <w:t>isic_id</w:t>
      </w:r>
      <w:r>
        <w:rPr>
          <w:b w:val="0"/>
          <w:i w:val="0"/>
        </w:rPr>
        <w:t xml:space="preserve"> y </w:t>
      </w:r>
      <w:r>
        <w:rPr>
          <w:rFonts w:ascii="Menlo" w:hAnsi="Menlo"/>
          <w:b w:val="0"/>
          <w:i w:val="0"/>
          <w:sz w:val="19"/>
        </w:rPr>
        <w:t>lesion_id</w:t>
      </w:r>
      <w:r>
        <w:rPr>
          <w:b w:val="0"/>
          <w:i w:val="0"/>
        </w:rPr>
        <w:t>. La exclusión no es cosmética: con la clave primaria incluida el chequeo no podía detectar nada.</w:t>
      </w:r>
    </w:p>
    <w:p>
      <w:pPr>
        <w:jc w:val="both"/>
      </w:pPr>
      <w:r>
        <w:rPr>
          <w:b/>
          <w:i w:val="0"/>
        </w:rPr>
        <w:t>Una columna constante:</w:t>
      </w:r>
      <w:r>
        <w:rPr>
          <w:b w:val="0"/>
          <w:i w:val="0"/>
        </w:rPr>
        <w:t xml:space="preserve"> </w:t>
      </w:r>
      <w:r>
        <w:rPr>
          <w:rFonts w:ascii="Menlo" w:hAnsi="Menlo"/>
          <w:b w:val="0"/>
          <w:i w:val="0"/>
          <w:sz w:val="19"/>
        </w:rPr>
        <w:t>image_type</w:t>
      </w:r>
      <w:r>
        <w:rPr>
          <w:b w:val="0"/>
          <w:i w:val="0"/>
        </w:rPr>
        <w:t>. Sin valor informativo; se excluye del modelado.</w:t>
      </w:r>
    </w:p>
    <w:p>
      <w:pPr>
        <w:pStyle w:val="Heading1"/>
      </w:pPr>
      <w:r>
        <w:rPr>
          <w:b w:val="0"/>
          <w:i w:val="0"/>
        </w:rPr>
        <w:t>5. Diseño de validación: cuantificar lo que se evitó</w:t>
      </w:r>
    </w:p>
    <w:p>
      <w:pPr>
        <w:jc w:val="both"/>
      </w:pPr>
      <w:r>
        <w:rPr>
          <w:b w:val="0"/>
          <w:i w:val="0"/>
        </w:rPr>
        <w:t xml:space="preserve">Fuente: </w:t>
      </w:r>
      <w:r>
        <w:rPr>
          <w:rFonts w:ascii="Menlo" w:hAnsi="Menlo"/>
          <w:b w:val="0"/>
          <w:i w:val="0"/>
          <w:sz w:val="19"/>
        </w:rPr>
        <w:t>outputs/diseno-validacion.json</w:t>
      </w:r>
      <w:r>
        <w:rPr>
          <w:b w:val="0"/>
          <w:i w:val="0"/>
        </w:rPr>
        <w:t>.</w:t>
      </w:r>
    </w:p>
    <w:p>
      <w:pPr>
        <w:pStyle w:val="Heading2"/>
      </w:pPr>
      <w:r>
        <w:rPr>
          <w:b w:val="0"/>
          <w:i w:val="0"/>
        </w:rPr>
        <w:t>5.1 El esquema</w:t>
      </w:r>
    </w:p>
    <w:p>
      <w:pPr>
        <w:jc w:val="both"/>
      </w:pPr>
      <w:r>
        <w:rPr>
          <w:b w:val="0"/>
          <w:i w:val="0"/>
        </w:rPr>
        <w:t xml:space="preserve">Se construyó una partición </w:t>
      </w:r>
      <w:r>
        <w:rPr>
          <w:b/>
          <w:i w:val="0"/>
        </w:rPr>
        <w:t>StratifiedGroupKFold</w:t>
      </w:r>
      <w:r>
        <w:rPr>
          <w:b w:val="0"/>
          <w:i w:val="0"/>
        </w:rPr>
        <w:t xml:space="preserve"> </w:t>
      </w:r>
      <w:r>
        <w:rPr>
          <w:rFonts w:ascii="Menlo" w:hAnsi="Menlo"/>
          <w:b w:val="0"/>
          <w:i w:val="0"/>
          <w:sz w:val="19"/>
        </w:rPr>
        <w:t>[T16]</w:t>
      </w:r>
      <w:r>
        <w:rPr>
          <w:b w:val="0"/>
          <w:i w:val="0"/>
        </w:rPr>
        <w:t xml:space="preserve"> con </w:t>
      </w:r>
      <w:r>
        <w:rPr>
          <w:b/>
          <w:i w:val="0"/>
        </w:rPr>
        <w:t>5 folds</w:t>
      </w:r>
      <w:r>
        <w:rPr>
          <w:b w:val="0"/>
          <w:i w:val="0"/>
        </w:rPr>
        <w:t xml:space="preserve"> </w:t>
      </w:r>
      <w:r>
        <w:rPr>
          <w:rFonts w:ascii="Menlo" w:hAnsi="Menlo"/>
          <w:b w:val="0"/>
          <w:i w:val="0"/>
          <w:sz w:val="19"/>
        </w:rPr>
        <w:t>[T17]</w:t>
      </w:r>
      <w:r>
        <w:rPr>
          <w:b w:val="0"/>
          <w:i w:val="0"/>
        </w:rPr>
        <w:t xml:space="preserve"> y semilla </w:t>
      </w:r>
      <w:r>
        <w:rPr>
          <w:b/>
          <w:i w:val="0"/>
        </w:rPr>
        <w:t>42</w:t>
      </w:r>
      <w:r>
        <w:rPr>
          <w:b w:val="0"/>
          <w:i w:val="0"/>
        </w:rPr>
        <w:t xml:space="preserve"> </w:t>
      </w:r>
      <w:r>
        <w:rPr>
          <w:rFonts w:ascii="Menlo" w:hAnsi="Menlo"/>
          <w:b w:val="0"/>
          <w:i w:val="0"/>
          <w:sz w:val="19"/>
        </w:rPr>
        <w:t>[T18b]</w:t>
      </w:r>
      <w:r>
        <w:rPr>
          <w:b w:val="0"/>
          <w:i w:val="0"/>
        </w:rPr>
        <w:t xml:space="preserve">, agrupando por </w:t>
      </w:r>
      <w:r>
        <w:rPr>
          <w:rFonts w:ascii="Menlo" w:hAnsi="Menlo"/>
          <w:b w:val="0"/>
          <w:i w:val="0"/>
          <w:sz w:val="19"/>
        </w:rPr>
        <w:t>patient_id</w:t>
      </w:r>
      <w:r>
        <w:rPr>
          <w:b w:val="0"/>
          <w:i w:val="0"/>
        </w:rPr>
        <w:t xml:space="preserve"> y estratificando por la etiqueta. La estratificación no es un refinamiento opcional: con 393 positivos repartidos en 1.042 pacientes, un fold sin un solo caso positivo dejaría la métrica indefinida —el script oficial lanza un error si el vector de etiquetas tiene una sola clase.</w:t>
      </w:r>
    </w:p>
    <w:p>
      <w:pPr>
        <w:jc w:val="both"/>
      </w:pPr>
      <w:r>
        <w:rPr>
          <w:b w:val="0"/>
          <w:i w:val="0"/>
        </w:rPr>
        <w:t xml:space="preserve">De los 1.042 pacientes, </w:t>
      </w:r>
      <w:r>
        <w:rPr>
          <w:b/>
          <w:i w:val="0"/>
        </w:rPr>
        <w:t>259 tienen al menos una lesión positiva</w:t>
      </w:r>
      <w:r>
        <w:rPr>
          <w:b w:val="0"/>
          <w:i w:val="0"/>
        </w:rPr>
        <w:t xml:space="preserve"> </w:t>
      </w:r>
      <w:r>
        <w:rPr>
          <w:rFonts w:ascii="Menlo" w:hAnsi="Menlo"/>
          <w:b w:val="0"/>
          <w:i w:val="0"/>
          <w:sz w:val="19"/>
        </w:rPr>
        <w:t>[T19]</w:t>
      </w:r>
      <w:r>
        <w:rPr>
          <w:b w:val="0"/>
          <w:i w:val="0"/>
        </w:rPr>
        <w:t>.</w:t>
      </w:r>
    </w:p>
    <w:p>
      <w:pPr>
        <w:pStyle w:val="Heading2"/>
      </w:pPr>
      <w:r>
        <w:rPr>
          <w:b w:val="0"/>
          <w:i w:val="0"/>
        </w:rPr>
        <w:t>5.2 La verificación, que es el punto</w:t>
      </w:r>
    </w:p>
    <w:p>
      <w:pPr>
        <w:jc w:val="both"/>
      </w:pPr>
      <w:r>
        <w:rPr>
          <w:b w:val="0"/>
          <w:i w:val="0"/>
        </w:rPr>
        <w:t xml:space="preserve">El instrumento no asume que la partición esté bien construida: lo comprueba de forma independiente, buscando si algún paciente aparece simultáneamente en entrenamiento y validación dentro del mismo fold. Resultado: </w:t>
      </w:r>
      <w:r>
        <w:rPr>
          <w:b/>
          <w:i w:val="0"/>
        </w:rPr>
        <w:t>ninguno</w:t>
      </w:r>
      <w:r>
        <w:rPr>
          <w:b w:val="0"/>
          <w:i w:val="0"/>
        </w:rPr>
        <w:t xml:space="preserve"> </w:t>
      </w:r>
      <w:r>
        <w:rPr>
          <w:rFonts w:ascii="Menlo" w:hAnsi="Menlo"/>
          <w:b w:val="0"/>
          <w:i w:val="0"/>
          <w:sz w:val="19"/>
        </w:rPr>
        <w:t>[T20]</w:t>
      </w:r>
      <w:r>
        <w:rPr>
          <w:b w:val="0"/>
          <w:i w:val="0"/>
        </w:rPr>
        <w:t>.</w:t>
      </w:r>
    </w:p>
    <w:p>
      <w:pPr>
        <w:jc w:val="both"/>
      </w:pPr>
      <w:r>
        <w:rPr>
          <w:b w:val="0"/>
          <w:i w:val="0"/>
        </w:rPr>
        <w:t xml:space="preserve">Ese </w:t>
      </w:r>
      <w:r>
        <w:rPr>
          <w:rFonts w:ascii="Menlo" w:hAnsi="Menlo"/>
          <w:b w:val="0"/>
          <w:i w:val="0"/>
          <w:sz w:val="19"/>
        </w:rPr>
        <w:t>false</w:t>
      </w:r>
      <w:r>
        <w:rPr>
          <w:b w:val="0"/>
          <w:i w:val="0"/>
        </w:rPr>
        <w:t xml:space="preserve"> es el resultado esperado, y ahí está su valor. Un chequeo que solo puede dar el resultado bueno no vale nada, así que se verificó también al revés: corrompiendo deliberadamente la asignación de un paciente, el detector cambia a </w:t>
      </w:r>
      <w:r>
        <w:rPr>
          <w:rFonts w:ascii="Menlo" w:hAnsi="Menlo"/>
          <w:b w:val="0"/>
          <w:i w:val="0"/>
          <w:sz w:val="19"/>
        </w:rPr>
        <w:t>true</w:t>
      </w:r>
      <w:r>
        <w:rPr>
          <w:b w:val="0"/>
          <w:i w:val="0"/>
        </w:rPr>
        <w:t xml:space="preserve">. Solo entonces el </w:t>
      </w:r>
      <w:r>
        <w:rPr>
          <w:rFonts w:ascii="Menlo" w:hAnsi="Menlo"/>
          <w:b w:val="0"/>
          <w:i w:val="0"/>
          <w:sz w:val="19"/>
        </w:rPr>
        <w:t>false</w:t>
      </w:r>
      <w:r>
        <w:rPr>
          <w:b w:val="0"/>
          <w:i w:val="0"/>
        </w:rPr>
        <w:t xml:space="preserve"> significa algo.</w:t>
      </w:r>
    </w:p>
    <w:p>
      <w:pPr>
        <w:pStyle w:val="Heading2"/>
      </w:pPr>
      <w:r>
        <w:rPr>
          <w:b w:val="0"/>
          <w:i w:val="0"/>
        </w:rPr>
        <w:t>5.3 La cifra central: cuánta fuga se evitó</w:t>
      </w:r>
    </w:p>
    <w:p>
      <w:pPr>
        <w:jc w:val="both"/>
      </w:pPr>
      <w:r>
        <w:rPr>
          <w:b w:val="0"/>
          <w:i w:val="0"/>
        </w:rPr>
        <w:t xml:space="preserve">El instrumento corre además una partición aleatoria a nivel de fila —el 80/20 por defecto de cualquier tutorial—, con la misma semilla, ignorando la columna de paciente. Resultado: </w:t>
      </w:r>
      <w:r>
        <w:rPr>
          <w:b/>
          <w:i w:val="0"/>
        </w:rPr>
        <w:t>1.032 de los 1.042 pacientes</w:t>
      </w:r>
      <w:r>
        <w:rPr>
          <w:b w:val="0"/>
          <w:i w:val="0"/>
        </w:rPr>
        <w:t xml:space="preserve"> </w:t>
      </w:r>
      <w:r>
        <w:rPr>
          <w:rFonts w:ascii="Menlo" w:hAnsi="Menlo"/>
          <w:b w:val="0"/>
          <w:i w:val="0"/>
          <w:sz w:val="19"/>
        </w:rPr>
        <w:t>[T21]</w:t>
      </w:r>
      <w:r>
        <w:rPr>
          <w:b w:val="0"/>
          <w:i w:val="0"/>
        </w:rPr>
        <w:t xml:space="preserve">, un </w:t>
      </w:r>
      <w:r>
        <w:rPr>
          <w:b/>
          <w:i w:val="0"/>
        </w:rPr>
        <w:t>99,04%</w:t>
      </w:r>
      <w:r>
        <w:rPr>
          <w:b w:val="0"/>
          <w:i w:val="0"/>
        </w:rPr>
        <w:t xml:space="preserve"> </w:t>
      </w:r>
      <w:r>
        <w:rPr>
          <w:rFonts w:ascii="Menlo" w:hAnsi="Menlo"/>
          <w:b w:val="0"/>
          <w:i w:val="0"/>
          <w:sz w:val="19"/>
        </w:rPr>
        <w:t>[T18]</w:t>
      </w:r>
      <w:r>
        <w:rPr>
          <w:b w:val="0"/>
          <w:i w:val="0"/>
        </w:rPr>
        <w:t>, quedarían repartidos entre entrenamiento y validación.</w:t>
      </w:r>
    </w:p>
    <w:p>
      <w:pPr>
        <w:jc w:val="both"/>
      </w:pPr>
      <w:r>
        <w:rPr>
          <w:b w:val="0"/>
          <w:i w:val="0"/>
        </w:rPr>
        <w:t xml:space="preserve">Esta es la evidencia central de la sección y merece leerse despacio. No es que partir al azar sea </w:t>
      </w:r>
      <w:r>
        <w:rPr>
          <w:b w:val="0"/>
          <w:i/>
        </w:rPr>
        <w:t>arriesgado</w:t>
      </w:r>
      <w:r>
        <w:rPr>
          <w:b w:val="0"/>
          <w:i w:val="0"/>
        </w:rPr>
        <w:t xml:space="preserve">: es que en este dataset la fuga por partición aleatoria </w:t>
      </w:r>
      <w:r>
        <w:rPr>
          <w:b/>
          <w:i w:val="0"/>
        </w:rPr>
        <w:t>es el caso por defecto</w:t>
      </w:r>
      <w:r>
        <w:rPr>
          <w:b w:val="0"/>
          <w:i w:val="0"/>
        </w:rPr>
        <w:t>, y afecta a prácticamente todos los pacientes. Cualquier número producido bajo ese esquema —y buena parte de los notebooks públicos de una competición así lo usan— mide la capacidad del modelo de reconocer pacientes vistos, no lesiones malignas.</w:t>
      </w:r>
    </w:p>
    <w:p>
      <w:pPr>
        <w:pStyle w:val="Heading2"/>
      </w:pPr>
      <w:r>
        <w:rPr>
          <w:b w:val="0"/>
          <w:i w:val="0"/>
        </w:rPr>
        <w:t>5.4 Balance de los folds</w:t>
      </w:r>
    </w:p>
    <w:p>
      <w:pPr>
        <w:jc w:val="both"/>
      </w:pPr>
      <w:r>
        <w:rPr>
          <w:b w:val="0"/>
          <w:i w:val="0"/>
        </w:rPr>
        <w:t xml:space="preserve">Los positivos en validación por fold son </w:t>
      </w:r>
      <w:r>
        <w:rPr>
          <w:b/>
          <w:i w:val="0"/>
        </w:rPr>
        <w:t>78, 78, 83, 77 y 77</w:t>
      </w:r>
      <w:r>
        <w:rPr>
          <w:b w:val="0"/>
          <w:i w:val="0"/>
        </w:rPr>
        <w:t xml:space="preserve"> </w:t>
      </w:r>
      <w:r>
        <w:rPr>
          <w:rFonts w:ascii="Menlo" w:hAnsi="Menlo"/>
          <w:b w:val="0"/>
          <w:i w:val="0"/>
          <w:sz w:val="19"/>
        </w:rPr>
        <w:t>[T22]</w:t>
      </w:r>
      <w:r>
        <w:rPr>
          <w:b w:val="0"/>
          <w:i w:val="0"/>
        </w:rPr>
        <w:t xml:space="preserve">, sobre particiones de entre </w:t>
      </w:r>
      <w:r>
        <w:rPr>
          <w:b/>
          <w:i w:val="0"/>
        </w:rPr>
        <w:t>80.210 y 80.216 filas</w:t>
      </w:r>
      <w:r>
        <w:rPr>
          <w:b w:val="0"/>
          <w:i w:val="0"/>
        </w:rPr>
        <w:t xml:space="preserve"> </w:t>
      </w:r>
      <w:r>
        <w:rPr>
          <w:rFonts w:ascii="Menlo" w:hAnsi="Menlo"/>
          <w:b w:val="0"/>
          <w:i w:val="0"/>
          <w:sz w:val="19"/>
        </w:rPr>
        <w:t>[T23]</w:t>
      </w:r>
      <w:r>
        <w:rPr>
          <w:b w:val="0"/>
          <w:i w:val="0"/>
        </w:rPr>
        <w:t xml:space="preserve">. El reparto es razonablemente uniforme, pero la cifra absoluta —entre 77 y 83 casos positivos por fold </w:t>
      </w:r>
      <w:r>
        <w:rPr>
          <w:rFonts w:ascii="Menlo" w:hAnsi="Menlo"/>
          <w:b w:val="0"/>
          <w:i w:val="0"/>
          <w:sz w:val="19"/>
        </w:rPr>
        <w:t>[T22]</w:t>
      </w:r>
      <w:r>
        <w:rPr>
          <w:b w:val="0"/>
          <w:i w:val="0"/>
        </w:rPr>
        <w:t>— es pequeña, y condiciona cuánta precisión puede tener cualquier estimación de desempeño. Se retoma en la sección 7.3.</w:t>
      </w:r>
    </w:p>
    <w:p>
      <w:pPr>
        <w:pStyle w:val="Heading1"/>
      </w:pPr>
      <w:r>
        <w:rPr>
          <w:b w:val="0"/>
          <w:i w:val="0"/>
        </w:rPr>
        <w:t>6. Auditoría de fugas</w:t>
      </w:r>
    </w:p>
    <w:p>
      <w:pPr>
        <w:jc w:val="both"/>
      </w:pPr>
      <w:r>
        <w:rPr>
          <w:b w:val="0"/>
          <w:i w:val="0"/>
        </w:rPr>
        <w:t xml:space="preserve">Fuente: </w:t>
      </w:r>
      <w:r>
        <w:rPr>
          <w:rFonts w:ascii="Menlo" w:hAnsi="Menlo"/>
          <w:b w:val="0"/>
          <w:i w:val="0"/>
          <w:sz w:val="19"/>
        </w:rPr>
        <w:t>outputs/auditoria-de-fugas.json</w:t>
      </w:r>
      <w:r>
        <w:rPr>
          <w:b w:val="0"/>
          <w:i w:val="0"/>
        </w:rPr>
        <w:t>.</w:t>
      </w:r>
    </w:p>
    <w:p>
      <w:pPr>
        <w:pStyle w:val="Heading2"/>
      </w:pPr>
      <w:r>
        <w:rPr>
          <w:b w:val="0"/>
          <w:i w:val="0"/>
        </w:rPr>
        <w:t>6.1 Fuga estructural: once columnas que no existen al predecir</w:t>
      </w:r>
    </w:p>
    <w:p>
      <w:pPr>
        <w:jc w:val="both"/>
      </w:pPr>
      <w:r>
        <w:rPr>
          <w:b w:val="0"/>
          <w:i w:val="0"/>
        </w:rPr>
        <w:t xml:space="preserve">El conjunto de entrenamiento tiene once columnas que el de prueba no tiene </w:t>
      </w:r>
      <w:r>
        <w:rPr>
          <w:rFonts w:ascii="Menlo" w:hAnsi="Menlo"/>
          <w:b w:val="0"/>
          <w:i w:val="0"/>
          <w:sz w:val="19"/>
        </w:rPr>
        <w:t>[T10]</w:t>
      </w:r>
      <w:r>
        <w:rPr>
          <w:b w:val="0"/>
          <w:i w:val="0"/>
        </w:rPr>
        <w:t>. No son una anomalía menor: son la mayor fuente de fuga del caso, y se agrupan en tres familias con implicaciones distintas.</w:t>
      </w:r>
    </w:p>
    <w:tbl>
      <w:tblPr>
        <w:tblStyle w:val="TableGrid"/>
        <w:tblW w:type="auto" w:w="0"/>
        <w:tblLayout w:type="fixed"/>
        <w:tblLook w:firstColumn="1" w:firstRow="1" w:lastColumn="0" w:lastRow="0" w:noHBand="0" w:noVBand="1" w:val="04A0"/>
      </w:tblPr>
      <w:tblGrid>
        <w:gridCol w:w="3216"/>
        <w:gridCol w:w="3216"/>
        <w:gridCol w:w="3216"/>
      </w:tblGrid>
      <w:tr>
        <w:tc>
          <w:tcPr>
            <w:tcW w:type="dxa" w:w="1855"/>
          </w:tcPr>
          <w:p>
            <w:r>
              <w:rPr>
                <w:b/>
              </w:rPr>
            </w:r>
            <w:r>
              <w:rPr>
                <w:b/>
                <w:i w:val="0"/>
              </w:rPr>
              <w:t>Familia</w:t>
            </w:r>
          </w:p>
        </w:tc>
        <w:tc>
          <w:tcPr>
            <w:tcW w:type="dxa" w:w="3191"/>
          </w:tcPr>
          <w:p>
            <w:r>
              <w:rPr>
                <w:b/>
              </w:rPr>
            </w:r>
            <w:r>
              <w:rPr>
                <w:b/>
                <w:i w:val="0"/>
              </w:rPr>
              <w:t>Columnas</w:t>
            </w:r>
          </w:p>
        </w:tc>
        <w:tc>
          <w:tcPr>
            <w:tcW w:type="dxa" w:w="4601"/>
          </w:tcPr>
          <w:p>
            <w:r>
              <w:rPr>
                <w:b/>
              </w:rPr>
            </w:r>
            <w:r>
              <w:rPr>
                <w:b/>
                <w:i w:val="0"/>
              </w:rPr>
              <w:t>Por qué se excluye</w:t>
            </w:r>
          </w:p>
        </w:tc>
      </w:tr>
      <w:tr>
        <w:tc>
          <w:tcPr>
            <w:tcW w:type="dxa" w:w="1855"/>
          </w:tcPr>
          <w:p>
            <w:r/>
            <w:r>
              <w:rPr>
                <w:b w:val="0"/>
                <w:i w:val="0"/>
              </w:rPr>
              <w:t>Taxonomía diagnóstica</w:t>
            </w:r>
          </w:p>
        </w:tc>
        <w:tc>
          <w:tcPr>
            <w:tcW w:type="dxa" w:w="3191"/>
          </w:tcPr>
          <w:p>
            <w:r/>
            <w:r>
              <w:rPr>
                <w:rFonts w:ascii="Menlo" w:hAnsi="Menlo"/>
                <w:b w:val="0"/>
                <w:i w:val="0"/>
                <w:sz w:val="17"/>
              </w:rPr>
              <w:t>iddx_full</w:t>
            </w:r>
            <w:r>
              <w:rPr>
                <w:b w:val="0"/>
                <w:i w:val="0"/>
              </w:rPr>
              <w:t xml:space="preserve">, </w:t>
            </w:r>
            <w:r>
              <w:rPr>
                <w:rFonts w:ascii="Menlo" w:hAnsi="Menlo"/>
                <w:b w:val="0"/>
                <w:i w:val="0"/>
                <w:sz w:val="17"/>
              </w:rPr>
              <w:t>iddx_1</w:t>
            </w:r>
            <w:r>
              <w:rPr>
                <w:b w:val="0"/>
                <w:i w:val="0"/>
              </w:rPr>
              <w:t xml:space="preserve"> … </w:t>
            </w:r>
            <w:r>
              <w:rPr>
                <w:rFonts w:ascii="Menlo" w:hAnsi="Menlo"/>
                <w:b w:val="0"/>
                <w:i w:val="0"/>
                <w:sz w:val="17"/>
              </w:rPr>
              <w:t>iddx_5</w:t>
            </w:r>
          </w:p>
        </w:tc>
        <w:tc>
          <w:tcPr>
            <w:tcW w:type="dxa" w:w="4601"/>
          </w:tcPr>
          <w:p>
            <w:r/>
            <w:r>
              <w:rPr>
                <w:b w:val="0"/>
                <w:i w:val="0"/>
              </w:rPr>
              <w:t>Es la etiqueta con otro nombre.</w:t>
            </w:r>
          </w:p>
        </w:tc>
      </w:tr>
      <w:tr>
        <w:tc>
          <w:tcPr>
            <w:tcW w:type="dxa" w:w="1855"/>
          </w:tcPr>
          <w:p>
            <w:r/>
            <w:r>
              <w:rPr>
                <w:b w:val="0"/>
                <w:i w:val="0"/>
              </w:rPr>
              <w:t>Variables post-biopsia</w:t>
            </w:r>
          </w:p>
        </w:tc>
        <w:tc>
          <w:tcPr>
            <w:tcW w:type="dxa" w:w="3191"/>
          </w:tcPr>
          <w:p>
            <w:r/>
            <w:r>
              <w:rPr>
                <w:rFonts w:ascii="Menlo" w:hAnsi="Menlo"/>
                <w:b w:val="0"/>
                <w:i w:val="0"/>
                <w:sz w:val="17"/>
              </w:rPr>
              <w:t>mel_mitotic_index</w:t>
            </w:r>
            <w:r>
              <w:rPr>
                <w:b w:val="0"/>
                <w:i w:val="0"/>
              </w:rPr>
              <w:t xml:space="preserve">, </w:t>
            </w:r>
            <w:r>
              <w:rPr>
                <w:rFonts w:ascii="Menlo" w:hAnsi="Menlo"/>
                <w:b w:val="0"/>
                <w:i w:val="0"/>
                <w:sz w:val="17"/>
              </w:rPr>
              <w:t>mel_thick_mm</w:t>
            </w:r>
          </w:p>
        </w:tc>
        <w:tc>
          <w:tcPr>
            <w:tcW w:type="dxa" w:w="4601"/>
          </w:tcPr>
          <w:p>
            <w:r/>
            <w:r>
              <w:rPr>
                <w:b w:val="0"/>
                <w:i w:val="0"/>
              </w:rPr>
              <w:t>Solo existen tras la biopsia, y solo para melanomas. Usarlas es predecir el pasado con información del futuro.</w:t>
            </w:r>
          </w:p>
        </w:tc>
      </w:tr>
      <w:tr>
        <w:tc>
          <w:tcPr>
            <w:tcW w:type="dxa" w:w="1855"/>
          </w:tcPr>
          <w:p>
            <w:r/>
            <w:r>
              <w:rPr>
                <w:b w:val="0"/>
                <w:i w:val="0"/>
              </w:rPr>
              <w:t>Identificador y derivadas</w:t>
            </w:r>
          </w:p>
        </w:tc>
        <w:tc>
          <w:tcPr>
            <w:tcW w:type="dxa" w:w="3191"/>
          </w:tcPr>
          <w:p>
            <w:r/>
            <w:r>
              <w:rPr>
                <w:rFonts w:ascii="Menlo" w:hAnsi="Menlo"/>
                <w:b w:val="0"/>
                <w:i w:val="0"/>
                <w:sz w:val="17"/>
              </w:rPr>
              <w:t>lesion_id</w:t>
            </w:r>
            <w:r>
              <w:rPr>
                <w:b w:val="0"/>
                <w:i w:val="0"/>
              </w:rPr>
              <w:t xml:space="preserve">, </w:t>
            </w:r>
            <w:r>
              <w:rPr>
                <w:rFonts w:ascii="Menlo" w:hAnsi="Menlo"/>
                <w:b w:val="0"/>
                <w:i w:val="0"/>
                <w:sz w:val="17"/>
              </w:rPr>
              <w:t>tbp_lv_dnn_lesion_confidence</w:t>
            </w:r>
          </w:p>
        </w:tc>
        <w:tc>
          <w:tcPr>
            <w:tcW w:type="dxa" w:w="4601"/>
          </w:tcPr>
          <w:p>
            <w:r/>
            <w:r>
              <w:rPr>
                <w:b w:val="0"/>
                <w:i w:val="0"/>
              </w:rPr>
              <w:t>No son post-biopsia, pero al no estar en el conjunto de prueba, un modelo que las use es inservible en inferencia.</w:t>
            </w:r>
          </w:p>
        </w:tc>
      </w:tr>
    </w:tbl>
    <w:p/>
    <w:p>
      <w:pPr>
        <w:jc w:val="both"/>
      </w:pPr>
      <w:r>
        <w:rPr>
          <w:b w:val="0"/>
          <w:i w:val="0"/>
        </w:rPr>
        <w:t xml:space="preserve">La distinción entre las tres familias importa porque </w:t>
      </w:r>
      <w:r>
        <w:rPr>
          <w:b/>
          <w:i w:val="0"/>
        </w:rPr>
        <w:t>el criterio operativo para excluir no es el mismo</w:t>
      </w:r>
      <w:r>
        <w:rPr>
          <w:b w:val="0"/>
          <w:i w:val="0"/>
        </w:rPr>
        <w:t>. Las dos primeras son fuga en sentido estricto: información posterior al evento que se quiere predecir. La tercera no lo es —una puntuación de confianza del sistema de imagen no sabe nada del diagnóstico— pero se excluye igual, por un motivo puramente práctico: no estará disponible cuando haya que predecir de verdad.</w:t>
      </w:r>
    </w:p>
    <w:p>
      <w:pPr>
        <w:jc w:val="both"/>
      </w:pPr>
      <w:r>
        <w:rPr>
          <w:b w:val="0"/>
          <w:i w:val="0"/>
        </w:rPr>
        <w:t>Un consultor que solo repita "estas once columnas tienen fuga" está simplificando. Son once columnas que hay que excluir por tres razones distintas, y solo dos de ellas son fuga.</w:t>
      </w:r>
    </w:p>
    <w:p>
      <w:pPr>
        <w:jc w:val="both"/>
      </w:pPr>
      <w:r>
        <w:rPr>
          <w:b w:val="0"/>
          <w:i w:val="0"/>
        </w:rPr>
        <w:t xml:space="preserve">Se excluyen además </w:t>
      </w:r>
      <w:r>
        <w:rPr>
          <w:rFonts w:ascii="Menlo" w:hAnsi="Menlo"/>
          <w:b w:val="0"/>
          <w:i w:val="0"/>
          <w:sz w:val="19"/>
        </w:rPr>
        <w:t>image_type</w:t>
      </w:r>
      <w:r>
        <w:rPr>
          <w:b w:val="0"/>
          <w:i w:val="0"/>
        </w:rPr>
        <w:t xml:space="preserve">, por constante, e </w:t>
      </w:r>
      <w:r>
        <w:rPr>
          <w:rFonts w:ascii="Menlo" w:hAnsi="Menlo"/>
          <w:b w:val="0"/>
          <w:i w:val="0"/>
          <w:sz w:val="19"/>
        </w:rPr>
        <w:t>isic_id</w:t>
      </w:r>
      <w:r>
        <w:rPr>
          <w:b w:val="0"/>
          <w:i w:val="0"/>
        </w:rPr>
        <w:t xml:space="preserve">, por identificador </w:t>
      </w:r>
      <w:r>
        <w:rPr>
          <w:rFonts w:ascii="Menlo" w:hAnsi="Menlo"/>
          <w:b w:val="0"/>
          <w:i w:val="0"/>
          <w:sz w:val="19"/>
        </w:rPr>
        <w:t>[T24]</w:t>
      </w:r>
      <w:r>
        <w:rPr>
          <w:b w:val="0"/>
          <w:i w:val="0"/>
        </w:rPr>
        <w:t xml:space="preserve">. Quedan </w:t>
      </w:r>
      <w:r>
        <w:rPr>
          <w:b/>
          <w:i w:val="0"/>
        </w:rPr>
        <w:t>41 columnas</w:t>
      </w:r>
      <w:r>
        <w:rPr>
          <w:b w:val="0"/>
          <w:i w:val="0"/>
        </w:rPr>
        <w:t xml:space="preserve"> utilizables </w:t>
      </w:r>
      <w:r>
        <w:rPr>
          <w:rFonts w:ascii="Menlo" w:hAnsi="Menlo"/>
          <w:b w:val="0"/>
          <w:i w:val="0"/>
          <w:sz w:val="19"/>
        </w:rPr>
        <w:t>[T25]</w:t>
      </w:r>
      <w:r>
        <w:rPr>
          <w:b w:val="0"/>
          <w:i w:val="0"/>
        </w:rPr>
        <w:t>.</w:t>
      </w:r>
    </w:p>
    <w:p>
      <w:pPr>
        <w:pStyle w:val="Heading2"/>
      </w:pPr>
      <w:r>
        <w:rPr>
          <w:b w:val="0"/>
          <w:i w:val="0"/>
        </w:rPr>
        <w:t>6.2 Escaneo univariado: ninguna columna delata fuga oculta</w:t>
      </w:r>
    </w:p>
    <w:p>
      <w:pPr>
        <w:jc w:val="both"/>
      </w:pPr>
      <w:r>
        <w:rPr>
          <w:b w:val="0"/>
          <w:i w:val="0"/>
        </w:rPr>
        <w:t>Sobre las 41 columnas supervivientes se calculó el AUC fuera de muestra de cada una por separado, usando la misma partición agrupada por paciente —usar una partición ingenua habría metido en el detector justo la fuga que busca.</w:t>
      </w:r>
    </w:p>
    <w:p>
      <w:pPr>
        <w:jc w:val="both"/>
      </w:pPr>
      <w:r>
        <w:rPr>
          <w:b w:val="0"/>
          <w:i w:val="0"/>
        </w:rPr>
        <w:t xml:space="preserve">El umbral de sospecha se fijó en </w:t>
      </w:r>
      <w:r>
        <w:rPr>
          <w:b/>
          <w:i w:val="0"/>
        </w:rPr>
        <w:t>0,90</w:t>
      </w:r>
      <w:r>
        <w:rPr>
          <w:b w:val="0"/>
          <w:i w:val="0"/>
        </w:rPr>
        <w:t xml:space="preserve"> </w:t>
      </w:r>
      <w:r>
        <w:rPr>
          <w:rFonts w:ascii="Menlo" w:hAnsi="Menlo"/>
          <w:b w:val="0"/>
          <w:i w:val="0"/>
          <w:sz w:val="19"/>
        </w:rPr>
        <w:t>[T26]</w:t>
      </w:r>
      <w:r>
        <w:rPr>
          <w:b w:val="0"/>
          <w:i w:val="0"/>
        </w:rPr>
        <w:t xml:space="preserve">. </w:t>
      </w:r>
      <w:r>
        <w:rPr>
          <w:b/>
          <w:i w:val="0"/>
        </w:rPr>
        <w:t>Ninguna columna lo supera.</w:t>
      </w:r>
      <w:r>
        <w:rPr>
          <w:b w:val="0"/>
          <w:i w:val="0"/>
        </w:rPr>
        <w:t xml:space="preserve"> La más predictiva es </w:t>
      </w:r>
      <w:r>
        <w:rPr>
          <w:rFonts w:ascii="Menlo" w:hAnsi="Menlo"/>
          <w:b w:val="0"/>
          <w:i w:val="0"/>
          <w:sz w:val="19"/>
        </w:rPr>
        <w:t>tbp_lv_H</w:t>
      </w:r>
      <w:r>
        <w:rPr>
          <w:b w:val="0"/>
          <w:i w:val="0"/>
        </w:rPr>
        <w:t xml:space="preserve"> con AUC </w:t>
      </w:r>
      <w:r>
        <w:rPr>
          <w:b/>
          <w:i w:val="0"/>
        </w:rPr>
        <w:t>0,8053</w:t>
      </w:r>
      <w:r>
        <w:rPr>
          <w:b w:val="0"/>
          <w:i w:val="0"/>
        </w:rPr>
        <w:t xml:space="preserve"> </w:t>
      </w:r>
      <w:r>
        <w:rPr>
          <w:rFonts w:ascii="Menlo" w:hAnsi="Menlo"/>
          <w:b w:val="0"/>
          <w:i w:val="0"/>
          <w:sz w:val="19"/>
        </w:rPr>
        <w:t>[T27]</w:t>
      </w:r>
      <w:r>
        <w:rPr>
          <w:b w:val="0"/>
          <w:i w:val="0"/>
        </w:rPr>
        <w:t xml:space="preserve">, seguida de </w:t>
      </w:r>
      <w:r>
        <w:rPr>
          <w:rFonts w:ascii="Menlo" w:hAnsi="Menlo"/>
          <w:b w:val="0"/>
          <w:i w:val="0"/>
          <w:sz w:val="19"/>
        </w:rPr>
        <w:t>tbp_lv_deltaB</w:t>
      </w:r>
      <w:r>
        <w:rPr>
          <w:b w:val="0"/>
          <w:i w:val="0"/>
        </w:rPr>
        <w:t xml:space="preserve"> con </w:t>
      </w:r>
      <w:r>
        <w:rPr>
          <w:b/>
          <w:i w:val="0"/>
        </w:rPr>
        <w:t>0,7541</w:t>
      </w:r>
      <w:r>
        <w:rPr>
          <w:b w:val="0"/>
          <w:i w:val="0"/>
        </w:rPr>
        <w:t xml:space="preserve"> </w:t>
      </w:r>
      <w:r>
        <w:rPr>
          <w:rFonts w:ascii="Menlo" w:hAnsi="Menlo"/>
          <w:b w:val="0"/>
          <w:i w:val="0"/>
          <w:sz w:val="19"/>
        </w:rPr>
        <w:t>[T28]</w:t>
      </w:r>
      <w:r>
        <w:rPr>
          <w:b w:val="0"/>
          <w:i w:val="0"/>
        </w:rPr>
        <w:t xml:space="preserve"> y </w:t>
      </w:r>
      <w:r>
        <w:rPr>
          <w:rFonts w:ascii="Menlo" w:hAnsi="Menlo"/>
          <w:b w:val="0"/>
          <w:i w:val="0"/>
          <w:sz w:val="19"/>
        </w:rPr>
        <w:t>tbp_lv_Hext</w:t>
      </w:r>
      <w:r>
        <w:rPr>
          <w:b w:val="0"/>
          <w:i w:val="0"/>
        </w:rPr>
        <w:t xml:space="preserve"> con </w:t>
      </w:r>
      <w:r>
        <w:rPr>
          <w:b/>
          <w:i w:val="0"/>
        </w:rPr>
        <w:t>0,7195</w:t>
      </w:r>
      <w:r>
        <w:rPr>
          <w:b w:val="0"/>
          <w:i w:val="0"/>
        </w:rPr>
        <w:t xml:space="preserve"> </w:t>
      </w:r>
      <w:r>
        <w:rPr>
          <w:rFonts w:ascii="Menlo" w:hAnsi="Menlo"/>
          <w:b w:val="0"/>
          <w:i w:val="0"/>
          <w:sz w:val="19"/>
        </w:rPr>
        <w:t>[T29]</w:t>
      </w:r>
      <w:r>
        <w:rPr>
          <w:b w:val="0"/>
          <w:i w:val="0"/>
        </w:rPr>
        <w:t>.</w:t>
      </w:r>
    </w:p>
    <w:p>
      <w:pPr>
        <w:jc w:val="both"/>
      </w:pPr>
      <w:r>
        <w:rPr>
          <w:b w:val="0"/>
          <w:i w:val="0"/>
        </w:rPr>
        <w:t>Un resultado negativo, y es una buena noticia: tras excluir las once columnas estructurales, no queda ninguna variable que por sí sola prediga el diagnóstico casi perfectamente. La fuga de este caso era estructural, no encubierta.</w:t>
      </w:r>
    </w:p>
    <w:p>
      <w:pPr>
        <w:pStyle w:val="Heading2"/>
      </w:pPr>
      <w:r>
        <w:rPr>
          <w:b w:val="0"/>
          <w:i w:val="0"/>
        </w:rPr>
        <w:t>6.3 Una pregunta que el instrumento no podía responder</w:t>
      </w:r>
    </w:p>
    <w:p>
      <w:pPr>
        <w:jc w:val="both"/>
      </w:pPr>
      <w:r>
        <w:rPr>
          <w:b w:val="0"/>
          <w:i w:val="0"/>
        </w:rPr>
        <w:t xml:space="preserve">El instrumento marca por nombre cualquier columna que sugiera derivación posterior al diagnóstico, y deja constancia de diez preguntas abiertas </w:t>
      </w:r>
      <w:r>
        <w:rPr>
          <w:rFonts w:ascii="Menlo" w:hAnsi="Menlo"/>
          <w:b w:val="0"/>
          <w:i w:val="0"/>
          <w:sz w:val="19"/>
        </w:rPr>
        <w:t>[T30]</w:t>
      </w:r>
      <w:r>
        <w:rPr>
          <w:b w:val="0"/>
          <w:i w:val="0"/>
        </w:rPr>
        <w:t xml:space="preserve">. Nueve se responden con lo ya sabido: son las columnas </w:t>
      </w:r>
      <w:r>
        <w:rPr>
          <w:rFonts w:ascii="Menlo" w:hAnsi="Menlo"/>
          <w:b w:val="0"/>
          <w:i w:val="0"/>
          <w:sz w:val="19"/>
        </w:rPr>
        <w:t>iddx_*</w:t>
      </w:r>
      <w:r>
        <w:rPr>
          <w:b w:val="0"/>
          <w:i w:val="0"/>
        </w:rPr>
        <w:t xml:space="preserve">, </w:t>
      </w:r>
      <w:r>
        <w:rPr>
          <w:rFonts w:ascii="Menlo" w:hAnsi="Menlo"/>
          <w:b w:val="0"/>
          <w:i w:val="0"/>
          <w:sz w:val="19"/>
        </w:rPr>
        <w:t>mel_*</w:t>
      </w:r>
      <w:r>
        <w:rPr>
          <w:b w:val="0"/>
          <w:i w:val="0"/>
        </w:rPr>
        <w:t xml:space="preserve"> y </w:t>
      </w:r>
      <w:r>
        <w:rPr>
          <w:rFonts w:ascii="Menlo" w:hAnsi="Menlo"/>
          <w:b w:val="0"/>
          <w:i w:val="0"/>
          <w:sz w:val="19"/>
        </w:rPr>
        <w:t>tbp_lv_dnn_lesion_confidence</w:t>
      </w:r>
      <w:r>
        <w:rPr>
          <w:b w:val="0"/>
          <w:i w:val="0"/>
        </w:rPr>
        <w:t>, todas ausentes del conjunto de prueba.</w:t>
      </w:r>
    </w:p>
    <w:p>
      <w:pPr>
        <w:jc w:val="both"/>
      </w:pPr>
      <w:r>
        <w:rPr>
          <w:b w:val="0"/>
          <w:i w:val="0"/>
        </w:rPr>
        <w:t xml:space="preserve">La décima no. </w:t>
      </w:r>
      <w:r>
        <w:rPr>
          <w:rFonts w:ascii="Menlo" w:hAnsi="Menlo"/>
          <w:b/>
          <w:i w:val="0"/>
          <w:sz w:val="19"/>
        </w:rPr>
        <w:t>tbp_lv_nevi_confidence</w:t>
      </w:r>
      <w:r>
        <w:rPr>
          <w:b/>
          <w:i w:val="0"/>
        </w:rPr>
        <w:t xml:space="preserve"> contiene la palabra "confidence" pero sí está presente en el conjunto de prueba</w:t>
      </w:r>
      <w:r>
        <w:rPr>
          <w:b w:val="0"/>
          <w:i w:val="0"/>
        </w:rPr>
        <w:t xml:space="preserve">, y obtiene un AUC univariado de </w:t>
      </w:r>
      <w:r>
        <w:rPr>
          <w:b/>
          <w:i w:val="0"/>
        </w:rPr>
        <w:t>0,6457</w:t>
      </w:r>
      <w:r>
        <w:rPr>
          <w:b w:val="0"/>
          <w:i w:val="0"/>
        </w:rPr>
        <w:t xml:space="preserve"> </w:t>
      </w:r>
      <w:r>
        <w:rPr>
          <w:rFonts w:ascii="Menlo" w:hAnsi="Menlo"/>
          <w:b w:val="0"/>
          <w:i w:val="0"/>
          <w:sz w:val="19"/>
        </w:rPr>
        <w:t>[T31]</w:t>
      </w:r>
      <w:r>
        <w:rPr>
          <w:b w:val="0"/>
          <w:i w:val="0"/>
        </w:rPr>
        <w:t xml:space="preserve"> — moderado, ni despreciable ni sospechoso. El instrumento formuló la pregunta correcta y se detuvo: </w:t>
      </w:r>
      <w:r>
        <w:rPr>
          <w:b w:val="0"/>
          <w:i/>
        </w:rPr>
        <w:t>¿por qué existiría en ambos conjuntos si fuera derivada del diagnóstico?</w:t>
      </w:r>
    </w:p>
    <w:p>
      <w:pPr>
        <w:jc w:val="both"/>
      </w:pPr>
      <w:r>
        <w:rPr>
          <w:b w:val="0"/>
          <w:i w:val="0"/>
        </w:rPr>
        <w:t xml:space="preserve">Responderla exigió ir a la fuente primaria. El artículo que describe el dataset define la columna como la probabilidad estimada por una red neuronal convolucional de que la lesión sea un nevus, y aclara que el prefijo </w:t>
      </w:r>
      <w:r>
        <w:rPr>
          <w:rFonts w:ascii="Menlo" w:hAnsi="Menlo"/>
          <w:b w:val="0"/>
          <w:i w:val="0"/>
          <w:sz w:val="19"/>
        </w:rPr>
        <w:t>lv</w:t>
      </w:r>
      <w:r>
        <w:rPr>
          <w:b w:val="0"/>
          <w:i w:val="0"/>
        </w:rPr>
        <w:t xml:space="preserve"> corresponde a </w:t>
      </w:r>
      <w:r>
        <w:rPr>
          <w:b w:val="0"/>
          <w:i/>
        </w:rPr>
        <w:t>Lesion Visualizer</w:t>
      </w:r>
      <w:r>
        <w:rPr>
          <w:b w:val="0"/>
          <w:i w:val="0"/>
        </w:rPr>
        <w:t xml:space="preserve">, el software de Canfield Scientific que acompaña al equipo de fotografía 3D </w:t>
      </w:r>
      <w:r>
        <w:rPr>
          <w:rFonts w:ascii="Menlo" w:hAnsi="Menlo"/>
          <w:b w:val="0"/>
          <w:i w:val="0"/>
          <w:sz w:val="19"/>
        </w:rPr>
        <w:t>[E4]</w:t>
      </w:r>
      <w:r>
        <w:rPr>
          <w:b w:val="0"/>
          <w:i w:val="0"/>
        </w:rPr>
        <w:t xml:space="preserve">. Todas las columnas </w:t>
      </w:r>
      <w:r>
        <w:rPr>
          <w:rFonts w:ascii="Menlo" w:hAnsi="Menlo"/>
          <w:b w:val="0"/>
          <w:i w:val="0"/>
          <w:sz w:val="19"/>
        </w:rPr>
        <w:t>tbp_lv_*</w:t>
      </w:r>
      <w:r>
        <w:rPr>
          <w:b w:val="0"/>
          <w:i w:val="0"/>
        </w:rPr>
        <w:t xml:space="preserve"> son mediciones que la máquina calcula sobre la imagen capturada, no resultados de patología.</w:t>
      </w:r>
    </w:p>
    <w:p>
      <w:pPr>
        <w:jc w:val="both"/>
      </w:pPr>
      <w:r>
        <w:rPr>
          <w:b/>
          <w:i w:val="0"/>
        </w:rPr>
        <w:t>Conclusión: la columna es legítima.</w:t>
      </w:r>
      <w:r>
        <w:rPr>
          <w:b w:val="0"/>
          <w:i w:val="0"/>
        </w:rPr>
        <w:t xml:space="preserve"> Deriva de la imagen, está disponible al predecir, y su AUC moderado es exactamente lo que cabe esperar de un clasificador de nevus, no la firma de una fuga.</w:t>
      </w:r>
    </w:p>
    <w:p>
      <w:pPr>
        <w:jc w:val="both"/>
      </w:pPr>
      <w:r>
        <w:rPr>
          <w:b w:val="0"/>
          <w:i w:val="0"/>
        </w:rPr>
        <w:t xml:space="preserve">Con una salvedad que se declara como supuesto y no se esconde: el artículo no indica si las aproximadamente 57.000 lesiones con que se entrenó ese clasificador se solapan con el dataset de la competencia </w:t>
      </w:r>
      <w:r>
        <w:rPr>
          <w:rFonts w:ascii="Menlo" w:hAnsi="Menlo"/>
          <w:b w:val="0"/>
          <w:i w:val="0"/>
          <w:sz w:val="19"/>
        </w:rPr>
        <w:t>[E5]</w:t>
      </w:r>
      <w:r>
        <w:rPr>
          <w:b w:val="0"/>
          <w:i w:val="0"/>
        </w:rPr>
        <w:t>. Si se solaparan, la puntuación arrastraría de forma indirecta etiquetas de dermatólogo sobre las mismas lesiones. No es verificable con la fuente disponible y no cambia la decisión —el criterio operativo sigue siendo la disponibilidad al predecir— pero el informe no puede afirmar independencia total.</w:t>
      </w:r>
    </w:p>
    <w:p>
      <w:pPr>
        <w:jc w:val="both"/>
      </w:pPr>
      <w:r>
        <w:rPr>
          <w:b w:val="0"/>
          <w:i w:val="0"/>
        </w:rPr>
        <w:t>Este caso es la mejor ilustración de la arquitectura funcionando: el instrumento midió y planteó una duda honesta; el consultor la resolvió leyendo una fuente externa y distinguiendo "nombre sospechoso" de "fuga real".</w:t>
      </w:r>
    </w:p>
    <w:p>
      <w:pPr>
        <w:pStyle w:val="Heading1"/>
      </w:pPr>
      <w:r>
        <w:rPr>
          <w:b w:val="0"/>
          <w:i w:val="0"/>
        </w:rPr>
        <w:t>7. Resultados de modelado</w:t>
      </w:r>
    </w:p>
    <w:p>
      <w:pPr>
        <w:jc w:val="both"/>
      </w:pPr>
      <w:r>
        <w:rPr>
          <w:b w:val="0"/>
          <w:i w:val="0"/>
        </w:rPr>
        <w:t xml:space="preserve">Fuente: </w:t>
      </w:r>
      <w:r>
        <w:rPr>
          <w:rFonts w:ascii="Menlo" w:hAnsi="Menlo"/>
          <w:b w:val="0"/>
          <w:i w:val="0"/>
          <w:sz w:val="19"/>
        </w:rPr>
        <w:t>outputs/modelado-baseline.json</w:t>
      </w:r>
      <w:r>
        <w:rPr>
          <w:b w:val="0"/>
          <w:i w:val="0"/>
        </w:rPr>
        <w:t>.</w:t>
      </w:r>
    </w:p>
    <w:p>
      <w:pPr>
        <w:pStyle w:val="Heading2"/>
      </w:pPr>
      <w:r>
        <w:rPr>
          <w:b w:val="0"/>
          <w:i w:val="0"/>
        </w:rPr>
        <w:t>7.1 La métrica, y por qué su escala no es la que uno supone</w:t>
      </w:r>
    </w:p>
    <w:p>
      <w:pPr>
        <w:jc w:val="both"/>
      </w:pPr>
      <w:r>
        <w:rPr>
          <w:b w:val="0"/>
          <w:i w:val="0"/>
        </w:rPr>
        <w:t xml:space="preserve">Todos los resultados de esta sección usan el </w:t>
      </w:r>
      <w:r>
        <w:rPr>
          <w:b/>
          <w:i w:val="0"/>
        </w:rPr>
        <w:t>pAUC sobre 80% de sensibilidad</w:t>
      </w:r>
      <w:r>
        <w:rPr>
          <w:b w:val="0"/>
          <w:i w:val="0"/>
        </w:rPr>
        <w:t xml:space="preserve">, la métrica oficial. Su implementación se verificó contra el script del organizador antes de reportar ningún número </w:t>
      </w:r>
      <w:r>
        <w:rPr>
          <w:rFonts w:ascii="Menlo" w:hAnsi="Menlo"/>
          <w:b w:val="0"/>
          <w:i w:val="0"/>
          <w:sz w:val="19"/>
        </w:rPr>
        <w:t>[T32]</w:t>
      </w:r>
      <w:r>
        <w:rPr>
          <w:b w:val="0"/>
          <w:i w:val="0"/>
        </w:rPr>
        <w:t>.</w:t>
      </w:r>
    </w:p>
    <w:p>
      <w:pPr>
        <w:jc w:val="both"/>
      </w:pPr>
      <w:r>
        <w:rPr>
          <w:b w:val="0"/>
          <w:i w:val="0"/>
        </w:rPr>
        <w:t xml:space="preserve">La escala tiene una propiedad que invalida la lectura intuitiva: </w:t>
      </w:r>
      <w:r>
        <w:rPr>
          <w:b/>
          <w:i w:val="0"/>
        </w:rPr>
        <w:t>el azar no vale 0, vale 0,02</w:t>
      </w:r>
      <w:r>
        <w:rPr>
          <w:b w:val="0"/>
          <w:i w:val="0"/>
        </w:rPr>
        <w:t xml:space="preserve"> </w:t>
      </w:r>
      <w:r>
        <w:rPr>
          <w:rFonts w:ascii="Menlo" w:hAnsi="Menlo"/>
          <w:b w:val="0"/>
          <w:i w:val="0"/>
          <w:sz w:val="19"/>
        </w:rPr>
        <w:t>[T33]</w:t>
      </w:r>
      <w:r>
        <w:rPr>
          <w:b w:val="0"/>
          <w:i w:val="0"/>
        </w:rPr>
        <w:t xml:space="preserve">, y el máximo alcanzable es </w:t>
      </w:r>
      <w:r>
        <w:rPr>
          <w:b/>
          <w:i w:val="0"/>
        </w:rPr>
        <w:t>0,2</w:t>
      </w:r>
      <w:r>
        <w:rPr>
          <w:b w:val="0"/>
          <w:i w:val="0"/>
        </w:rPr>
        <w:t xml:space="preserve"> </w:t>
      </w:r>
      <w:r>
        <w:rPr>
          <w:rFonts w:ascii="Menlo" w:hAnsi="Menlo"/>
          <w:b w:val="0"/>
          <w:i w:val="0"/>
          <w:sz w:val="19"/>
        </w:rPr>
        <w:t>[T34]</w:t>
      </w:r>
      <w:r>
        <w:rPr>
          <w:b w:val="0"/>
          <w:i w:val="0"/>
        </w:rPr>
        <w:t>. Un modelo con pAUC 0,10 no está "a la mitad" de nada.</w:t>
      </w:r>
    </w:p>
    <w:p>
      <w:pPr>
        <w:jc w:val="both"/>
      </w:pPr>
      <w:r>
        <w:rPr>
          <w:b w:val="0"/>
          <w:i w:val="0"/>
        </w:rPr>
        <w:t xml:space="preserve">Para leerlos sin ese espejismo, todos los resultados se acompañan de su </w:t>
      </w:r>
      <w:r>
        <w:rPr>
          <w:b/>
          <w:i w:val="0"/>
        </w:rPr>
        <w:t>posición en la escala</w:t>
      </w:r>
      <w:r>
        <w:rPr>
          <w:b w:val="0"/>
          <w:i w:val="0"/>
        </w:rPr>
        <w:t xml:space="preserve">: el mismo pAUC reexpresado en una escala donde </w:t>
      </w:r>
      <w:r>
        <w:rPr>
          <w:b/>
          <w:i w:val="0"/>
        </w:rPr>
        <w:t>0 es el azar y 1 el clasificador perfecto</w:t>
      </w:r>
      <w:r>
        <w:rPr>
          <w:b w:val="0"/>
          <w:i w:val="0"/>
        </w:rPr>
        <w:t xml:space="preserve">, es decir </w:t>
      </w:r>
      <w:r>
        <w:rPr>
          <w:rFonts w:ascii="Menlo" w:hAnsi="Menlo"/>
          <w:b w:val="0"/>
          <w:i w:val="0"/>
          <w:sz w:val="19"/>
        </w:rPr>
        <w:t>(pAUC − 0,02) / (0,2 − 0,02)</w:t>
      </w:r>
      <w:r>
        <w:rPr>
          <w:b w:val="0"/>
          <w:i w:val="0"/>
        </w:rPr>
        <w:t xml:space="preserve">. No es un porcentaje ni una probabilidad: es dónde cae el modelo dentro del recorrido que la métrica deja disponible. Ese pAUC hipotético de 0,10 queda en la posición 0,44 de esa escala. Una posición </w:t>
      </w:r>
      <w:r>
        <w:rPr>
          <w:b/>
          <w:i w:val="0"/>
        </w:rPr>
        <w:t>negativa</w:t>
      </w:r>
      <w:r>
        <w:rPr>
          <w:b w:val="0"/>
          <w:i w:val="0"/>
        </w:rPr>
        <w:t xml:space="preserve"> no es un tramo hacia atrás: significa que el modelo quedó </w:t>
      </w:r>
      <w:r>
        <w:rPr>
          <w:b w:val="0"/>
          <w:i/>
        </w:rPr>
        <w:t>por debajo del punto de partida</w:t>
      </w:r>
      <w:r>
        <w:rPr>
          <w:b w:val="0"/>
          <w:i w:val="0"/>
        </w:rPr>
        <w:t>, fuera del recorrido, peor que no tener modelo.</w:t>
      </w:r>
    </w:p>
    <w:p>
      <w:pPr>
        <w:jc w:val="both"/>
      </w:pPr>
      <w:r>
        <w:rPr>
          <w:b w:val="0"/>
          <w:i w:val="0"/>
        </w:rPr>
        <w:t xml:space="preserve">La posición no se calcula en este informe: la emite el propio instrumento, un campo </w:t>
      </w:r>
      <w:r>
        <w:rPr>
          <w:rFonts w:ascii="Menlo" w:hAnsi="Menlo"/>
          <w:b w:val="0"/>
          <w:i w:val="0"/>
          <w:sz w:val="19"/>
        </w:rPr>
        <w:t>posicion_en_escala</w:t>
      </w:r>
      <w:r>
        <w:rPr>
          <w:b w:val="0"/>
          <w:i w:val="0"/>
        </w:rPr>
        <w:t xml:space="preserve"> por nivel, y aquí se cita tal cual.</w:t>
      </w:r>
    </w:p>
    <w:p>
      <w:pPr>
        <w:pStyle w:val="Heading2"/>
      </w:pPr>
      <w:r>
        <w:rPr>
          <w:b w:val="0"/>
          <w:i w:val="0"/>
        </w:rPr>
        <w:t>7.2 Los cuatro niveles</w:t>
      </w:r>
    </w:p>
    <w:tbl>
      <w:tblPr>
        <w:tblStyle w:val="TableGrid"/>
        <w:tblW w:type="auto" w:w="0"/>
        <w:tblLayout w:type="fixed"/>
        <w:tblLook w:firstColumn="1" w:firstRow="1" w:lastColumn="0" w:lastRow="0" w:noHBand="0" w:noVBand="1" w:val="04A0"/>
      </w:tblPr>
      <w:tblGrid>
        <w:gridCol w:w="1930"/>
        <w:gridCol w:w="1930"/>
        <w:gridCol w:w="1930"/>
        <w:gridCol w:w="1930"/>
        <w:gridCol w:w="1930"/>
      </w:tblGrid>
      <w:tr>
        <w:tc>
          <w:tcPr>
            <w:tcW w:type="dxa" w:w="1037"/>
          </w:tcPr>
          <w:p>
            <w:r>
              <w:rPr>
                <w:b/>
              </w:rPr>
            </w:r>
            <w:r>
              <w:rPr>
                <w:b/>
                <w:i w:val="0"/>
              </w:rPr>
              <w:t>Nivel</w:t>
            </w:r>
          </w:p>
        </w:tc>
        <w:tc>
          <w:tcPr>
            <w:tcW w:type="dxa" w:w="2976"/>
          </w:tcPr>
          <w:p>
            <w:r>
              <w:rPr>
                <w:b/>
              </w:rPr>
            </w:r>
            <w:r>
              <w:rPr>
                <w:b/>
                <w:i w:val="0"/>
              </w:rPr>
              <w:t>Modelo</w:t>
            </w:r>
          </w:p>
        </w:tc>
        <w:tc>
          <w:tcPr>
            <w:tcW w:type="dxa" w:w="1440"/>
          </w:tcPr>
          <w:p>
            <w:r>
              <w:rPr>
                <w:b/>
              </w:rPr>
            </w:r>
            <w:r>
              <w:rPr>
                <w:b/>
                <w:i w:val="0"/>
              </w:rPr>
              <w:t>pAUC medio</w:t>
            </w:r>
          </w:p>
        </w:tc>
        <w:tc>
          <w:tcPr>
            <w:tcW w:type="dxa" w:w="1877"/>
          </w:tcPr>
          <w:p>
            <w:r>
              <w:rPr>
                <w:b/>
              </w:rPr>
            </w:r>
            <w:r>
              <w:rPr>
                <w:b/>
                <w:i w:val="0"/>
              </w:rPr>
              <w:t>Desv. entre folds</w:t>
            </w:r>
          </w:p>
        </w:tc>
        <w:tc>
          <w:tcPr>
            <w:tcW w:type="dxa" w:w="2318"/>
          </w:tcPr>
          <w:p>
            <w:r>
              <w:rPr>
                <w:b/>
              </w:rPr>
            </w:r>
            <w:r>
              <w:rPr>
                <w:b/>
                <w:i w:val="0"/>
              </w:rPr>
              <w:t>Posición en la escala</w:t>
            </w:r>
          </w:p>
        </w:tc>
      </w:tr>
      <w:tr>
        <w:tc>
          <w:tcPr>
            <w:tcW w:type="dxa" w:w="1037"/>
          </w:tcPr>
          <w:p>
            <w:r/>
            <w:r>
              <w:rPr>
                <w:b w:val="0"/>
                <w:i w:val="0"/>
              </w:rPr>
              <w:t>0</w:t>
            </w:r>
          </w:p>
        </w:tc>
        <w:tc>
          <w:tcPr>
            <w:tcW w:type="dxa" w:w="2976"/>
          </w:tcPr>
          <w:p>
            <w:r/>
            <w:r>
              <w:rPr>
                <w:rFonts w:ascii="Menlo" w:hAnsi="Menlo"/>
                <w:b w:val="0"/>
                <w:i w:val="0"/>
                <w:sz w:val="17"/>
              </w:rPr>
              <w:t>tbp_lv_H</w:t>
            </w:r>
            <w:r>
              <w:rPr>
                <w:b w:val="0"/>
                <w:i w:val="0"/>
              </w:rPr>
              <w:t xml:space="preserve"> sola</w:t>
            </w:r>
          </w:p>
        </w:tc>
        <w:tc>
          <w:tcPr>
            <w:tcW w:type="dxa" w:w="1440"/>
          </w:tcPr>
          <w:p>
            <w:r/>
            <w:r>
              <w:rPr>
                <w:b w:val="0"/>
                <w:i w:val="0"/>
              </w:rPr>
              <w:t xml:space="preserve">0,0809 </w:t>
            </w:r>
            <w:r>
              <w:rPr>
                <w:rFonts w:ascii="Menlo" w:hAnsi="Menlo"/>
                <w:b w:val="0"/>
                <w:i w:val="0"/>
                <w:sz w:val="17"/>
              </w:rPr>
              <w:t>[T35]</w:t>
            </w:r>
          </w:p>
        </w:tc>
        <w:tc>
          <w:tcPr>
            <w:tcW w:type="dxa" w:w="1877"/>
          </w:tcPr>
          <w:p>
            <w:r/>
            <w:r>
              <w:rPr>
                <w:b w:val="0"/>
                <w:i w:val="0"/>
              </w:rPr>
              <w:t xml:space="preserve">±0,0247 </w:t>
            </w:r>
            <w:r>
              <w:rPr>
                <w:rFonts w:ascii="Menlo" w:hAnsi="Menlo"/>
                <w:b w:val="0"/>
                <w:i w:val="0"/>
                <w:sz w:val="17"/>
              </w:rPr>
              <w:t>[T36]</w:t>
            </w:r>
          </w:p>
        </w:tc>
        <w:tc>
          <w:tcPr>
            <w:tcW w:type="dxa" w:w="2318"/>
          </w:tcPr>
          <w:p>
            <w:r/>
            <w:r>
              <w:rPr>
                <w:b w:val="0"/>
                <w:i w:val="0"/>
              </w:rPr>
              <w:t xml:space="preserve">0,3383 </w:t>
            </w:r>
            <w:r>
              <w:rPr>
                <w:rFonts w:ascii="Menlo" w:hAnsi="Menlo"/>
                <w:b w:val="0"/>
                <w:i w:val="0"/>
                <w:sz w:val="17"/>
              </w:rPr>
              <w:t>[T37]</w:t>
            </w:r>
          </w:p>
        </w:tc>
      </w:tr>
      <w:tr>
        <w:tc>
          <w:tcPr>
            <w:tcW w:type="dxa" w:w="1037"/>
          </w:tcPr>
          <w:p>
            <w:r/>
            <w:r>
              <w:rPr>
                <w:b w:val="0"/>
                <w:i w:val="0"/>
              </w:rPr>
              <w:t>1</w:t>
            </w:r>
          </w:p>
        </w:tc>
        <w:tc>
          <w:tcPr>
            <w:tcW w:type="dxa" w:w="2976"/>
          </w:tcPr>
          <w:p>
            <w:r/>
            <w:r>
              <w:rPr>
                <w:b w:val="0"/>
                <w:i w:val="0"/>
              </w:rPr>
              <w:t>Regresión logística balanceada</w:t>
            </w:r>
          </w:p>
        </w:tc>
        <w:tc>
          <w:tcPr>
            <w:tcW w:type="dxa" w:w="1440"/>
          </w:tcPr>
          <w:p>
            <w:r/>
            <w:r>
              <w:rPr>
                <w:b w:val="0"/>
                <w:i w:val="0"/>
              </w:rPr>
              <w:t xml:space="preserve">0,1331 </w:t>
            </w:r>
            <w:r>
              <w:rPr>
                <w:rFonts w:ascii="Menlo" w:hAnsi="Menlo"/>
                <w:b w:val="0"/>
                <w:i w:val="0"/>
                <w:sz w:val="17"/>
              </w:rPr>
              <w:t>[T38]</w:t>
            </w:r>
          </w:p>
        </w:tc>
        <w:tc>
          <w:tcPr>
            <w:tcW w:type="dxa" w:w="1877"/>
          </w:tcPr>
          <w:p>
            <w:r/>
            <w:r>
              <w:rPr>
                <w:b w:val="0"/>
                <w:i w:val="0"/>
              </w:rPr>
              <w:t xml:space="preserve">±0,0173 </w:t>
            </w:r>
            <w:r>
              <w:rPr>
                <w:rFonts w:ascii="Menlo" w:hAnsi="Menlo"/>
                <w:b w:val="0"/>
                <w:i w:val="0"/>
                <w:sz w:val="17"/>
              </w:rPr>
              <w:t>[T39]</w:t>
            </w:r>
          </w:p>
        </w:tc>
        <w:tc>
          <w:tcPr>
            <w:tcW w:type="dxa" w:w="2318"/>
          </w:tcPr>
          <w:p>
            <w:r/>
            <w:r>
              <w:rPr>
                <w:b w:val="0"/>
                <w:i w:val="0"/>
              </w:rPr>
              <w:t xml:space="preserve">0,6283 </w:t>
            </w:r>
            <w:r>
              <w:rPr>
                <w:rFonts w:ascii="Menlo" w:hAnsi="Menlo"/>
                <w:b w:val="0"/>
                <w:i w:val="0"/>
                <w:sz w:val="17"/>
              </w:rPr>
              <w:t>[T40]</w:t>
            </w:r>
          </w:p>
        </w:tc>
      </w:tr>
      <w:tr>
        <w:tc>
          <w:tcPr>
            <w:tcW w:type="dxa" w:w="1037"/>
          </w:tcPr>
          <w:p>
            <w:r/>
            <w:r>
              <w:rPr>
                <w:b w:val="0"/>
                <w:i w:val="0"/>
              </w:rPr>
              <w:t>2a</w:t>
            </w:r>
          </w:p>
        </w:tc>
        <w:tc>
          <w:tcPr>
            <w:tcW w:type="dxa" w:w="2976"/>
          </w:tcPr>
          <w:p>
            <w:r/>
            <w:r>
              <w:rPr>
                <w:b w:val="0"/>
                <w:i w:val="0"/>
              </w:rPr>
              <w:t>Gradient boosting sin balancear</w:t>
            </w:r>
          </w:p>
        </w:tc>
        <w:tc>
          <w:tcPr>
            <w:tcW w:type="dxa" w:w="1440"/>
          </w:tcPr>
          <w:p>
            <w:r/>
            <w:r>
              <w:rPr>
                <w:b w:val="0"/>
                <w:i w:val="0"/>
              </w:rPr>
              <w:t xml:space="preserve">0,0013 </w:t>
            </w:r>
            <w:r>
              <w:rPr>
                <w:rFonts w:ascii="Menlo" w:hAnsi="Menlo"/>
                <w:b w:val="0"/>
                <w:i w:val="0"/>
                <w:sz w:val="17"/>
              </w:rPr>
              <w:t>[T30b]</w:t>
            </w:r>
          </w:p>
        </w:tc>
        <w:tc>
          <w:tcPr>
            <w:tcW w:type="dxa" w:w="1877"/>
          </w:tcPr>
          <w:p>
            <w:r/>
            <w:r>
              <w:rPr>
                <w:b w:val="0"/>
                <w:i w:val="0"/>
              </w:rPr>
              <w:t xml:space="preserve">±0,0015 </w:t>
            </w:r>
            <w:r>
              <w:rPr>
                <w:rFonts w:ascii="Menlo" w:hAnsi="Menlo"/>
                <w:b w:val="0"/>
                <w:i w:val="0"/>
                <w:sz w:val="17"/>
              </w:rPr>
              <w:t>[T41]</w:t>
            </w:r>
          </w:p>
        </w:tc>
        <w:tc>
          <w:tcPr>
            <w:tcW w:type="dxa" w:w="2318"/>
          </w:tcPr>
          <w:p>
            <w:r/>
            <w:r>
              <w:rPr>
                <w:b w:val="0"/>
                <w:i w:val="0"/>
              </w:rPr>
              <w:t xml:space="preserve">−0,1039 </w:t>
            </w:r>
            <w:r>
              <w:rPr>
                <w:rFonts w:ascii="Menlo" w:hAnsi="Menlo"/>
                <w:b w:val="0"/>
                <w:i w:val="0"/>
                <w:sz w:val="17"/>
              </w:rPr>
              <w:t>[T42]</w:t>
            </w:r>
          </w:p>
        </w:tc>
      </w:tr>
      <w:tr>
        <w:tc>
          <w:tcPr>
            <w:tcW w:type="dxa" w:w="1037"/>
          </w:tcPr>
          <w:p>
            <w:r/>
            <w:r>
              <w:rPr>
                <w:b w:val="0"/>
                <w:i w:val="0"/>
              </w:rPr>
              <w:t>2b</w:t>
            </w:r>
          </w:p>
        </w:tc>
        <w:tc>
          <w:tcPr>
            <w:tcW w:type="dxa" w:w="2976"/>
          </w:tcPr>
          <w:p>
            <w:r/>
            <w:r>
              <w:rPr>
                <w:b w:val="0"/>
                <w:i w:val="0"/>
              </w:rPr>
              <w:t>Gradient boosting balanceado</w:t>
            </w:r>
          </w:p>
        </w:tc>
        <w:tc>
          <w:tcPr>
            <w:tcW w:type="dxa" w:w="1440"/>
          </w:tcPr>
          <w:p>
            <w:r/>
            <w:r>
              <w:rPr>
                <w:b w:val="0"/>
                <w:i w:val="0"/>
              </w:rPr>
              <w:t xml:space="preserve">0,1451 </w:t>
            </w:r>
            <w:r>
              <w:rPr>
                <w:rFonts w:ascii="Menlo" w:hAnsi="Menlo"/>
                <w:b w:val="0"/>
                <w:i w:val="0"/>
                <w:sz w:val="17"/>
              </w:rPr>
              <w:t>[T43]</w:t>
            </w:r>
          </w:p>
        </w:tc>
        <w:tc>
          <w:tcPr>
            <w:tcW w:type="dxa" w:w="1877"/>
          </w:tcPr>
          <w:p>
            <w:r/>
            <w:r>
              <w:rPr>
                <w:b w:val="0"/>
                <w:i w:val="0"/>
              </w:rPr>
              <w:t xml:space="preserve">±0,0055 </w:t>
            </w:r>
            <w:r>
              <w:rPr>
                <w:rFonts w:ascii="Menlo" w:hAnsi="Menlo"/>
                <w:b w:val="0"/>
                <w:i w:val="0"/>
                <w:sz w:val="17"/>
              </w:rPr>
              <w:t>[T44]</w:t>
            </w:r>
          </w:p>
        </w:tc>
        <w:tc>
          <w:tcPr>
            <w:tcW w:type="dxa" w:w="2318"/>
          </w:tcPr>
          <w:p>
            <w:r/>
            <w:r>
              <w:rPr>
                <w:b w:val="0"/>
                <w:i w:val="0"/>
              </w:rPr>
              <w:t xml:space="preserve">0,695 </w:t>
            </w:r>
            <w:r>
              <w:rPr>
                <w:rFonts w:ascii="Menlo" w:hAnsi="Menlo"/>
                <w:b w:val="0"/>
                <w:i w:val="0"/>
                <w:sz w:val="17"/>
              </w:rPr>
              <w:t>[T45]</w:t>
            </w:r>
          </w:p>
        </w:tc>
      </w:tr>
    </w:tbl>
    <w:p/>
    <w:p>
      <w:pPr>
        <w:pStyle w:val="Heading2"/>
      </w:pPr>
      <w:r>
        <w:rPr>
          <w:b w:val="0"/>
          <w:i w:val="0"/>
        </w:rPr>
        <w:t>7.3 Lectura de los resultados</w:t>
      </w:r>
    </w:p>
    <w:p>
      <w:pPr>
        <w:jc w:val="both"/>
      </w:pPr>
      <w:r>
        <w:rPr>
          <w:b/>
          <w:i w:val="0"/>
        </w:rPr>
        <w:t>El piso univariado es más bajo de lo que aparenta.</w:t>
      </w:r>
      <w:r>
        <w:rPr>
          <w:b w:val="0"/>
          <w:i w:val="0"/>
        </w:rPr>
        <w:t xml:space="preserve"> La columna </w:t>
      </w:r>
      <w:r>
        <w:rPr>
          <w:rFonts w:ascii="Menlo" w:hAnsi="Menlo"/>
          <w:b w:val="0"/>
          <w:i w:val="0"/>
          <w:sz w:val="19"/>
        </w:rPr>
        <w:t>tbp_lv_H</w:t>
      </w:r>
      <w:r>
        <w:rPr>
          <w:b w:val="0"/>
          <w:i w:val="0"/>
        </w:rPr>
        <w:t xml:space="preserve"> obtiene un AUC estándar de 0,8053 </w:t>
      </w:r>
      <w:r>
        <w:rPr>
          <w:rFonts w:ascii="Menlo" w:hAnsi="Menlo"/>
          <w:b w:val="0"/>
          <w:i w:val="0"/>
          <w:sz w:val="19"/>
        </w:rPr>
        <w:t>[T27]</w:t>
      </w:r>
      <w:r>
        <w:rPr>
          <w:b w:val="0"/>
          <w:i w:val="0"/>
        </w:rPr>
        <w:t xml:space="preserve">, que suena a un predictor razonablemente fuerte. En la métrica del cliente cae a la posición 0,3383 </w:t>
      </w:r>
      <w:r>
        <w:rPr>
          <w:rFonts w:ascii="Menlo" w:hAnsi="Menlo"/>
          <w:b w:val="0"/>
          <w:i w:val="0"/>
          <w:sz w:val="19"/>
        </w:rPr>
        <w:t>[T37]</w:t>
      </w:r>
      <w:r>
        <w:rPr>
          <w:b w:val="0"/>
          <w:i w:val="0"/>
        </w:rPr>
        <w:t xml:space="preserve">. La señal de esa columna no está donde la sensibilidad es clínicamente aceptable. Es el argumento central de la tesis expresado en dos números del mismo dato: </w:t>
      </w:r>
      <w:r>
        <w:rPr>
          <w:b/>
          <w:i w:val="0"/>
        </w:rPr>
        <w:t>la elección de métrica cambia la conclusión, no solo la cifra.</w:t>
      </w:r>
    </w:p>
    <w:p>
      <w:pPr>
        <w:jc w:val="both"/>
      </w:pPr>
      <w:r>
        <w:rPr>
          <w:b/>
          <w:i w:val="0"/>
        </w:rPr>
        <w:t>Los modelos combinados justifican su complejidad.</w:t>
      </w:r>
      <w:r>
        <w:rPr>
          <w:b w:val="0"/>
          <w:i w:val="0"/>
        </w:rPr>
        <w:t xml:space="preserve"> Tanto la logística (0,6283 </w:t>
      </w:r>
      <w:r>
        <w:rPr>
          <w:rFonts w:ascii="Menlo" w:hAnsi="Menlo"/>
          <w:b w:val="0"/>
          <w:i w:val="0"/>
          <w:sz w:val="19"/>
        </w:rPr>
        <w:t>[T40]</w:t>
      </w:r>
      <w:r>
        <w:rPr>
          <w:b w:val="0"/>
          <w:i w:val="0"/>
        </w:rPr>
        <w:t xml:space="preserve">) como el boosting balanceado (0,695 </w:t>
      </w:r>
      <w:r>
        <w:rPr>
          <w:rFonts w:ascii="Menlo" w:hAnsi="Menlo"/>
          <w:b w:val="0"/>
          <w:i w:val="0"/>
          <w:sz w:val="19"/>
        </w:rPr>
        <w:t>[T45]</w:t>
      </w:r>
      <w:r>
        <w:rPr>
          <w:b w:val="0"/>
          <w:i w:val="0"/>
        </w:rPr>
        <w:t>) llegan a cerca del doble de la posición que alcanza la mejor columna sola. Combinar variables aporta algo real, y no era evidente de antemano.</w:t>
      </w:r>
    </w:p>
    <w:p>
      <w:pPr>
        <w:jc w:val="both"/>
      </w:pPr>
      <w:r>
        <w:rPr>
          <w:b/>
          <w:i w:val="0"/>
        </w:rPr>
        <w:t>El nivel 2a es el hallazgo más citable del proyecto.</w:t>
      </w:r>
      <w:r>
        <w:rPr>
          <w:b w:val="0"/>
          <w:i w:val="0"/>
        </w:rPr>
        <w:t xml:space="preserve"> Con pAUC de 0,0013 </w:t>
      </w:r>
      <w:r>
        <w:rPr>
          <w:rFonts w:ascii="Menlo" w:hAnsi="Menlo"/>
          <w:b w:val="0"/>
          <w:i w:val="0"/>
          <w:sz w:val="19"/>
        </w:rPr>
        <w:t>[T30b]</w:t>
      </w:r>
      <w:r>
        <w:rPr>
          <w:b w:val="0"/>
          <w:i w:val="0"/>
        </w:rPr>
        <w:t xml:space="preserve">, queda </w:t>
      </w:r>
      <w:r>
        <w:rPr>
          <w:b w:val="0"/>
          <w:i/>
        </w:rPr>
        <w:t>por debajo del piso aleatorio</w:t>
      </w:r>
      <w:r>
        <w:rPr>
          <w:b w:val="0"/>
          <w:i w:val="0"/>
        </w:rPr>
        <w:t xml:space="preserve"> de la métrica. Y el modo de fallo no es el de manual. Uno espera que un modelo sin ajuste de desbalance "prediga siempre negativo" y quede plano. Lo que ocurre es distinto y peor: satura en probabilidad máxima sobre un puñado de casos negativos y los coloca por encima de los positivos reales, arrasando justo la región de sensibilidad alta que la métrica evalúa. Su AUC convencional es </w:t>
      </w:r>
      <w:r>
        <w:rPr>
          <w:b/>
          <w:i w:val="0"/>
        </w:rPr>
        <w:t>0,6159</w:t>
      </w:r>
      <w:r>
        <w:rPr>
          <w:b w:val="0"/>
          <w:i w:val="0"/>
        </w:rPr>
        <w:t xml:space="preserve"> </w:t>
      </w:r>
      <w:r>
        <w:rPr>
          <w:rFonts w:ascii="Menlo" w:hAnsi="Menlo"/>
          <w:b w:val="0"/>
          <w:i w:val="0"/>
          <w:sz w:val="19"/>
        </w:rPr>
        <w:t>[T59]</w:t>
      </w:r>
      <w:r>
        <w:rPr>
          <w:b w:val="0"/>
          <w:i w:val="0"/>
        </w:rPr>
        <w:t xml:space="preserve">: mediocre, pero por encima del azar de esa escala </w:t>
      </w:r>
      <w:r>
        <w:rPr>
          <w:rFonts w:ascii="Menlo" w:hAnsi="Menlo"/>
          <w:b w:val="0"/>
          <w:i w:val="0"/>
          <w:sz w:val="19"/>
        </w:rPr>
        <w:t>[T62]</w:t>
      </w:r>
      <w:r>
        <w:rPr>
          <w:b w:val="0"/>
          <w:i w:val="0"/>
        </w:rPr>
        <w:t>. Sobre exactamente las mismas predicciones, las dos métricas no discrepan en el margen sino en el veredicto —una deja al modelo por encima de su azar y la otra por debajo del suyo—, y esa discrepancia es el hallazgo, no un detalle de presentación.</w:t>
      </w:r>
    </w:p>
    <w:p>
      <w:pPr>
        <w:jc w:val="both"/>
      </w:pPr>
      <w:r>
        <w:rPr>
          <w:b w:val="0"/>
          <w:i w:val="0"/>
        </w:rPr>
        <w:t xml:space="preserve">La única diferencia entre 2a y 2b es el parámetro de balanceo </w:t>
      </w:r>
      <w:r>
        <w:rPr>
          <w:rFonts w:ascii="Menlo" w:hAnsi="Menlo"/>
          <w:b w:val="0"/>
          <w:i w:val="0"/>
          <w:sz w:val="19"/>
        </w:rPr>
        <w:t>[T46]</w:t>
      </w:r>
      <w:r>
        <w:rPr>
          <w:b w:val="0"/>
          <w:i w:val="0"/>
        </w:rPr>
        <w:t>. Mismo modelo, misma semilla, mismos folds.</w:t>
      </w:r>
    </w:p>
    <w:p>
      <w:pPr>
        <w:jc w:val="both"/>
      </w:pPr>
      <w:r>
        <w:rPr>
          <w:b/>
          <w:i w:val="0"/>
        </w:rPr>
        <w:t>La estabilidad parecía discriminar más que la media. No era así, y conviene ver por qué.</w:t>
      </w:r>
      <w:r>
        <w:rPr>
          <w:b w:val="0"/>
          <w:i w:val="0"/>
        </w:rPr>
        <w:t xml:space="preserve"> Sobre esta partición el nivel 2b no solo tiene mejor media que el nivel 1 (0,1451 frente a 0,1331) sino que es </w:t>
      </w:r>
      <w:r>
        <w:rPr>
          <w:b/>
          <w:i w:val="0"/>
        </w:rPr>
        <w:t>más de tres veces más estable</w:t>
      </w:r>
      <w:r>
        <w:rPr>
          <w:b w:val="0"/>
          <w:i w:val="0"/>
        </w:rPr>
        <w:t xml:space="preserve"> entre folds: ±0,0055 </w:t>
      </w:r>
      <w:r>
        <w:rPr>
          <w:rFonts w:ascii="Menlo" w:hAnsi="Menlo"/>
          <w:b w:val="0"/>
          <w:i w:val="0"/>
          <w:sz w:val="19"/>
        </w:rPr>
        <w:t>[T44]</w:t>
      </w:r>
      <w:r>
        <w:rPr>
          <w:b w:val="0"/>
          <w:i w:val="0"/>
        </w:rPr>
        <w:t xml:space="preserve"> frente a ±0,0173 </w:t>
      </w:r>
      <w:r>
        <w:rPr>
          <w:rFonts w:ascii="Menlo" w:hAnsi="Menlo"/>
          <w:b w:val="0"/>
          <w:i w:val="0"/>
          <w:sz w:val="19"/>
        </w:rPr>
        <w:t>[T39]</w:t>
      </w:r>
      <w:r>
        <w:rPr>
          <w:b w:val="0"/>
          <w:i w:val="0"/>
        </w:rPr>
        <w:t>. Una versión anterior de esta sección convertía ese contraste en el argumento más fuerte a favor de 2b: un modelo cuyo desempeño depende menos de qué pacientes cayeron en validación es preferible ante datos nuevos, y ese argumento no descansaba en la diferencia de medias, que ya se sabía frágil.</w:t>
      </w:r>
    </w:p>
    <w:p>
      <w:pPr>
        <w:jc w:val="both"/>
      </w:pPr>
      <w:r>
        <w:rPr>
          <w:b/>
          <w:i w:val="0"/>
        </w:rPr>
        <w:t>La validación cruzada repetida lo desmintió.</w:t>
      </w:r>
      <w:r>
        <w:rPr>
          <w:b w:val="0"/>
          <w:i w:val="0"/>
        </w:rPr>
        <w:t xml:space="preserve"> Al repetir el mismo esquema con diez semillas en vez de una </w:t>
      </w:r>
      <w:r>
        <w:rPr>
          <w:rFonts w:ascii="Menlo" w:hAnsi="Menlo"/>
          <w:b w:val="0"/>
          <w:i w:val="0"/>
          <w:sz w:val="19"/>
        </w:rPr>
        <w:t>[T50]</w:t>
      </w:r>
      <w:r>
        <w:rPr>
          <w:b w:val="0"/>
          <w:i w:val="0"/>
        </w:rPr>
        <w:t xml:space="preserve">, el orden se invierte: la desviación entre folds del nivel 2b sube a ±0,0142 </w:t>
      </w:r>
      <w:r>
        <w:rPr>
          <w:rFonts w:ascii="Menlo" w:hAnsi="Menlo"/>
          <w:b w:val="0"/>
          <w:i w:val="0"/>
          <w:sz w:val="19"/>
        </w:rPr>
        <w:t>[T52]</w:t>
      </w:r>
      <w:r>
        <w:rPr>
          <w:b w:val="0"/>
          <w:i w:val="0"/>
        </w:rPr>
        <w:t xml:space="preserve"> y la del nivel 1 baja a ±0,012 </w:t>
      </w:r>
      <w:r>
        <w:rPr>
          <w:rFonts w:ascii="Menlo" w:hAnsi="Menlo"/>
          <w:b w:val="0"/>
          <w:i w:val="0"/>
          <w:sz w:val="19"/>
        </w:rPr>
        <w:t>[T51]</w:t>
      </w:r>
      <w:r>
        <w:rPr>
          <w:b w:val="0"/>
          <w:i w:val="0"/>
        </w:rPr>
        <w:t xml:space="preserve">. El menos estable de los dos pasa a ser 2b. Lo que se había leído como una propiedad del modelo era una propiedad de la semilla 42 </w:t>
      </w:r>
      <w:r>
        <w:rPr>
          <w:rFonts w:ascii="Menlo" w:hAnsi="Menlo"/>
          <w:b w:val="0"/>
          <w:i w:val="0"/>
          <w:sz w:val="19"/>
        </w:rPr>
        <w:t>[T18b]</w:t>
      </w:r>
      <w:r>
        <w:rPr>
          <w:b w:val="0"/>
          <w:i w:val="0"/>
        </w:rPr>
        <w:t xml:space="preserve">: una sola partición es una muestra de tamaño uno en el espacio de particiones, y no distingue entre las dos cosas. </w:t>
      </w:r>
      <w:r>
        <w:rPr>
          <w:b/>
          <w:i w:val="0"/>
        </w:rPr>
        <w:t>El argumento de estabilidad queda retirado.</w:t>
      </w:r>
      <w:r>
        <w:rPr>
          <w:b w:val="0"/>
          <w:i w:val="0"/>
        </w:rPr>
        <w:t xml:space="preserve"> No se ajusta la cifra y se sigue adelante con la misma conclusión: se retira el argumento entero, porque el defecto no estaba en el número sino en lo que se pretendía deducir de él.</w:t>
      </w:r>
    </w:p>
    <w:p>
      <w:pPr>
        <w:jc w:val="both"/>
      </w:pPr>
      <w:r>
        <w:rPr>
          <w:b w:val="0"/>
          <w:i w:val="0"/>
        </w:rPr>
        <w:t xml:space="preserve">Y el freno que sí sigue en pie: </w:t>
      </w:r>
      <w:r>
        <w:rPr>
          <w:b/>
          <w:i w:val="0"/>
        </w:rPr>
        <w:t>la diferencia de medias entre 2b y 1 es de 0,012, menor que la desviación entre folds del nivel 1</w:t>
      </w:r>
      <w:r>
        <w:rPr>
          <w:b w:val="0"/>
          <w:i w:val="0"/>
        </w:rPr>
        <w:t xml:space="preserve">. Con 77 a 83 positivos por fold </w:t>
      </w:r>
      <w:r>
        <w:rPr>
          <w:rFonts w:ascii="Menlo" w:hAnsi="Menlo"/>
          <w:b w:val="0"/>
          <w:i w:val="0"/>
          <w:sz w:val="19"/>
        </w:rPr>
        <w:t>[T22]</w:t>
      </w:r>
      <w:r>
        <w:rPr>
          <w:b w:val="0"/>
          <w:i w:val="0"/>
        </w:rPr>
        <w:t>, esa dispersión no permite afirmar que 2b sea superior a partir de las medias.</w:t>
      </w:r>
    </w:p>
    <w:p>
      <w:pPr>
        <w:pStyle w:val="Heading2"/>
      </w:pPr>
      <w:r>
        <w:rPr>
          <w:b w:val="0"/>
          <w:i w:val="0"/>
        </w:rPr>
        <w:t>7.4 Comparación pareada por fold</w:t>
      </w:r>
    </w:p>
    <w:p>
      <w:pPr>
        <w:jc w:val="both"/>
      </w:pPr>
      <w:r>
        <w:rPr>
          <w:b w:val="0"/>
          <w:i w:val="0"/>
        </w:rPr>
        <w:t xml:space="preserve">Comparar dos desviaciones marginales no es la forma correcta de hacerlo. Ambos niveles se evaluaron sobre </w:t>
      </w:r>
      <w:r>
        <w:rPr>
          <w:b/>
          <w:i w:val="0"/>
        </w:rPr>
        <w:t>los mismos cinco folds</w:t>
      </w:r>
      <w:r>
        <w:rPr>
          <w:b w:val="0"/>
          <w:i w:val="0"/>
        </w:rPr>
        <w:t>, así que la dificultad de cada fold —cuántos positivos tiene, qué pacientes le tocaron— afecta a los dos modelos a la vez. Es un factor de ruido común que se puede eliminar comparando fold a fold en vez de media contra media:</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1037"/>
          </w:tcPr>
          <w:p>
            <w:r>
              <w:rPr>
                <w:b/>
              </w:rPr>
            </w:r>
            <w:r>
              <w:rPr>
                <w:b/>
                <w:i w:val="0"/>
              </w:rPr>
              <w:t>Fold</w:t>
            </w:r>
          </w:p>
        </w:tc>
        <w:tc>
          <w:tcPr>
            <w:tcW w:type="dxa" w:w="3150"/>
          </w:tcPr>
          <w:p>
            <w:r>
              <w:rPr>
                <w:b/>
              </w:rPr>
            </w:r>
            <w:r>
              <w:rPr>
                <w:b/>
                <w:i w:val="0"/>
              </w:rPr>
              <w:t xml:space="preserve">Nivel 1 </w:t>
            </w:r>
            <w:r>
              <w:rPr>
                <w:rFonts w:ascii="Menlo" w:hAnsi="Menlo"/>
                <w:b/>
                <w:i w:val="0"/>
                <w:sz w:val="17"/>
              </w:rPr>
              <w:t>[T48]</w:t>
            </w:r>
          </w:p>
        </w:tc>
        <w:tc>
          <w:tcPr>
            <w:tcW w:type="dxa" w:w="3360"/>
          </w:tcPr>
          <w:p>
            <w:r>
              <w:rPr>
                <w:b/>
              </w:rPr>
            </w:r>
            <w:r>
              <w:rPr>
                <w:b/>
                <w:i w:val="0"/>
              </w:rPr>
              <w:t xml:space="preserve">Nivel 2b </w:t>
            </w:r>
            <w:r>
              <w:rPr>
                <w:rFonts w:ascii="Menlo" w:hAnsi="Menlo"/>
                <w:b/>
                <w:i w:val="0"/>
                <w:sz w:val="17"/>
              </w:rPr>
              <w:t>[T49]</w:t>
            </w:r>
          </w:p>
        </w:tc>
        <w:tc>
          <w:tcPr>
            <w:tcW w:type="dxa" w:w="2100"/>
          </w:tcPr>
          <w:p>
            <w:r>
              <w:rPr>
                <w:b/>
              </w:rPr>
            </w:r>
            <w:r>
              <w:rPr>
                <w:b/>
                <w:i w:val="0"/>
              </w:rPr>
              <w:t>Diferencia</w:t>
            </w:r>
          </w:p>
        </w:tc>
      </w:tr>
      <w:tr>
        <w:tc>
          <w:tcPr>
            <w:tcW w:type="dxa" w:w="1037"/>
          </w:tcPr>
          <w:p>
            <w:r/>
            <w:r>
              <w:rPr>
                <w:b w:val="0"/>
                <w:i w:val="0"/>
              </w:rPr>
              <w:t>1</w:t>
            </w:r>
          </w:p>
        </w:tc>
        <w:tc>
          <w:tcPr>
            <w:tcW w:type="dxa" w:w="3150"/>
          </w:tcPr>
          <w:p>
            <w:r/>
            <w:r>
              <w:rPr>
                <w:b w:val="0"/>
                <w:i w:val="0"/>
              </w:rPr>
              <w:t>0,1524</w:t>
            </w:r>
          </w:p>
        </w:tc>
        <w:tc>
          <w:tcPr>
            <w:tcW w:type="dxa" w:w="3360"/>
          </w:tcPr>
          <w:p>
            <w:r/>
            <w:r>
              <w:rPr>
                <w:b w:val="0"/>
                <w:i w:val="0"/>
              </w:rPr>
              <w:t>0,1509</w:t>
            </w:r>
          </w:p>
        </w:tc>
        <w:tc>
          <w:tcPr>
            <w:tcW w:type="dxa" w:w="2100"/>
          </w:tcPr>
          <w:p>
            <w:r/>
            <w:r>
              <w:rPr>
                <w:b/>
                <w:i w:val="0"/>
              </w:rPr>
              <w:t>−0,0015</w:t>
            </w:r>
          </w:p>
        </w:tc>
      </w:tr>
      <w:tr>
        <w:tc>
          <w:tcPr>
            <w:tcW w:type="dxa" w:w="1037"/>
          </w:tcPr>
          <w:p>
            <w:r/>
            <w:r>
              <w:rPr>
                <w:b w:val="0"/>
                <w:i w:val="0"/>
              </w:rPr>
              <w:t>2</w:t>
            </w:r>
          </w:p>
        </w:tc>
        <w:tc>
          <w:tcPr>
            <w:tcW w:type="dxa" w:w="3150"/>
          </w:tcPr>
          <w:p>
            <w:r/>
            <w:r>
              <w:rPr>
                <w:b w:val="0"/>
                <w:i w:val="0"/>
              </w:rPr>
              <w:t>0,1253</w:t>
            </w:r>
          </w:p>
        </w:tc>
        <w:tc>
          <w:tcPr>
            <w:tcW w:type="dxa" w:w="3360"/>
          </w:tcPr>
          <w:p>
            <w:r/>
            <w:r>
              <w:rPr>
                <w:b w:val="0"/>
                <w:i w:val="0"/>
              </w:rPr>
              <w:t>0,1386</w:t>
            </w:r>
          </w:p>
        </w:tc>
        <w:tc>
          <w:tcPr>
            <w:tcW w:type="dxa" w:w="2100"/>
          </w:tcPr>
          <w:p>
            <w:r/>
            <w:r>
              <w:rPr>
                <w:b w:val="0"/>
                <w:i w:val="0"/>
              </w:rPr>
              <w:t>+0,0133</w:t>
            </w:r>
          </w:p>
        </w:tc>
      </w:tr>
      <w:tr>
        <w:tc>
          <w:tcPr>
            <w:tcW w:type="dxa" w:w="1037"/>
          </w:tcPr>
          <w:p>
            <w:r/>
            <w:r>
              <w:rPr>
                <w:b w:val="0"/>
                <w:i w:val="0"/>
              </w:rPr>
              <w:t>3</w:t>
            </w:r>
          </w:p>
        </w:tc>
        <w:tc>
          <w:tcPr>
            <w:tcW w:type="dxa" w:w="3150"/>
          </w:tcPr>
          <w:p>
            <w:r/>
            <w:r>
              <w:rPr>
                <w:b w:val="0"/>
                <w:i w:val="0"/>
              </w:rPr>
              <w:t>0,1553</w:t>
            </w:r>
          </w:p>
        </w:tc>
        <w:tc>
          <w:tcPr>
            <w:tcW w:type="dxa" w:w="3360"/>
          </w:tcPr>
          <w:p>
            <w:r/>
            <w:r>
              <w:rPr>
                <w:b w:val="0"/>
                <w:i w:val="0"/>
              </w:rPr>
              <w:t>0,1499</w:t>
            </w:r>
          </w:p>
        </w:tc>
        <w:tc>
          <w:tcPr>
            <w:tcW w:type="dxa" w:w="2100"/>
          </w:tcPr>
          <w:p>
            <w:r/>
            <w:r>
              <w:rPr>
                <w:b/>
                <w:i w:val="0"/>
              </w:rPr>
              <w:t>−0,0054</w:t>
            </w:r>
          </w:p>
        </w:tc>
      </w:tr>
      <w:tr>
        <w:tc>
          <w:tcPr>
            <w:tcW w:type="dxa" w:w="1037"/>
          </w:tcPr>
          <w:p>
            <w:r/>
            <w:r>
              <w:rPr>
                <w:b w:val="0"/>
                <w:i w:val="0"/>
              </w:rPr>
              <w:t>4</w:t>
            </w:r>
          </w:p>
        </w:tc>
        <w:tc>
          <w:tcPr>
            <w:tcW w:type="dxa" w:w="3150"/>
          </w:tcPr>
          <w:p>
            <w:r/>
            <w:r>
              <w:rPr>
                <w:b w:val="0"/>
                <w:i w:val="0"/>
              </w:rPr>
              <w:t>0,1142</w:t>
            </w:r>
          </w:p>
        </w:tc>
        <w:tc>
          <w:tcPr>
            <w:tcW w:type="dxa" w:w="3360"/>
          </w:tcPr>
          <w:p>
            <w:r/>
            <w:r>
              <w:rPr>
                <w:b w:val="0"/>
                <w:i w:val="0"/>
              </w:rPr>
              <w:t>0,1478</w:t>
            </w:r>
          </w:p>
        </w:tc>
        <w:tc>
          <w:tcPr>
            <w:tcW w:type="dxa" w:w="2100"/>
          </w:tcPr>
          <w:p>
            <w:r/>
            <w:r>
              <w:rPr>
                <w:b w:val="0"/>
                <w:i w:val="0"/>
              </w:rPr>
              <w:t>+0,0336</w:t>
            </w:r>
          </w:p>
        </w:tc>
      </w:tr>
      <w:tr>
        <w:tc>
          <w:tcPr>
            <w:tcW w:type="dxa" w:w="1037"/>
          </w:tcPr>
          <w:p>
            <w:r/>
            <w:r>
              <w:rPr>
                <w:b w:val="0"/>
                <w:i w:val="0"/>
              </w:rPr>
              <w:t>5</w:t>
            </w:r>
          </w:p>
        </w:tc>
        <w:tc>
          <w:tcPr>
            <w:tcW w:type="dxa" w:w="3150"/>
          </w:tcPr>
          <w:p>
            <w:r/>
            <w:r>
              <w:rPr>
                <w:b w:val="0"/>
                <w:i w:val="0"/>
              </w:rPr>
              <w:t>0,1184</w:t>
            </w:r>
          </w:p>
        </w:tc>
        <w:tc>
          <w:tcPr>
            <w:tcW w:type="dxa" w:w="3360"/>
          </w:tcPr>
          <w:p>
            <w:r/>
            <w:r>
              <w:rPr>
                <w:b w:val="0"/>
                <w:i w:val="0"/>
              </w:rPr>
              <w:t>0,1385</w:t>
            </w:r>
          </w:p>
        </w:tc>
        <w:tc>
          <w:tcPr>
            <w:tcW w:type="dxa" w:w="2100"/>
          </w:tcPr>
          <w:p>
            <w:r/>
            <w:r>
              <w:rPr>
                <w:b w:val="0"/>
                <w:i w:val="0"/>
              </w:rPr>
              <w:t>+0,0201</w:t>
            </w:r>
          </w:p>
        </w:tc>
      </w:tr>
    </w:tbl>
    <w:p/>
    <w:p>
      <w:pPr>
        <w:jc w:val="both"/>
      </w:pPr>
      <w:r>
        <w:rPr>
          <w:b w:val="0"/>
          <w:i w:val="0"/>
        </w:rPr>
        <w:t xml:space="preserve">La comparación pareada </w:t>
      </w:r>
      <w:r>
        <w:rPr>
          <w:b/>
          <w:i w:val="0"/>
        </w:rPr>
        <w:t>no refuerza la superioridad de 2b: la debilita.</w:t>
      </w:r>
    </w:p>
    <w:p>
      <w:pPr>
        <w:pStyle w:val="ListBullet"/>
      </w:pPr>
      <w:r>
        <w:rPr>
          <w:b/>
          <w:i w:val="0"/>
        </w:rPr>
        <w:t>2b gana en tres folds de cinco.</w:t>
      </w:r>
      <w:r>
        <w:rPr>
          <w:b w:val="0"/>
          <w:i w:val="0"/>
        </w:rPr>
        <w:t xml:space="preserve"> En dos pierde. Un resultado que se distingue poco de lanzar una moneda.</w:t>
      </w:r>
    </w:p>
    <w:p>
      <w:pPr>
        <w:pStyle w:val="ListBullet"/>
      </w:pPr>
      <w:r>
        <w:rPr>
          <w:b/>
          <w:i w:val="0"/>
        </w:rPr>
        <w:t>La media de las diferencias es 0,0120, y su desviación típica es 0,0160</w:t>
      </w:r>
      <w:r>
        <w:rPr>
          <w:b w:val="0"/>
          <w:i w:val="0"/>
        </w:rPr>
        <w:t xml:space="preserve"> — mayor que la propia media. La dispersión del efecto excede su tamaño.</w:t>
      </w:r>
    </w:p>
    <w:p>
      <w:pPr>
        <w:pStyle w:val="ListBullet"/>
      </w:pPr>
      <w:r>
        <w:rPr>
          <w:b w:val="0"/>
          <w:i w:val="0"/>
        </w:rPr>
        <w:t xml:space="preserve">Un intervalo </w:t>
      </w:r>
      <w:r>
        <w:rPr>
          <w:b w:val="0"/>
          <w:i/>
        </w:rPr>
        <w:t>t</w:t>
      </w:r>
      <w:r>
        <w:rPr>
          <w:b w:val="0"/>
          <w:i w:val="0"/>
        </w:rPr>
        <w:t xml:space="preserve"> al 95% sobre esas cinco diferencias va de </w:t>
      </w:r>
      <w:r>
        <w:rPr>
          <w:b/>
          <w:i w:val="0"/>
        </w:rPr>
        <w:t>−0,008 a +0,032</w:t>
      </w:r>
      <w:r>
        <w:rPr>
          <w:b w:val="0"/>
          <w:i w:val="0"/>
        </w:rPr>
        <w:t>: contiene el cero holgadamente.</w:t>
      </w:r>
    </w:p>
    <w:p>
      <w:pPr>
        <w:jc w:val="both"/>
      </w:pPr>
      <w:r>
        <w:rPr>
          <w:b w:val="0"/>
          <w:i w:val="0"/>
        </w:rPr>
        <w:t xml:space="preserve">Ese intervalo, además, es </w:t>
      </w:r>
      <w:r>
        <w:rPr>
          <w:b/>
          <w:i w:val="0"/>
        </w:rPr>
        <w:t>optimista</w:t>
      </w:r>
      <w:r>
        <w:rPr>
          <w:b w:val="0"/>
          <w:i w:val="0"/>
        </w:rPr>
        <w:t xml:space="preserve">, no conservador. Los folds de una validación cruzada comparten la mayor parte de sus datos de entrenamiento, de modo que las cinco diferencias no son observaciones independientes y el intervalo </w:t>
      </w:r>
      <w:r>
        <w:rPr>
          <w:b w:val="0"/>
          <w:i/>
        </w:rPr>
        <w:t>t</w:t>
      </w:r>
      <w:r>
        <w:rPr>
          <w:b w:val="0"/>
          <w:i w:val="0"/>
        </w:rPr>
        <w:t xml:space="preserve"> ordinario subestima la variabilidad real. La conclusión honesta es por tanto más débil todavía que lo que sugiere el propio intervalo.</w:t>
      </w:r>
    </w:p>
    <w:p>
      <w:pPr>
        <w:jc w:val="both"/>
      </w:pPr>
      <w:r>
        <w:rPr>
          <w:b w:val="0"/>
          <w:i w:val="0"/>
        </w:rPr>
        <w:t xml:space="preserve">Sobre esta partición queda una asimetría que parece real: 2b es sensiblemente </w:t>
      </w:r>
      <w:r>
        <w:rPr>
          <w:b/>
          <w:i w:val="0"/>
        </w:rPr>
        <w:t>más estable</w:t>
      </w:r>
      <w:r>
        <w:rPr>
          <w:b w:val="0"/>
          <w:i w:val="0"/>
        </w:rPr>
        <w:t xml:space="preserve"> —±0,0055 </w:t>
      </w:r>
      <w:r>
        <w:rPr>
          <w:rFonts w:ascii="Menlo" w:hAnsi="Menlo"/>
          <w:b w:val="0"/>
          <w:i w:val="0"/>
          <w:sz w:val="19"/>
        </w:rPr>
        <w:t>[T44]</w:t>
      </w:r>
      <w:r>
        <w:rPr>
          <w:b w:val="0"/>
          <w:i w:val="0"/>
        </w:rPr>
        <w:t xml:space="preserve"> frente a ±0,0173 </w:t>
      </w:r>
      <w:r>
        <w:rPr>
          <w:rFonts w:ascii="Menlo" w:hAnsi="Menlo"/>
          <w:b w:val="0"/>
          <w:i w:val="0"/>
          <w:sz w:val="19"/>
        </w:rPr>
        <w:t>[T39]</w:t>
      </w:r>
      <w:r>
        <w:rPr>
          <w:b w:val="0"/>
          <w:i w:val="0"/>
        </w:rPr>
        <w:t xml:space="preserve">—, y su peor fold (0,1385) es mejor que los dos peores del nivel 1 (0,1142 y 0,1184). </w:t>
      </w:r>
      <w:r>
        <w:rPr>
          <w:b/>
          <w:i w:val="0"/>
        </w:rPr>
        <w:t>Esa asimetría no sobrevive a la repetición</w:t>
      </w:r>
      <w:r>
        <w:rPr>
          <w:b w:val="0"/>
          <w:i w:val="0"/>
        </w:rPr>
        <w:t xml:space="preserve"> y no debe usarse como argumento de reserva a favor de 2b: con diez semillas el más disperso es 2b (sección 7.3).</w:t>
      </w:r>
    </w:p>
    <w:p>
      <w:pPr>
        <w:jc w:val="both"/>
      </w:pPr>
      <w:r>
        <w:rPr>
          <w:b/>
          <w:i w:val="0"/>
        </w:rPr>
        <w:t>Lo que no se puede afirmar:</w:t>
      </w:r>
      <w:r>
        <w:rPr>
          <w:b w:val="0"/>
          <w:i w:val="0"/>
        </w:rPr>
        <w:t xml:space="preserve"> que 2b sea superior al nivel 1 en pAUC medio. Con cinco folds y entre 77 y 83 positivos en cada uno </w:t>
      </w:r>
      <w:r>
        <w:rPr>
          <w:rFonts w:ascii="Menlo" w:hAnsi="Menlo"/>
          <w:b w:val="0"/>
          <w:i w:val="0"/>
          <w:sz w:val="19"/>
        </w:rPr>
        <w:t>[T22]</w:t>
      </w:r>
      <w:r>
        <w:rPr>
          <w:b w:val="0"/>
          <w:i w:val="0"/>
        </w:rPr>
        <w:t>, el diseño no tiene resolución para sostenerlo.</w:t>
      </w:r>
    </w:p>
    <w:p>
      <w:pPr>
        <w:pStyle w:val="Heading2"/>
      </w:pPr>
      <w:r>
        <w:rPr>
          <w:b w:val="0"/>
          <w:i w:val="0"/>
        </w:rPr>
        <w:t>7.5 Validación cruzada repetida: la medición que zanja la comparación</w:t>
      </w:r>
    </w:p>
    <w:p>
      <w:pPr>
        <w:jc w:val="both"/>
      </w:pPr>
      <w:r>
        <w:rPr>
          <w:b w:val="0"/>
          <w:i w:val="0"/>
        </w:rPr>
        <w:t xml:space="preserve">Una versión anterior de la sección 7.4 cerraba declarando fuera de alcance justo lo que hacía falta —repetir la validación cruzada un número mayor de veces— y esa deuda se saldó después: el instrumento </w:t>
      </w:r>
      <w:r>
        <w:rPr>
          <w:rFonts w:ascii="Menlo" w:hAnsi="Menlo"/>
          <w:b w:val="0"/>
          <w:i w:val="0"/>
          <w:sz w:val="19"/>
        </w:rPr>
        <w:t>modelado-baseline</w:t>
      </w:r>
      <w:r>
        <w:rPr>
          <w:b w:val="0"/>
          <w:i w:val="0"/>
        </w:rPr>
        <w:t xml:space="preserve"> se extendió con un segundo script que corre el mismo esquema con </w:t>
      </w:r>
      <w:r>
        <w:rPr>
          <w:b/>
          <w:i w:val="0"/>
        </w:rPr>
        <w:t>diez semillas de partición</w:t>
      </w:r>
      <w:r>
        <w:rPr>
          <w:b w:val="0"/>
          <w:i w:val="0"/>
        </w:rPr>
        <w:t xml:space="preserve"> en vez de una, cinco folds cada una </w:t>
      </w:r>
      <w:r>
        <w:rPr>
          <w:rFonts w:ascii="Menlo" w:hAnsi="Menlo"/>
          <w:b w:val="0"/>
          <w:i w:val="0"/>
          <w:sz w:val="19"/>
        </w:rPr>
        <w:t>[T50]</w:t>
      </w:r>
      <w:r>
        <w:rPr>
          <w:b w:val="0"/>
          <w:i w:val="0"/>
        </w:rPr>
        <w:t>. Es la medición más fuerte que existe en este proyecto sobre la comparación entre 2b y el nivel 1, y cambia dos cosas.</w:t>
      </w:r>
    </w:p>
    <w:p>
      <w:pPr>
        <w:jc w:val="both"/>
      </w:pPr>
      <w:r>
        <w:rPr>
          <w:b/>
          <w:i w:val="0"/>
        </w:rPr>
        <w:t>Lo que cambia.</w:t>
      </w:r>
      <w:r>
        <w:rPr>
          <w:b w:val="0"/>
          <w:i w:val="0"/>
        </w:rPr>
        <w:t xml:space="preserve"> El argumento de estabilidad se cae (sección 7.3). Las medias globales quedan en 0,131 para el nivel 1 y 0,1435 para 2b </w:t>
      </w:r>
      <w:r>
        <w:rPr>
          <w:rFonts w:ascii="Menlo" w:hAnsi="Menlo"/>
          <w:b w:val="0"/>
          <w:i w:val="0"/>
          <w:sz w:val="19"/>
        </w:rPr>
        <w:t>[T53]</w:t>
      </w:r>
      <w:r>
        <w:rPr>
          <w:b w:val="0"/>
          <w:i w:val="0"/>
        </w:rPr>
        <w:t xml:space="preserve">, muy cerca de lo medido sobre una sola partición, de modo que la ventaja </w:t>
      </w:r>
      <w:r>
        <w:rPr>
          <w:b w:val="0"/>
          <w:i/>
        </w:rPr>
        <w:t>en dirección</w:t>
      </w:r>
      <w:r>
        <w:rPr>
          <w:b w:val="0"/>
          <w:i w:val="0"/>
        </w:rPr>
        <w:t xml:space="preserve"> no era un artefacto de la semilla.</w:t>
      </w:r>
    </w:p>
    <w:p>
      <w:pPr>
        <w:jc w:val="both"/>
      </w:pPr>
      <w:r>
        <w:rPr>
          <w:b/>
          <w:i w:val="0"/>
        </w:rPr>
        <w:t>Lo que no cambia.</w:t>
      </w:r>
      <w:r>
        <w:rPr>
          <w:b w:val="0"/>
          <w:i w:val="0"/>
        </w:rPr>
        <w:t xml:space="preserve"> La ventaja sigue sin poder afirmarse como magnitud. 2b gana en </w:t>
      </w:r>
      <w:r>
        <w:rPr>
          <w:b/>
          <w:i w:val="0"/>
        </w:rPr>
        <w:t>40 de 50</w:t>
      </w:r>
      <w:r>
        <w:rPr>
          <w:b w:val="0"/>
          <w:i w:val="0"/>
        </w:rPr>
        <w:t xml:space="preserve"> folds </w:t>
      </w:r>
      <w:r>
        <w:rPr>
          <w:rFonts w:ascii="Menlo" w:hAnsi="Menlo"/>
          <w:b w:val="0"/>
          <w:i w:val="0"/>
          <w:sz w:val="19"/>
        </w:rPr>
        <w:t>[T54]</w:t>
      </w:r>
      <w:r>
        <w:rPr>
          <w:b w:val="0"/>
          <w:i w:val="0"/>
        </w:rPr>
        <w:t xml:space="preserve"> y en </w:t>
      </w:r>
      <w:r>
        <w:rPr>
          <w:b/>
          <w:i w:val="0"/>
        </w:rPr>
        <w:t>10 de 10</w:t>
      </w:r>
      <w:r>
        <w:rPr>
          <w:b w:val="0"/>
          <w:i w:val="0"/>
        </w:rPr>
        <w:t xml:space="preserve"> semillas </w:t>
      </w:r>
      <w:r>
        <w:rPr>
          <w:rFonts w:ascii="Menlo" w:hAnsi="Menlo"/>
          <w:b w:val="0"/>
          <w:i w:val="0"/>
          <w:sz w:val="19"/>
        </w:rPr>
        <w:t>[T55]</w:t>
      </w:r>
      <w:r>
        <w:rPr>
          <w:b w:val="0"/>
          <w:i w:val="0"/>
        </w:rPr>
        <w:t xml:space="preserve">, con una diferencia media de 0,0125 y una desviación de 0,0136 </w:t>
      </w:r>
      <w:r>
        <w:rPr>
          <w:rFonts w:ascii="Menlo" w:hAnsi="Menlo"/>
          <w:b w:val="0"/>
          <w:i w:val="0"/>
          <w:sz w:val="19"/>
        </w:rPr>
        <w:t>[T56]</w:t>
      </w:r>
      <w:r>
        <w:rPr>
          <w:b w:val="0"/>
          <w:i w:val="0"/>
        </w:rPr>
        <w:t xml:space="preserve"> —la dispersión vuelve a exceder al efecto—. El intervalo </w:t>
      </w:r>
      <w:r>
        <w:rPr>
          <w:b w:val="0"/>
          <w:i/>
        </w:rPr>
        <w:t>t</w:t>
      </w:r>
      <w:r>
        <w:rPr>
          <w:b w:val="0"/>
          <w:i w:val="0"/>
        </w:rPr>
        <w:t xml:space="preserve"> ingenuo sobre esas 50 diferencias va de 0,0087 a 0,0164 </w:t>
      </w:r>
      <w:r>
        <w:rPr>
          <w:rFonts w:ascii="Menlo" w:hAnsi="Menlo"/>
          <w:b w:val="0"/>
          <w:i w:val="0"/>
          <w:sz w:val="19"/>
        </w:rPr>
        <w:t>[T57]</w:t>
      </w:r>
      <w:r>
        <w:rPr>
          <w:b w:val="0"/>
          <w:i w:val="0"/>
        </w:rPr>
        <w:t xml:space="preserve"> y </w:t>
      </w:r>
      <w:r>
        <w:rPr>
          <w:b/>
          <w:i w:val="0"/>
        </w:rPr>
        <w:t>excluye</w:t>
      </w:r>
      <w:r>
        <w:rPr>
          <w:b w:val="0"/>
          <w:i w:val="0"/>
        </w:rPr>
        <w:t xml:space="preserve"> el cero, pero ese intervalo no es válido aquí: supone que las 50 diferencias son independientes, y no lo son, porque los conjuntos de entrenamiento se solapan entre folds de una misma semilla. Repetir con distintas semillas elimina la dependencia de </w:t>
      </w:r>
      <w:r>
        <w:rPr>
          <w:b w:val="0"/>
          <w:i/>
        </w:rPr>
        <w:t>una</w:t>
      </w:r>
      <w:r>
        <w:rPr>
          <w:b w:val="0"/>
          <w:i w:val="0"/>
        </w:rPr>
        <w:t xml:space="preserve"> asignación concreta de folds, no el solape dentro de cada una.</w:t>
      </w:r>
    </w:p>
    <w:p>
      <w:pPr>
        <w:jc w:val="both"/>
      </w:pPr>
      <w:r>
        <w:rPr>
          <w:b w:val="0"/>
          <w:i w:val="0"/>
        </w:rPr>
        <w:t xml:space="preserve">Corregido ese solape con el ajuste de varianza de Nadeau y Bengio, el intervalo al 95% va de </w:t>
      </w:r>
      <w:r>
        <w:rPr>
          <w:b/>
          <w:i w:val="0"/>
        </w:rPr>
        <w:t>−0,0017 a 0,0268</w:t>
      </w:r>
      <w:r>
        <w:rPr>
          <w:b w:val="0"/>
          <w:i w:val="0"/>
        </w:rPr>
        <w:t xml:space="preserve"> </w:t>
      </w:r>
      <w:r>
        <w:rPr>
          <w:rFonts w:ascii="Menlo" w:hAnsi="Menlo"/>
          <w:b w:val="0"/>
          <w:i w:val="0"/>
          <w:sz w:val="19"/>
        </w:rPr>
        <w:t>[T58]</w:t>
      </w:r>
      <w:r>
        <w:rPr>
          <w:b w:val="0"/>
          <w:i w:val="0"/>
        </w:rPr>
        <w:t xml:space="preserve">: contiene el cero, por poco y por el lado esperable. La conclusión defendible es por tanto la incómoda: </w:t>
      </w:r>
      <w:r>
        <w:rPr>
          <w:b/>
          <w:i w:val="0"/>
        </w:rPr>
        <w:t>la dirección del efecto es consistente hasta ser casi monótona, y su magnitud sigue sin ser distinguible de cero.</w:t>
      </w:r>
      <w:r>
        <w:rPr>
          <w:b w:val="0"/>
          <w:i w:val="0"/>
        </w:rPr>
        <w:t xml:space="preserve"> Reportar el intervalo ingenuo habría convertido la misma medición en un resultado positivo; la diferencia entre uno y otro no es estadística fina, es qué se le dice al cliente.</w:t>
      </w:r>
    </w:p>
    <w:p>
      <w:pPr>
        <w:pStyle w:val="Heading1"/>
      </w:pPr>
      <w:r>
        <w:rPr>
          <w:b w:val="0"/>
          <w:i w:val="0"/>
        </w:rPr>
        <w:t>8. Limitaciones</w:t>
      </w:r>
    </w:p>
    <w:p>
      <w:pPr>
        <w:jc w:val="both"/>
      </w:pPr>
      <w:r>
        <w:rPr>
          <w:b w:val="0"/>
          <w:i w:val="0"/>
        </w:rPr>
        <w:t>Ordenadas por cuánto comprometen las conclusiones.</w:t>
      </w:r>
    </w:p>
    <w:p>
      <w:pPr>
        <w:jc w:val="both"/>
      </w:pPr>
      <w:r>
        <w:rPr>
          <w:b/>
          <w:i w:val="0"/>
        </w:rPr>
        <w:t>1. La clase negativa tiene ruido de etiqueta estructural.</w:t>
      </w:r>
      <w:r>
        <w:rPr>
          <w:b w:val="0"/>
          <w:i w:val="0"/>
        </w:rPr>
        <w:t xml:space="preserve"> Los positivos están confirmados por patología; la mayoría de los negativos nunca fue biopsiada y se asume benigna por evaluación clínica </w:t>
      </w:r>
      <w:r>
        <w:rPr>
          <w:rFonts w:ascii="Menlo" w:hAnsi="Menlo"/>
          <w:b w:val="0"/>
          <w:i w:val="0"/>
          <w:sz w:val="19"/>
        </w:rPr>
        <w:t>[E2]</w:t>
      </w:r>
      <w:r>
        <w:rPr>
          <w:b w:val="0"/>
          <w:i w:val="0"/>
        </w:rPr>
        <w:t>. Todo el desempeño reportado se mide contra una referencia que es sólida en una clase y presunta en la otra. Un caso maligno no detectado por el dermatólogo y nunca biopsiado cuenta aquí como negativo, y un modelo que lo señalara sería penalizado por acertar.</w:t>
      </w:r>
    </w:p>
    <w:p>
      <w:pPr>
        <w:jc w:val="both"/>
      </w:pPr>
      <w:r>
        <w:rPr>
          <w:b/>
          <w:i w:val="0"/>
        </w:rPr>
        <w:t>2. No hay conjunto de prueba real.</w:t>
      </w:r>
      <w:r>
        <w:rPr>
          <w:b w:val="0"/>
          <w:i w:val="0"/>
        </w:rPr>
        <w:t xml:space="preserve"> El archivo de prueba disponible es un marcador de posición </w:t>
      </w:r>
      <w:r>
        <w:rPr>
          <w:rFonts w:ascii="Menlo" w:hAnsi="Menlo"/>
          <w:b w:val="0"/>
          <w:i w:val="0"/>
          <w:sz w:val="19"/>
        </w:rPr>
        <w:t>[T47]</w:t>
      </w:r>
      <w:r>
        <w:rPr>
          <w:b w:val="0"/>
          <w:i w:val="0"/>
        </w:rPr>
        <w:t>, sin etiquetas. Todo lo reportado es validación cruzada sobre entrenamiento. No hay ninguna estimación de desempeño fuera de muestra en el sentido fuerte, y el leaderboard privado no es accesible.</w:t>
      </w:r>
    </w:p>
    <w:p>
      <w:pPr>
        <w:jc w:val="both"/>
      </w:pPr>
      <w:r>
        <w:rPr>
          <w:b/>
          <w:i w:val="0"/>
        </w:rPr>
        <w:t>3. El número de positivos es pequeño en términos absolutos.</w:t>
      </w:r>
      <w:r>
        <w:rPr>
          <w:b w:val="0"/>
          <w:i w:val="0"/>
        </w:rPr>
        <w:t xml:space="preserve"> 393 casos </w:t>
      </w:r>
      <w:r>
        <w:rPr>
          <w:rFonts w:ascii="Menlo" w:hAnsi="Menlo"/>
          <w:b w:val="0"/>
          <w:i w:val="0"/>
          <w:sz w:val="19"/>
        </w:rPr>
        <w:t>[T3]</w:t>
      </w:r>
      <w:r>
        <w:rPr>
          <w:b w:val="0"/>
          <w:i w:val="0"/>
        </w:rPr>
        <w:t xml:space="preserve">, entre 77 y 83 por fold </w:t>
      </w:r>
      <w:r>
        <w:rPr>
          <w:rFonts w:ascii="Menlo" w:hAnsi="Menlo"/>
          <w:b w:val="0"/>
          <w:i w:val="0"/>
          <w:sz w:val="19"/>
        </w:rPr>
        <w:t>[T22]</w:t>
      </w:r>
      <w:r>
        <w:rPr>
          <w:b w:val="0"/>
          <w:i w:val="0"/>
        </w:rPr>
        <w:t>. Cualquier estimación de desempeño tiene una precisión limitada por ese número, con independencia de cuántas filas totales haya.</w:t>
      </w:r>
    </w:p>
    <w:p>
      <w:pPr>
        <w:jc w:val="both"/>
      </w:pPr>
      <w:r>
        <w:rPr>
          <w:b/>
          <w:i w:val="0"/>
        </w:rPr>
        <w:t>4. Solo se usó la metadata tabular.</w:t>
      </w:r>
      <w:r>
        <w:rPr>
          <w:b w:val="0"/>
          <w:i w:val="0"/>
        </w:rPr>
        <w:t xml:space="preserve"> No se tocaron las imágenes. Los resultados son un piso de lo alcanzable, no un techo.</w:t>
      </w:r>
    </w:p>
    <w:p>
      <w:pPr>
        <w:jc w:val="both"/>
      </w:pPr>
      <w:r>
        <w:rPr>
          <w:b/>
          <w:i w:val="0"/>
        </w:rPr>
        <w:t>5. Ningún hiperparámetro fue ajustado.</w:t>
      </w:r>
      <w:r>
        <w:rPr>
          <w:b w:val="0"/>
          <w:i w:val="0"/>
        </w:rPr>
        <w:t xml:space="preserve"> Los modelos usan configuración por defecto, deliberadamente. Los números de la sección 7 son referencias, no el mejor desempeño alcanzable.</w:t>
      </w:r>
    </w:p>
    <w:p>
      <w:pPr>
        <w:jc w:val="both"/>
      </w:pPr>
      <w:r>
        <w:rPr>
          <w:b/>
          <w:i w:val="0"/>
        </w:rPr>
        <w:t>6. La métrica y su umbral son una elección del organizador, no una verdad.</w:t>
      </w:r>
      <w:r>
        <w:rPr>
          <w:b w:val="0"/>
          <w:i w:val="0"/>
        </w:rPr>
        <w:t xml:space="preserve"> Kaggle evalúa sobre 80% de sensibilidad; el esquema de premios del propio organizador ISIC usa 88% </w:t>
      </w:r>
      <w:r>
        <w:rPr>
          <w:rFonts w:ascii="Menlo" w:hAnsi="Menlo"/>
          <w:b w:val="0"/>
          <w:i w:val="0"/>
          <w:sz w:val="19"/>
        </w:rPr>
        <w:t>[E7]</w:t>
      </w:r>
      <w:r>
        <w:rPr>
          <w:b w:val="0"/>
          <w:i w:val="0"/>
        </w:rPr>
        <w:t xml:space="preserve"> sobre el mismo algoritmo. Son dos evaluaciones distintas con dueños distintos. Este proyecto replica la de Kaggle, y esa decisión es una convención adoptada, no un hallazgo.</w:t>
      </w:r>
    </w:p>
    <w:p>
      <w:pPr>
        <w:jc w:val="both"/>
      </w:pPr>
      <w:r>
        <w:rPr>
          <w:b/>
          <w:i w:val="0"/>
        </w:rPr>
        <w:t>7. Queda una condición de la competencia sin verificar.</w:t>
      </w:r>
      <w:r>
        <w:rPr>
          <w:b w:val="0"/>
          <w:i w:val="0"/>
        </w:rPr>
        <w:t xml:space="preserve"> Los límites de cómputo y el acceso a internet en las entregas no pudieron confirmarse: la página correspondiente no está entre las copias disponibles y no se completó de memoria. No afecta a los resultados estadísticos, pero sí a cualquier afirmación sobre viabilidad de despliegue.</w:t>
      </w:r>
    </w:p>
    <w:p>
      <w:pPr>
        <w:pStyle w:val="Heading1"/>
      </w:pPr>
      <w:r>
        <w:rPr>
          <w:b w:val="0"/>
          <w:i w:val="0"/>
        </w:rPr>
        <w:t>9. Conclusiones y recomendación</w:t>
      </w:r>
    </w:p>
    <w:p>
      <w:pPr>
        <w:pStyle w:val="Heading2"/>
      </w:pPr>
      <w:r>
        <w:rPr>
          <w:b w:val="0"/>
          <w:i w:val="0"/>
        </w:rPr>
        <w:t>9.1 Qué se puede afirmar</w:t>
      </w:r>
    </w:p>
    <w:p>
      <w:pPr>
        <w:pStyle w:val="ListBullet"/>
      </w:pPr>
      <w:r>
        <w:rPr>
          <w:b/>
          <w:i w:val="0"/>
        </w:rPr>
        <w:t>La agrupación por paciente no es opcional en este dataset.</w:t>
      </w:r>
      <w:r>
        <w:rPr>
          <w:b w:val="0"/>
          <w:i w:val="0"/>
        </w:rPr>
        <w:t xml:space="preserve"> El 99,04% </w:t>
      </w:r>
      <w:r>
        <w:rPr>
          <w:rFonts w:ascii="Menlo" w:hAnsi="Menlo"/>
          <w:b w:val="0"/>
          <w:i w:val="0"/>
          <w:sz w:val="19"/>
        </w:rPr>
        <w:t>[T18]</w:t>
      </w:r>
      <w:r>
        <w:rPr>
          <w:b w:val="0"/>
          <w:i w:val="0"/>
        </w:rPr>
        <w:t xml:space="preserve"> de los pacientes quedaría repartido bajo una partición aleatoria. Es la decisión de diseño con mayor impacto de todo el proyecto, y se toma antes de entrenar nada.</w:t>
      </w:r>
    </w:p>
    <w:p>
      <w:pPr>
        <w:pStyle w:val="ListBullet"/>
      </w:pPr>
      <w:r>
        <w:rPr>
          <w:b/>
          <w:i w:val="0"/>
        </w:rPr>
        <w:t>Once columnas deben excluirse</w:t>
      </w:r>
      <w:r>
        <w:rPr>
          <w:b w:val="0"/>
          <w:i w:val="0"/>
        </w:rPr>
        <w:t xml:space="preserve"> </w:t>
      </w:r>
      <w:r>
        <w:rPr>
          <w:rFonts w:ascii="Menlo" w:hAnsi="Menlo"/>
          <w:b w:val="0"/>
          <w:i w:val="0"/>
          <w:sz w:val="19"/>
        </w:rPr>
        <w:t>[T10]</w:t>
      </w:r>
      <w:r>
        <w:rPr>
          <w:b w:val="0"/>
          <w:i w:val="0"/>
        </w:rPr>
        <w:t>, por tres razones distintas que conviene no confundir (sección 6.1).</w:t>
      </w:r>
    </w:p>
    <w:p>
      <w:pPr>
        <w:pStyle w:val="ListBullet"/>
      </w:pPr>
      <w:r>
        <w:rPr>
          <w:b/>
          <w:i w:val="0"/>
        </w:rPr>
        <w:t>La metadata tabular tiene señal real.</w:t>
      </w:r>
      <w:r>
        <w:rPr>
          <w:b w:val="0"/>
          <w:i w:val="0"/>
        </w:rPr>
        <w:t xml:space="preserve"> Los modelos combinados alcanzan posiciones de entre 0,6283 </w:t>
      </w:r>
      <w:r>
        <w:rPr>
          <w:rFonts w:ascii="Menlo" w:hAnsi="Menlo"/>
          <w:b w:val="0"/>
          <w:i w:val="0"/>
          <w:sz w:val="19"/>
        </w:rPr>
        <w:t>[T40]</w:t>
      </w:r>
      <w:r>
        <w:rPr>
          <w:b w:val="0"/>
          <w:i w:val="0"/>
        </w:rPr>
        <w:t xml:space="preserve"> y 0,695 </w:t>
      </w:r>
      <w:r>
        <w:rPr>
          <w:rFonts w:ascii="Menlo" w:hAnsi="Menlo"/>
          <w:b w:val="0"/>
          <w:i w:val="0"/>
          <w:sz w:val="19"/>
        </w:rPr>
        <w:t>[T45]</w:t>
      </w:r>
      <w:r>
        <w:rPr>
          <w:b w:val="0"/>
          <w:i w:val="0"/>
        </w:rPr>
        <w:t xml:space="preserve"> en la escala que va de 0 en el azar a 1 en el clasificador perfecto, frente a 0,3383 </w:t>
      </w:r>
      <w:r>
        <w:rPr>
          <w:rFonts w:ascii="Menlo" w:hAnsi="Menlo"/>
          <w:b w:val="0"/>
          <w:i w:val="0"/>
          <w:sz w:val="19"/>
        </w:rPr>
        <w:t>[T37]</w:t>
      </w:r>
      <w:r>
        <w:rPr>
          <w:b w:val="0"/>
          <w:i w:val="0"/>
        </w:rPr>
        <w:t xml:space="preserve"> de la mejor columna sola.</w:t>
      </w:r>
    </w:p>
    <w:p>
      <w:pPr>
        <w:pStyle w:val="ListBullet"/>
      </w:pPr>
      <w:r>
        <w:rPr>
          <w:b/>
          <w:i w:val="0"/>
        </w:rPr>
        <w:t>El ajuste por desbalance no es un refinamiento, es un requisito.</w:t>
      </w:r>
      <w:r>
        <w:rPr>
          <w:b w:val="0"/>
          <w:i w:val="0"/>
        </w:rPr>
        <w:t xml:space="preserve"> Sin él, el modelo de mayor capacidad queda por debajo del azar en la métrica del cliente </w:t>
      </w:r>
      <w:r>
        <w:rPr>
          <w:rFonts w:ascii="Menlo" w:hAnsi="Menlo"/>
          <w:b w:val="0"/>
          <w:i w:val="0"/>
          <w:sz w:val="19"/>
        </w:rPr>
        <w:t>[T30b]</w:t>
      </w:r>
      <w:r>
        <w:rPr>
          <w:b w:val="0"/>
          <w:i w:val="0"/>
        </w:rPr>
        <w:t>.</w:t>
      </w:r>
    </w:p>
    <w:p>
      <w:pPr>
        <w:pStyle w:val="Heading2"/>
      </w:pPr>
      <w:r>
        <w:rPr>
          <w:b w:val="0"/>
          <w:i w:val="0"/>
        </w:rPr>
        <w:t>9.2 Qué NO se puede afirmar</w:t>
      </w:r>
    </w:p>
    <w:p>
      <w:pPr>
        <w:pStyle w:val="ListBullet"/>
      </w:pPr>
      <w:r>
        <w:rPr>
          <w:b/>
          <w:i w:val="0"/>
        </w:rPr>
        <w:t>Que el nivel 2b sea superior al nivel 1.</w:t>
      </w:r>
      <w:r>
        <w:rPr>
          <w:b w:val="0"/>
          <w:i w:val="0"/>
        </w:rPr>
        <w:t xml:space="preserve"> La comparación pareada por fold —la forma correcta de hacerla, porque ambos se evaluaron sobre los mismos folds— ya lo dejaba en duda sobre una partición: 2b gana en </w:t>
      </w:r>
      <w:r>
        <w:rPr>
          <w:b/>
          <w:i w:val="0"/>
        </w:rPr>
        <w:t>tres de cinco</w:t>
      </w:r>
      <w:r>
        <w:rPr>
          <w:b w:val="0"/>
          <w:i w:val="0"/>
        </w:rPr>
        <w:t xml:space="preserve"> folds </w:t>
      </w:r>
      <w:r>
        <w:rPr>
          <w:rFonts w:ascii="Menlo" w:hAnsi="Menlo"/>
          <w:b w:val="0"/>
          <w:i w:val="0"/>
          <w:sz w:val="19"/>
        </w:rPr>
        <w:t>[T48]</w:t>
      </w:r>
      <w:r>
        <w:rPr>
          <w:b w:val="0"/>
          <w:i w:val="0"/>
        </w:rPr>
        <w:t xml:space="preserve"> </w:t>
      </w:r>
      <w:r>
        <w:rPr>
          <w:rFonts w:ascii="Menlo" w:hAnsi="Menlo"/>
          <w:b w:val="0"/>
          <w:i w:val="0"/>
          <w:sz w:val="19"/>
        </w:rPr>
        <w:t>[T49]</w:t>
      </w:r>
      <w:r>
        <w:rPr>
          <w:b w:val="0"/>
          <w:i w:val="0"/>
        </w:rPr>
        <w:t xml:space="preserve">, la desviación de las diferencias (0,0160) supera a su media (0,0120), y el intervalo contiene el cero (sección 7.4). La validación cruzada repetida con diez semillas </w:t>
      </w:r>
      <w:r>
        <w:rPr>
          <w:rFonts w:ascii="Menlo" w:hAnsi="Menlo"/>
          <w:b w:val="0"/>
          <w:i w:val="0"/>
          <w:sz w:val="19"/>
        </w:rPr>
        <w:t>[T50]</w:t>
      </w:r>
      <w:r>
        <w:rPr>
          <w:b w:val="0"/>
          <w:i w:val="0"/>
        </w:rPr>
        <w:t xml:space="preserve"> —la medición más fuerte que existe sobre esta comparación— lo confirma y lo precisa: 2b gana en dirección de forma casi monótona, </w:t>
      </w:r>
      <w:r>
        <w:rPr>
          <w:b/>
          <w:i w:val="0"/>
        </w:rPr>
        <w:t>40 de 50</w:t>
      </w:r>
      <w:r>
        <w:rPr>
          <w:b w:val="0"/>
          <w:i w:val="0"/>
        </w:rPr>
        <w:t xml:space="preserve"> folds </w:t>
      </w:r>
      <w:r>
        <w:rPr>
          <w:rFonts w:ascii="Menlo" w:hAnsi="Menlo"/>
          <w:b w:val="0"/>
          <w:i w:val="0"/>
          <w:sz w:val="19"/>
        </w:rPr>
        <w:t>[T54]</w:t>
      </w:r>
      <w:r>
        <w:rPr>
          <w:b w:val="0"/>
          <w:i w:val="0"/>
        </w:rPr>
        <w:t xml:space="preserve"> y </w:t>
      </w:r>
      <w:r>
        <w:rPr>
          <w:b/>
          <w:i w:val="0"/>
        </w:rPr>
        <w:t>10 de 10</w:t>
      </w:r>
      <w:r>
        <w:rPr>
          <w:b w:val="0"/>
          <w:i w:val="0"/>
        </w:rPr>
        <w:t xml:space="preserve"> semillas </w:t>
      </w:r>
      <w:r>
        <w:rPr>
          <w:rFonts w:ascii="Menlo" w:hAnsi="Menlo"/>
          <w:b w:val="0"/>
          <w:i w:val="0"/>
          <w:sz w:val="19"/>
        </w:rPr>
        <w:t>[T55]</w:t>
      </w:r>
      <w:r>
        <w:rPr>
          <w:b w:val="0"/>
          <w:i w:val="0"/>
        </w:rPr>
        <w:t xml:space="preserve">, con una diferencia media de 0,0125 </w:t>
      </w:r>
      <w:r>
        <w:rPr>
          <w:rFonts w:ascii="Menlo" w:hAnsi="Menlo"/>
          <w:b w:val="0"/>
          <w:i w:val="0"/>
          <w:sz w:val="19"/>
        </w:rPr>
        <w:t>[T56]</w:t>
      </w:r>
      <w:r>
        <w:rPr>
          <w:b w:val="0"/>
          <w:i w:val="0"/>
        </w:rPr>
        <w:t xml:space="preserve">; pero el intervalo al 95% corregido por el solape entre folds va de </w:t>
      </w:r>
      <w:r>
        <w:rPr>
          <w:b/>
          <w:i w:val="0"/>
        </w:rPr>
        <w:t>−0,0017 a 0,0268</w:t>
      </w:r>
      <w:r>
        <w:rPr>
          <w:b w:val="0"/>
          <w:i w:val="0"/>
        </w:rPr>
        <w:t xml:space="preserve"> </w:t>
      </w:r>
      <w:r>
        <w:rPr>
          <w:rFonts w:ascii="Menlo" w:hAnsi="Menlo"/>
          <w:b w:val="0"/>
          <w:i w:val="0"/>
          <w:sz w:val="19"/>
        </w:rPr>
        <w:t>[T58]</w:t>
      </w:r>
      <w:r>
        <w:rPr>
          <w:b w:val="0"/>
          <w:i w:val="0"/>
        </w:rPr>
        <w:t xml:space="preserve"> y sigue conteniendo el cero (sección 7.5). Dirección sí; magnitud no. Y la estabilidad ya no sirve como argumento de reserva: bajo repetición el modelo más disperso es 2b </w:t>
      </w:r>
      <w:r>
        <w:rPr>
          <w:rFonts w:ascii="Menlo" w:hAnsi="Menlo"/>
          <w:b w:val="0"/>
          <w:i w:val="0"/>
          <w:sz w:val="19"/>
        </w:rPr>
        <w:t>[T52]</w:t>
      </w:r>
      <w:r>
        <w:rPr>
          <w:b w:val="0"/>
          <w:i w:val="0"/>
        </w:rPr>
        <w:t xml:space="preserve"> </w:t>
      </w:r>
      <w:r>
        <w:rPr>
          <w:rFonts w:ascii="Menlo" w:hAnsi="Menlo"/>
          <w:b w:val="0"/>
          <w:i w:val="0"/>
          <w:sz w:val="19"/>
        </w:rPr>
        <w:t>[T51]</w:t>
      </w:r>
      <w:r>
        <w:rPr>
          <w:b w:val="0"/>
          <w:i w:val="0"/>
        </w:rPr>
        <w:t>.</w:t>
      </w:r>
    </w:p>
    <w:p>
      <w:pPr>
        <w:pStyle w:val="ListBullet"/>
      </w:pPr>
      <w:r>
        <w:rPr>
          <w:b/>
          <w:i w:val="0"/>
        </w:rPr>
        <w:t>Que ninguno de estos modelos sirva para uso clínico.</w:t>
      </w:r>
      <w:r>
        <w:rPr>
          <w:b w:val="0"/>
          <w:i w:val="0"/>
        </w:rPr>
        <w:t xml:space="preserve"> No se probó, no se midió calibración, no hay conjunto de prueba real y la referencia de la clase negativa es presunta. Nada en este trabajo respalda esa afirmación.</w:t>
      </w:r>
    </w:p>
    <w:p>
      <w:pPr>
        <w:pStyle w:val="ListBullet"/>
      </w:pPr>
      <w:r>
        <w:rPr>
          <w:b/>
          <w:i w:val="0"/>
        </w:rPr>
        <w:t>Qué desempeño tendría el sistema en una población distinta.</w:t>
      </w:r>
      <w:r>
        <w:rPr>
          <w:b w:val="0"/>
          <w:i w:val="0"/>
        </w:rPr>
        <w:t xml:space="preserve"> Los datos provienen de siete centros dermatológicos </w:t>
      </w:r>
      <w:r>
        <w:rPr>
          <w:rFonts w:ascii="Menlo" w:hAnsi="Menlo"/>
          <w:b w:val="0"/>
          <w:i w:val="0"/>
          <w:sz w:val="19"/>
        </w:rPr>
        <w:t>[E6]</w:t>
      </w:r>
      <w:r>
        <w:rPr>
          <w:b w:val="0"/>
          <w:i w:val="0"/>
        </w:rPr>
        <w:t>; nada aquí mide generalización fuera de ellos.</w:t>
      </w:r>
    </w:p>
    <w:p>
      <w:pPr>
        <w:pStyle w:val="Heading2"/>
      </w:pPr>
      <w:r>
        <w:rPr>
          <w:b w:val="0"/>
          <w:i w:val="0"/>
        </w:rPr>
        <w:t>9.3 Recomendación</w:t>
      </w:r>
    </w:p>
    <w:p>
      <w:pPr>
        <w:jc w:val="both"/>
      </w:pPr>
      <w:r>
        <w:rPr>
          <w:b w:val="0"/>
          <w:i w:val="0"/>
        </w:rPr>
        <w:t>Si el cliente fuera real, la recomendación sería en este orden:</w:t>
      </w:r>
    </w:p>
    <w:p>
      <w:pPr>
        <w:pStyle w:val="ListNumber"/>
      </w:pPr>
      <w:r>
        <w:rPr>
          <w:b/>
          <w:i w:val="0"/>
        </w:rPr>
        <w:t>Adoptar el esquema de validación agrupado por paciente como requisito no negociable</w:t>
      </w:r>
      <w:r>
        <w:rPr>
          <w:b w:val="0"/>
          <w:i w:val="0"/>
        </w:rPr>
        <w:t>, y auditar cualquier resultado previo obtenido sin él. Es la corrección de mayor impacto y la más barata.</w:t>
      </w:r>
    </w:p>
    <w:p>
      <w:pPr>
        <w:pStyle w:val="ListNumber"/>
      </w:pPr>
      <w:r>
        <w:rPr>
          <w:b/>
          <w:i w:val="0"/>
        </w:rPr>
        <w:t>Preferir la regresión logística balanceada como modelo de referencia operativo</w:t>
      </w:r>
      <w:r>
        <w:rPr>
          <w:b w:val="0"/>
          <w:i w:val="0"/>
        </w:rPr>
        <w:t xml:space="preserve">, no porque supere al boosting —no lo hace— sino porque su desempeño es indistinguible del de 2b con los datos disponibles (gana en dos de los cinco folds </w:t>
      </w:r>
      <w:r>
        <w:rPr>
          <w:rFonts w:ascii="Menlo" w:hAnsi="Menlo"/>
          <w:b w:val="0"/>
          <w:i w:val="0"/>
          <w:sz w:val="19"/>
        </w:rPr>
        <w:t>[T48]</w:t>
      </w:r>
      <w:r>
        <w:rPr>
          <w:b w:val="0"/>
          <w:i w:val="0"/>
        </w:rPr>
        <w:t xml:space="preserve"> </w:t>
      </w:r>
      <w:r>
        <w:rPr>
          <w:rFonts w:ascii="Menlo" w:hAnsi="Menlo"/>
          <w:b w:val="0"/>
          <w:i w:val="0"/>
          <w:sz w:val="19"/>
        </w:rPr>
        <w:t>[T49]</w:t>
      </w:r>
      <w:r>
        <w:rPr>
          <w:b w:val="0"/>
          <w:i w:val="0"/>
        </w:rPr>
        <w:t>), y es interpretable. Ante empate en evidencia, el modelo explicable gana. Si trabajo posterior con más datos o remuestreo adecuado confirmara la ventaja de 2b, la decisión debería revisarse.</w:t>
      </w:r>
    </w:p>
    <w:p>
      <w:pPr>
        <w:pStyle w:val="ListNumber"/>
      </w:pPr>
      <w:r>
        <w:rPr>
          <w:b/>
          <w:i w:val="0"/>
        </w:rPr>
        <w:t>Tratar el ajuste por desbalance como parte del contrato del modelo</w:t>
      </w:r>
      <w:r>
        <w:rPr>
          <w:b w:val="0"/>
          <w:i w:val="0"/>
        </w:rPr>
        <w:t xml:space="preserve">, no como un hiperparámetro más. El nivel 2a demuestra que omitirlo pone a las dos métricas en desacuerdo sobre las mismas predicciones: su AUC convencional es 0,6159 </w:t>
      </w:r>
      <w:r>
        <w:rPr>
          <w:rFonts w:ascii="Menlo" w:hAnsi="Menlo"/>
          <w:b w:val="0"/>
          <w:i w:val="0"/>
          <w:sz w:val="19"/>
        </w:rPr>
        <w:t>[T59]</w:t>
      </w:r>
      <w:r>
        <w:rPr>
          <w:b w:val="0"/>
          <w:i w:val="0"/>
        </w:rPr>
        <w:t xml:space="preserve"> —mediocre, pero por encima del azar de esa escala </w:t>
      </w:r>
      <w:r>
        <w:rPr>
          <w:rFonts w:ascii="Menlo" w:hAnsi="Menlo"/>
          <w:b w:val="0"/>
          <w:i w:val="0"/>
          <w:sz w:val="19"/>
        </w:rPr>
        <w:t>[T62]</w:t>
      </w:r>
      <w:r>
        <w:rPr>
          <w:b w:val="0"/>
          <w:i w:val="0"/>
        </w:rPr>
        <w:t xml:space="preserve">— y su pAUC es 0,0013 </w:t>
      </w:r>
      <w:r>
        <w:rPr>
          <w:rFonts w:ascii="Menlo" w:hAnsi="Menlo"/>
          <w:b w:val="0"/>
          <w:i w:val="0"/>
          <w:sz w:val="19"/>
        </w:rPr>
        <w:t>[T30b]</w:t>
      </w:r>
      <w:r>
        <w:rPr>
          <w:b w:val="0"/>
          <w:i w:val="0"/>
        </w:rPr>
        <w:t xml:space="preserve">, por debajo del azar de la suya (0,02 </w:t>
      </w:r>
      <w:r>
        <w:rPr>
          <w:rFonts w:ascii="Menlo" w:hAnsi="Menlo"/>
          <w:b w:val="0"/>
          <w:i w:val="0"/>
          <w:sz w:val="19"/>
        </w:rPr>
        <w:t>[T33]</w:t>
      </w:r>
      <w:r>
        <w:rPr>
          <w:b w:val="0"/>
          <w:i w:val="0"/>
        </w:rPr>
        <w:t>). Quien reporte solo la métrica convencional verá un modelo flojo al que le falta ajuste; quien reporte la del cliente verá uno inservible. El desacuerdo entre las dos es lo que hay que llevar a la reunión, no cualquiera de ellas por separado.</w:t>
      </w:r>
    </w:p>
    <w:p>
      <w:pPr>
        <w:pStyle w:val="ListNumber"/>
      </w:pPr>
      <w:r>
        <w:rPr>
          <w:b/>
          <w:i w:val="0"/>
        </w:rPr>
        <w:t>Resolver la calidad de la etiqueta negativa antes de invertir en modelos más complejos.</w:t>
      </w:r>
      <w:r>
        <w:rPr>
          <w:b w:val="0"/>
          <w:i w:val="0"/>
        </w:rPr>
        <w:t xml:space="preserve"> Es la limitación que más compromete las conclusiones, y ninguna mejora de modelado la compensa.</w:t>
      </w:r>
    </w:p>
    <w:p>
      <w:pPr>
        <w:pStyle w:val="ListNumber"/>
      </w:pPr>
      <w:r>
        <w:rPr>
          <w:b/>
          <w:i w:val="0"/>
        </w:rPr>
        <w:t>No desplegar nada sin una evaluación prospectiva.</w:t>
      </w:r>
      <w:r>
        <w:rPr>
          <w:b w:val="0"/>
          <w:i w:val="0"/>
        </w:rPr>
        <w:t xml:space="preserve"> Todo lo medido aquí es retrospectivo y sobre datos de entrenamiento.</w:t>
      </w:r>
    </w:p>
    <w:p>
      <w:pPr>
        <w:pStyle w:val="Heading2"/>
      </w:pPr>
      <w:r>
        <w:rPr>
          <w:b w:val="0"/>
          <w:i w:val="0"/>
        </w:rPr>
        <w:t>9.4 Sobre la tesis del proyecto</w:t>
      </w:r>
    </w:p>
    <w:p>
      <w:pPr>
        <w:jc w:val="both"/>
      </w:pPr>
      <w:r>
        <w:rPr>
          <w:b w:val="0"/>
          <w:i w:val="0"/>
        </w:rPr>
        <w:t>El caso confirma la distinción que motivó el trabajo. Un agente optimizador habría reportado que el gradient boosting alcanza cierto AUC y habría seguido adelante. El consultor detectó que ese mismo modelo, bajo la métrica que codifica la utilidad real del cliente, es peor que lanzar una moneda; que la columna más predictiva bajo AUC estándar pierde la mitad de su valor bajo la métrica clínica; y que la decisión de mayor impacto del proyecto no fue elegir un modelo sino elegir cómo partir los datos.</w:t>
      </w:r>
    </w:p>
    <w:p>
      <w:pPr>
        <w:jc w:val="both"/>
      </w:pPr>
      <w:r>
        <w:rPr>
          <w:b w:val="0"/>
          <w:i w:val="0"/>
        </w:rPr>
        <w:t>Ninguna de esas tres conclusiones aparece si uno solo optimiza la métrica sin preguntarse por qué el cliente la eligió.</w:t>
      </w:r>
    </w:p>
    <w:p>
      <w:pPr>
        <w:pStyle w:val="Heading1"/>
      </w:pPr>
      <w:r>
        <w:rPr>
          <w:b w:val="0"/>
          <w:i w:val="0"/>
        </w:rPr>
        <w:t>10. Anexo de trazabilidad</w:t>
      </w:r>
    </w:p>
    <w:p>
      <w:pPr>
        <w:pStyle w:val="Heading2"/>
      </w:pPr>
      <w:r>
        <w:rPr>
          <w:b w:val="0"/>
          <w:i w:val="0"/>
        </w:rPr>
        <w:t xml:space="preserve">10.1 Cifras procedentes de </w:t>
      </w:r>
      <w:r>
        <w:rPr>
          <w:rFonts w:ascii="Menlo" w:hAnsi="Menlo"/>
          <w:b w:val="0"/>
          <w:i w:val="0"/>
          <w:sz w:val="19"/>
        </w:rPr>
        <w:t>outputs/</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1037"/>
          </w:tcPr>
          <w:p>
            <w:r>
              <w:rPr>
                <w:b/>
              </w:rPr>
            </w:r>
            <w:r>
              <w:rPr>
                <w:b/>
                <w:i w:val="0"/>
              </w:rPr>
              <w:t>Marca</w:t>
            </w:r>
          </w:p>
        </w:tc>
        <w:tc>
          <w:tcPr>
            <w:tcW w:type="dxa" w:w="3296"/>
          </w:tcPr>
          <w:p>
            <w:r>
              <w:rPr>
                <w:b/>
              </w:rPr>
            </w:r>
            <w:r>
              <w:rPr>
                <w:b/>
                <w:i w:val="0"/>
              </w:rPr>
              <w:t>Afirmación</w:t>
            </w:r>
          </w:p>
        </w:tc>
        <w:tc>
          <w:tcPr>
            <w:tcW w:type="dxa" w:w="2020"/>
          </w:tcPr>
          <w:p>
            <w:r>
              <w:rPr>
                <w:b/>
              </w:rPr>
            </w:r>
            <w:r>
              <w:rPr>
                <w:b/>
                <w:i w:val="0"/>
              </w:rPr>
              <w:t>Valor</w:t>
            </w:r>
          </w:p>
        </w:tc>
        <w:tc>
          <w:tcPr>
            <w:tcW w:type="dxa" w:w="3296"/>
          </w:tcPr>
          <w:p>
            <w:r>
              <w:rPr>
                <w:b/>
              </w:rPr>
            </w:r>
            <w:r>
              <w:rPr>
                <w:b/>
                <w:i w:val="0"/>
              </w:rPr>
              <w:t>Archivo y campo</w:t>
            </w:r>
          </w:p>
        </w:tc>
      </w:tr>
      <w:tr>
        <w:tc>
          <w:tcPr>
            <w:tcW w:type="dxa" w:w="1037"/>
          </w:tcPr>
          <w:p>
            <w:r/>
            <w:r>
              <w:rPr>
                <w:b w:val="0"/>
                <w:i w:val="0"/>
              </w:rPr>
              <w:t>T1</w:t>
            </w:r>
          </w:p>
        </w:tc>
        <w:tc>
          <w:tcPr>
            <w:tcW w:type="dxa" w:w="3296"/>
          </w:tcPr>
          <w:p>
            <w:r/>
            <w:r>
              <w:rPr>
                <w:b w:val="0"/>
                <w:i w:val="0"/>
              </w:rPr>
              <w:t>Filas del conjunto de entrenamiento</w:t>
            </w:r>
          </w:p>
        </w:tc>
        <w:tc>
          <w:tcPr>
            <w:tcW w:type="dxa" w:w="2020"/>
          </w:tcPr>
          <w:p>
            <w:r/>
            <w:r>
              <w:rPr>
                <w:b w:val="0"/>
                <w:i w:val="0"/>
              </w:rPr>
              <w:t>401059</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fuente.n_filas</w:t>
            </w:r>
          </w:p>
        </w:tc>
      </w:tr>
      <w:tr>
        <w:tc>
          <w:tcPr>
            <w:tcW w:type="dxa" w:w="1037"/>
          </w:tcPr>
          <w:p>
            <w:r/>
            <w:r>
              <w:rPr>
                <w:b w:val="0"/>
                <w:i w:val="0"/>
              </w:rPr>
              <w:t>T2</w:t>
            </w:r>
          </w:p>
        </w:tc>
        <w:tc>
          <w:tcPr>
            <w:tcW w:type="dxa" w:w="3296"/>
          </w:tcPr>
          <w:p>
            <w:r/>
            <w:r>
              <w:rPr>
                <w:b w:val="0"/>
                <w:i w:val="0"/>
              </w:rPr>
              <w:t>Columnas del conjunto de entrenamiento</w:t>
            </w:r>
          </w:p>
        </w:tc>
        <w:tc>
          <w:tcPr>
            <w:tcW w:type="dxa" w:w="2020"/>
          </w:tcPr>
          <w:p>
            <w:r/>
            <w:r>
              <w:rPr>
                <w:b w:val="0"/>
                <w:i w:val="0"/>
              </w:rPr>
              <w:t>55</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fuente.n_columnas</w:t>
            </w:r>
          </w:p>
        </w:tc>
      </w:tr>
      <w:tr>
        <w:tc>
          <w:tcPr>
            <w:tcW w:type="dxa" w:w="1037"/>
          </w:tcPr>
          <w:p>
            <w:r/>
            <w:r>
              <w:rPr>
                <w:b w:val="0"/>
                <w:i w:val="0"/>
              </w:rPr>
              <w:t>T3</w:t>
            </w:r>
          </w:p>
        </w:tc>
        <w:tc>
          <w:tcPr>
            <w:tcW w:type="dxa" w:w="3296"/>
          </w:tcPr>
          <w:p>
            <w:r/>
            <w:r>
              <w:rPr>
                <w:b w:val="0"/>
                <w:i w:val="0"/>
              </w:rPr>
              <w:t>Lesiones positivas</w:t>
            </w:r>
          </w:p>
        </w:tc>
        <w:tc>
          <w:tcPr>
            <w:tcW w:type="dxa" w:w="2020"/>
          </w:tcPr>
          <w:p>
            <w:r/>
            <w:r>
              <w:rPr>
                <w:b w:val="0"/>
                <w:i w:val="0"/>
              </w:rPr>
              <w:t>393</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desbalance_target.conteos["1"]</w:t>
            </w:r>
          </w:p>
        </w:tc>
      </w:tr>
      <w:tr>
        <w:tc>
          <w:tcPr>
            <w:tcW w:type="dxa" w:w="1037"/>
          </w:tcPr>
          <w:p>
            <w:r/>
            <w:r>
              <w:rPr>
                <w:b w:val="0"/>
                <w:i w:val="0"/>
              </w:rPr>
              <w:t>T4</w:t>
            </w:r>
          </w:p>
        </w:tc>
        <w:tc>
          <w:tcPr>
            <w:tcW w:type="dxa" w:w="3296"/>
          </w:tcPr>
          <w:p>
            <w:r/>
            <w:r>
              <w:rPr>
                <w:b w:val="0"/>
                <w:i w:val="0"/>
              </w:rPr>
              <w:t>Lesiones negativas</w:t>
            </w:r>
          </w:p>
        </w:tc>
        <w:tc>
          <w:tcPr>
            <w:tcW w:type="dxa" w:w="2020"/>
          </w:tcPr>
          <w:p>
            <w:r/>
            <w:r>
              <w:rPr>
                <w:b w:val="0"/>
                <w:i w:val="0"/>
              </w:rPr>
              <w:t>400666</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desbalance_target.conteos["0"]</w:t>
            </w:r>
          </w:p>
        </w:tc>
      </w:tr>
      <w:tr>
        <w:tc>
          <w:tcPr>
            <w:tcW w:type="dxa" w:w="1037"/>
          </w:tcPr>
          <w:p>
            <w:r/>
            <w:r>
              <w:rPr>
                <w:b w:val="0"/>
                <w:i w:val="0"/>
              </w:rPr>
              <w:t>T5</w:t>
            </w:r>
          </w:p>
        </w:tc>
        <w:tc>
          <w:tcPr>
            <w:tcW w:type="dxa" w:w="3296"/>
          </w:tcPr>
          <w:p>
            <w:r/>
            <w:r>
              <w:rPr>
                <w:b w:val="0"/>
                <w:i w:val="0"/>
              </w:rPr>
              <w:t>Prevalencia de positivos (%)</w:t>
            </w:r>
          </w:p>
        </w:tc>
        <w:tc>
          <w:tcPr>
            <w:tcW w:type="dxa" w:w="2020"/>
          </w:tcPr>
          <w:p>
            <w:r/>
            <w:r>
              <w:rPr>
                <w:b w:val="0"/>
                <w:i w:val="0"/>
              </w:rPr>
              <w:t>0.098</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desbalance_target.pct_positivos</w:t>
            </w:r>
          </w:p>
        </w:tc>
      </w:tr>
      <w:tr>
        <w:tc>
          <w:tcPr>
            <w:tcW w:type="dxa" w:w="1037"/>
          </w:tcPr>
          <w:p>
            <w:r/>
            <w:r>
              <w:rPr>
                <w:b w:val="0"/>
                <w:i w:val="0"/>
              </w:rPr>
              <w:t>T6</w:t>
            </w:r>
          </w:p>
        </w:tc>
        <w:tc>
          <w:tcPr>
            <w:tcW w:type="dxa" w:w="3296"/>
          </w:tcPr>
          <w:p>
            <w:r/>
            <w:r>
              <w:rPr>
                <w:b w:val="0"/>
                <w:i w:val="0"/>
              </w:rPr>
              <w:t>Número de pacientes</w:t>
            </w:r>
          </w:p>
        </w:tc>
        <w:tc>
          <w:tcPr>
            <w:tcW w:type="dxa" w:w="2020"/>
          </w:tcPr>
          <w:p>
            <w:r/>
            <w:r>
              <w:rPr>
                <w:b w:val="0"/>
                <w:i w:val="0"/>
              </w:rPr>
              <w:t>1042</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estructura_grupos.n_grupos</w:t>
            </w:r>
          </w:p>
        </w:tc>
      </w:tr>
      <w:tr>
        <w:tc>
          <w:tcPr>
            <w:tcW w:type="dxa" w:w="1037"/>
          </w:tcPr>
          <w:p>
            <w:r/>
            <w:r>
              <w:rPr>
                <w:b w:val="0"/>
                <w:i w:val="0"/>
              </w:rPr>
              <w:t>T7</w:t>
            </w:r>
          </w:p>
        </w:tc>
        <w:tc>
          <w:tcPr>
            <w:tcW w:type="dxa" w:w="3296"/>
          </w:tcPr>
          <w:p>
            <w:r/>
            <w:r>
              <w:rPr>
                <w:b w:val="0"/>
                <w:i w:val="0"/>
              </w:rPr>
              <w:t>Lesiones por paciente (media)</w:t>
            </w:r>
          </w:p>
        </w:tc>
        <w:tc>
          <w:tcPr>
            <w:tcW w:type="dxa" w:w="2020"/>
          </w:tcPr>
          <w:p>
            <w:r/>
            <w:r>
              <w:rPr>
                <w:b w:val="0"/>
                <w:i w:val="0"/>
              </w:rPr>
              <w:t>384.89</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estructura_grupos.filas_por_grupo.media</w:t>
            </w:r>
          </w:p>
        </w:tc>
      </w:tr>
      <w:tr>
        <w:tc>
          <w:tcPr>
            <w:tcW w:type="dxa" w:w="1037"/>
          </w:tcPr>
          <w:p>
            <w:r/>
            <w:r>
              <w:rPr>
                <w:b w:val="0"/>
                <w:i w:val="0"/>
              </w:rPr>
              <w:t>T8</w:t>
            </w:r>
          </w:p>
        </w:tc>
        <w:tc>
          <w:tcPr>
            <w:tcW w:type="dxa" w:w="3296"/>
          </w:tcPr>
          <w:p>
            <w:r/>
            <w:r>
              <w:rPr>
                <w:b w:val="0"/>
                <w:i w:val="0"/>
              </w:rPr>
              <w:t>Lesiones por paciente (mediana)</w:t>
            </w:r>
          </w:p>
        </w:tc>
        <w:tc>
          <w:tcPr>
            <w:tcW w:type="dxa" w:w="2020"/>
          </w:tcPr>
          <w:p>
            <w:r/>
            <w:r>
              <w:rPr>
                <w:b w:val="0"/>
                <w:i w:val="0"/>
              </w:rPr>
              <w:t>241.5</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estructura_grupos.filas_por_grupo.mediana</w:t>
            </w:r>
          </w:p>
        </w:tc>
      </w:tr>
      <w:tr>
        <w:tc>
          <w:tcPr>
            <w:tcW w:type="dxa" w:w="1037"/>
          </w:tcPr>
          <w:p>
            <w:r/>
            <w:r>
              <w:rPr>
                <w:b w:val="0"/>
                <w:i w:val="0"/>
              </w:rPr>
              <w:t>T9</w:t>
            </w:r>
          </w:p>
        </w:tc>
        <w:tc>
          <w:tcPr>
            <w:tcW w:type="dxa" w:w="3296"/>
          </w:tcPr>
          <w:p>
            <w:r/>
            <w:r>
              <w:rPr>
                <w:b w:val="0"/>
                <w:i w:val="0"/>
              </w:rPr>
              <w:t>Lesiones por paciente (máximo)</w:t>
            </w:r>
          </w:p>
        </w:tc>
        <w:tc>
          <w:tcPr>
            <w:tcW w:type="dxa" w:w="2020"/>
          </w:tcPr>
          <w:p>
            <w:r/>
            <w:r>
              <w:rPr>
                <w:b w:val="0"/>
                <w:i w:val="0"/>
              </w:rPr>
              <w:t>9184</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estructura_grupos.filas_por_grupo.max</w:t>
            </w:r>
          </w:p>
        </w:tc>
      </w:tr>
      <w:tr>
        <w:tc>
          <w:tcPr>
            <w:tcW w:type="dxa" w:w="1037"/>
          </w:tcPr>
          <w:p>
            <w:r/>
            <w:r>
              <w:rPr>
                <w:b w:val="0"/>
                <w:i w:val="0"/>
              </w:rPr>
              <w:t>T10</w:t>
            </w:r>
          </w:p>
        </w:tc>
        <w:tc>
          <w:tcPr>
            <w:tcW w:type="dxa" w:w="3296"/>
          </w:tcPr>
          <w:p>
            <w:r/>
            <w:r>
              <w:rPr>
                <w:b w:val="0"/>
                <w:i w:val="0"/>
              </w:rPr>
              <w:t>Columnas presentes solo en entrenamiento</w:t>
            </w:r>
          </w:p>
        </w:tc>
        <w:tc>
          <w:tcPr>
            <w:tcW w:type="dxa" w:w="2020"/>
          </w:tcPr>
          <w:p>
            <w:r/>
            <w:r>
              <w:rPr>
                <w:b w:val="0"/>
                <w:i w:val="0"/>
              </w:rPr>
              <w:t>11</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columnas_solo_en_train</w:t>
            </w:r>
            <w:r>
              <w:rPr>
                <w:b w:val="0"/>
                <w:i w:val="0"/>
              </w:rPr>
              <w:t xml:space="preserve"> (longitud)</w:t>
            </w:r>
          </w:p>
        </w:tc>
      </w:tr>
      <w:tr>
        <w:tc>
          <w:tcPr>
            <w:tcW w:type="dxa" w:w="1037"/>
          </w:tcPr>
          <w:p>
            <w:r/>
            <w:r>
              <w:rPr>
                <w:b w:val="0"/>
                <w:i w:val="0"/>
              </w:rPr>
              <w:t>T12</w:t>
            </w:r>
          </w:p>
        </w:tc>
        <w:tc>
          <w:tcPr>
            <w:tcW w:type="dxa" w:w="3296"/>
          </w:tcPr>
          <w:p>
            <w:r/>
            <w:r>
              <w:rPr>
                <w:b w:val="0"/>
                <w:i w:val="0"/>
              </w:rPr>
              <w:t>Duplicados exactos</w:t>
            </w:r>
          </w:p>
        </w:tc>
        <w:tc>
          <w:tcPr>
            <w:tcW w:type="dxa" w:w="2020"/>
          </w:tcPr>
          <w:p>
            <w:r/>
            <w:r>
              <w:rPr>
                <w:b w:val="0"/>
                <w:i w:val="0"/>
              </w:rPr>
              <w:t>0</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duplicados_exactos</w:t>
            </w:r>
          </w:p>
        </w:tc>
      </w:tr>
      <w:tr>
        <w:tc>
          <w:tcPr>
            <w:tcW w:type="dxa" w:w="1037"/>
          </w:tcPr>
          <w:p>
            <w:r/>
            <w:r>
              <w:rPr>
                <w:b w:val="0"/>
                <w:i w:val="0"/>
              </w:rPr>
              <w:t>T13</w:t>
            </w:r>
          </w:p>
        </w:tc>
        <w:tc>
          <w:tcPr>
            <w:tcW w:type="dxa" w:w="3296"/>
          </w:tcPr>
          <w:p>
            <w:r/>
            <w:r>
              <w:rPr>
                <w:b w:val="0"/>
                <w:i w:val="0"/>
              </w:rPr>
              <w:t xml:space="preserve">Faltantes en </w:t>
            </w:r>
            <w:r>
              <w:rPr>
                <w:rFonts w:ascii="Menlo" w:hAnsi="Menlo"/>
                <w:b w:val="0"/>
                <w:i w:val="0"/>
                <w:sz w:val="17"/>
              </w:rPr>
              <w:t>sex</w:t>
            </w:r>
          </w:p>
        </w:tc>
        <w:tc>
          <w:tcPr>
            <w:tcW w:type="dxa" w:w="2020"/>
          </w:tcPr>
          <w:p>
            <w:r/>
            <w:r>
              <w:rPr>
                <w:b w:val="0"/>
                <w:i w:val="0"/>
              </w:rPr>
              <w:t>11517 / 2.872%</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faltantes.sex</w:t>
            </w:r>
          </w:p>
        </w:tc>
      </w:tr>
      <w:tr>
        <w:tc>
          <w:tcPr>
            <w:tcW w:type="dxa" w:w="1037"/>
          </w:tcPr>
          <w:p>
            <w:r/>
            <w:r>
              <w:rPr>
                <w:b w:val="0"/>
                <w:i w:val="0"/>
              </w:rPr>
              <w:t>T14</w:t>
            </w:r>
          </w:p>
        </w:tc>
        <w:tc>
          <w:tcPr>
            <w:tcW w:type="dxa" w:w="3296"/>
          </w:tcPr>
          <w:p>
            <w:r/>
            <w:r>
              <w:rPr>
                <w:b w:val="0"/>
                <w:i w:val="0"/>
              </w:rPr>
              <w:t xml:space="preserve">Faltantes en </w:t>
            </w:r>
            <w:r>
              <w:rPr>
                <w:rFonts w:ascii="Menlo" w:hAnsi="Menlo"/>
                <w:b w:val="0"/>
                <w:i w:val="0"/>
                <w:sz w:val="17"/>
              </w:rPr>
              <w:t>anatom_site_general</w:t>
            </w:r>
          </w:p>
        </w:tc>
        <w:tc>
          <w:tcPr>
            <w:tcW w:type="dxa" w:w="2020"/>
          </w:tcPr>
          <w:p>
            <w:r/>
            <w:r>
              <w:rPr>
                <w:b w:val="0"/>
                <w:i w:val="0"/>
              </w:rPr>
              <w:t>5756 / 1.435%</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faltantes.anatom_site_general</w:t>
            </w:r>
          </w:p>
        </w:tc>
      </w:tr>
      <w:tr>
        <w:tc>
          <w:tcPr>
            <w:tcW w:type="dxa" w:w="1037"/>
          </w:tcPr>
          <w:p>
            <w:r/>
            <w:r>
              <w:rPr>
                <w:b w:val="0"/>
                <w:i w:val="0"/>
              </w:rPr>
              <w:t>T15</w:t>
            </w:r>
          </w:p>
        </w:tc>
        <w:tc>
          <w:tcPr>
            <w:tcW w:type="dxa" w:w="3296"/>
          </w:tcPr>
          <w:p>
            <w:r/>
            <w:r>
              <w:rPr>
                <w:b w:val="0"/>
                <w:i w:val="0"/>
              </w:rPr>
              <w:t xml:space="preserve">Faltantes en </w:t>
            </w:r>
            <w:r>
              <w:rPr>
                <w:rFonts w:ascii="Menlo" w:hAnsi="Menlo"/>
                <w:b w:val="0"/>
                <w:i w:val="0"/>
                <w:sz w:val="17"/>
              </w:rPr>
              <w:t>age_approx</w:t>
            </w:r>
          </w:p>
        </w:tc>
        <w:tc>
          <w:tcPr>
            <w:tcW w:type="dxa" w:w="2020"/>
          </w:tcPr>
          <w:p>
            <w:r/>
            <w:r>
              <w:rPr>
                <w:b w:val="0"/>
                <w:i w:val="0"/>
              </w:rPr>
              <w:t>2798 / 0.698%</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faltantes.age_approx</w:t>
            </w:r>
          </w:p>
        </w:tc>
      </w:tr>
      <w:tr>
        <w:tc>
          <w:tcPr>
            <w:tcW w:type="dxa" w:w="1037"/>
          </w:tcPr>
          <w:p>
            <w:r/>
            <w:r>
              <w:rPr>
                <w:b w:val="0"/>
                <w:i w:val="0"/>
              </w:rPr>
              <w:t>T16</w:t>
            </w:r>
          </w:p>
        </w:tc>
        <w:tc>
          <w:tcPr>
            <w:tcW w:type="dxa" w:w="3296"/>
          </w:tcPr>
          <w:p>
            <w:r/>
            <w:r>
              <w:rPr>
                <w:b w:val="0"/>
                <w:i w:val="0"/>
              </w:rPr>
              <w:t>Método de validación cruzada</w:t>
            </w:r>
          </w:p>
        </w:tc>
        <w:tc>
          <w:tcPr>
            <w:tcW w:type="dxa" w:w="2020"/>
          </w:tcPr>
          <w:p>
            <w:r/>
            <w:r>
              <w:rPr>
                <w:b w:val="0"/>
                <w:i w:val="0"/>
              </w:rPr>
              <w:t>StratifiedGroupKFold</w:t>
            </w:r>
          </w:p>
        </w:tc>
        <w:tc>
          <w:tcPr>
            <w:tcW w:type="dxa" w:w="3296"/>
          </w:tcPr>
          <w:p>
            <w:r/>
            <w:r>
              <w:rPr>
                <w:rFonts w:ascii="Menlo" w:hAnsi="Menlo"/>
                <w:b w:val="0"/>
                <w:i w:val="0"/>
                <w:sz w:val="17"/>
              </w:rPr>
              <w:t>diseno-validacion.json</w:t>
            </w:r>
            <w:r>
              <w:rPr>
                <w:b w:val="0"/>
                <w:i w:val="0"/>
              </w:rPr>
              <w:t xml:space="preserve"> → </w:t>
            </w:r>
            <w:r>
              <w:rPr>
                <w:rFonts w:ascii="Menlo" w:hAnsi="Menlo"/>
                <w:b w:val="0"/>
                <w:i w:val="0"/>
                <w:sz w:val="17"/>
              </w:rPr>
              <w:t>esquema.metodo</w:t>
            </w:r>
          </w:p>
        </w:tc>
      </w:tr>
      <w:tr>
        <w:tc>
          <w:tcPr>
            <w:tcW w:type="dxa" w:w="1037"/>
          </w:tcPr>
          <w:p>
            <w:r/>
            <w:r>
              <w:rPr>
                <w:b w:val="0"/>
                <w:i w:val="0"/>
              </w:rPr>
              <w:t>T17</w:t>
            </w:r>
          </w:p>
        </w:tc>
        <w:tc>
          <w:tcPr>
            <w:tcW w:type="dxa" w:w="3296"/>
          </w:tcPr>
          <w:p>
            <w:r/>
            <w:r>
              <w:rPr>
                <w:b w:val="0"/>
                <w:i w:val="0"/>
              </w:rPr>
              <w:t>Número de folds</w:t>
            </w:r>
          </w:p>
        </w:tc>
        <w:tc>
          <w:tcPr>
            <w:tcW w:type="dxa" w:w="2020"/>
          </w:tcPr>
          <w:p>
            <w:r/>
            <w:r>
              <w:rPr>
                <w:b w:val="0"/>
                <w:i w:val="0"/>
              </w:rPr>
              <w:t>5</w:t>
            </w:r>
          </w:p>
        </w:tc>
        <w:tc>
          <w:tcPr>
            <w:tcW w:type="dxa" w:w="3296"/>
          </w:tcPr>
          <w:p>
            <w:r/>
            <w:r>
              <w:rPr>
                <w:rFonts w:ascii="Menlo" w:hAnsi="Menlo"/>
                <w:b w:val="0"/>
                <w:i w:val="0"/>
                <w:sz w:val="17"/>
              </w:rPr>
              <w:t>diseno-validacion.json</w:t>
            </w:r>
            <w:r>
              <w:rPr>
                <w:b w:val="0"/>
                <w:i w:val="0"/>
              </w:rPr>
              <w:t xml:space="preserve"> → </w:t>
            </w:r>
            <w:r>
              <w:rPr>
                <w:rFonts w:ascii="Menlo" w:hAnsi="Menlo"/>
                <w:b w:val="0"/>
                <w:i w:val="0"/>
                <w:sz w:val="17"/>
              </w:rPr>
              <w:t>esquema.n_splits</w:t>
            </w:r>
          </w:p>
        </w:tc>
      </w:tr>
      <w:tr>
        <w:tc>
          <w:tcPr>
            <w:tcW w:type="dxa" w:w="1037"/>
          </w:tcPr>
          <w:p>
            <w:r/>
            <w:r>
              <w:rPr>
                <w:b w:val="0"/>
                <w:i w:val="0"/>
              </w:rPr>
              <w:t>T18</w:t>
            </w:r>
          </w:p>
        </w:tc>
        <w:tc>
          <w:tcPr>
            <w:tcW w:type="dxa" w:w="3296"/>
          </w:tcPr>
          <w:p>
            <w:r/>
            <w:r>
              <w:rPr>
                <w:b w:val="0"/>
                <w:i w:val="0"/>
              </w:rPr>
              <w:t>Pacientes repartidos bajo partición ingenua (%)</w:t>
            </w:r>
          </w:p>
        </w:tc>
        <w:tc>
          <w:tcPr>
            <w:tcW w:type="dxa" w:w="2020"/>
          </w:tcPr>
          <w:p>
            <w:r/>
            <w:r>
              <w:rPr>
                <w:b w:val="0"/>
                <w:i w:val="0"/>
              </w:rPr>
              <w:t>99.04</w:t>
            </w:r>
          </w:p>
        </w:tc>
        <w:tc>
          <w:tcPr>
            <w:tcW w:type="dxa" w:w="3296"/>
          </w:tcPr>
          <w:p>
            <w:r/>
            <w:r>
              <w:rPr>
                <w:rFonts w:ascii="Menlo" w:hAnsi="Menlo"/>
                <w:b w:val="0"/>
                <w:i w:val="0"/>
                <w:sz w:val="17"/>
              </w:rPr>
              <w:t>diseno-validacion.json</w:t>
            </w:r>
            <w:r>
              <w:rPr>
                <w:b w:val="0"/>
                <w:i w:val="0"/>
              </w:rPr>
              <w:t xml:space="preserve"> → </w:t>
            </w:r>
            <w:r>
              <w:rPr>
                <w:rFonts w:ascii="Menlo" w:hAnsi="Menlo"/>
                <w:b w:val="0"/>
                <w:i w:val="0"/>
                <w:sz w:val="17"/>
              </w:rPr>
              <w:t>comparacion_particion_naive.pct_grupos_con_fuga</w:t>
            </w:r>
          </w:p>
        </w:tc>
      </w:tr>
      <w:tr>
        <w:tc>
          <w:tcPr>
            <w:tcW w:type="dxa" w:w="1037"/>
          </w:tcPr>
          <w:p>
            <w:r/>
            <w:r>
              <w:rPr>
                <w:b w:val="0"/>
                <w:i w:val="0"/>
              </w:rPr>
              <w:t>T18b</w:t>
            </w:r>
          </w:p>
        </w:tc>
        <w:tc>
          <w:tcPr>
            <w:tcW w:type="dxa" w:w="3296"/>
          </w:tcPr>
          <w:p>
            <w:r/>
            <w:r>
              <w:rPr>
                <w:b w:val="0"/>
                <w:i w:val="0"/>
              </w:rPr>
              <w:t>Semilla aleatoria</w:t>
            </w:r>
          </w:p>
        </w:tc>
        <w:tc>
          <w:tcPr>
            <w:tcW w:type="dxa" w:w="2020"/>
          </w:tcPr>
          <w:p>
            <w:r/>
            <w:r>
              <w:rPr>
                <w:b w:val="0"/>
                <w:i w:val="0"/>
              </w:rPr>
              <w:t>42</w:t>
            </w:r>
          </w:p>
        </w:tc>
        <w:tc>
          <w:tcPr>
            <w:tcW w:type="dxa" w:w="3296"/>
          </w:tcPr>
          <w:p>
            <w:r/>
            <w:r>
              <w:rPr>
                <w:rFonts w:ascii="Menlo" w:hAnsi="Menlo"/>
                <w:b w:val="0"/>
                <w:i w:val="0"/>
                <w:sz w:val="17"/>
              </w:rPr>
              <w:t>diseno-validacion.json</w:t>
            </w:r>
            <w:r>
              <w:rPr>
                <w:b w:val="0"/>
                <w:i w:val="0"/>
              </w:rPr>
              <w:t xml:space="preserve"> → </w:t>
            </w:r>
            <w:r>
              <w:rPr>
                <w:rFonts w:ascii="Menlo" w:hAnsi="Menlo"/>
                <w:b w:val="0"/>
                <w:i w:val="0"/>
                <w:sz w:val="17"/>
              </w:rPr>
              <w:t>esquema.seed</w:t>
            </w:r>
          </w:p>
        </w:tc>
      </w:tr>
      <w:tr>
        <w:tc>
          <w:tcPr>
            <w:tcW w:type="dxa" w:w="1037"/>
          </w:tcPr>
          <w:p>
            <w:r/>
            <w:r>
              <w:rPr>
                <w:b w:val="0"/>
                <w:i w:val="0"/>
              </w:rPr>
              <w:t>T19</w:t>
            </w:r>
          </w:p>
        </w:tc>
        <w:tc>
          <w:tcPr>
            <w:tcW w:type="dxa" w:w="3296"/>
          </w:tcPr>
          <w:p>
            <w:r/>
            <w:r>
              <w:rPr>
                <w:b w:val="0"/>
                <w:i w:val="0"/>
              </w:rPr>
              <w:t>Pacientes con al menos un positivo</w:t>
            </w:r>
          </w:p>
        </w:tc>
        <w:tc>
          <w:tcPr>
            <w:tcW w:type="dxa" w:w="2020"/>
          </w:tcPr>
          <w:p>
            <w:r/>
            <w:r>
              <w:rPr>
                <w:b w:val="0"/>
                <w:i w:val="0"/>
              </w:rPr>
              <w:t>259</w:t>
            </w:r>
          </w:p>
        </w:tc>
        <w:tc>
          <w:tcPr>
            <w:tcW w:type="dxa" w:w="3296"/>
          </w:tcPr>
          <w:p>
            <w:r/>
            <w:r>
              <w:rPr>
                <w:rFonts w:ascii="Menlo" w:hAnsi="Menlo"/>
                <w:b w:val="0"/>
                <w:i w:val="0"/>
                <w:sz w:val="17"/>
              </w:rPr>
              <w:t>diseno-validacion.json</w:t>
            </w:r>
            <w:r>
              <w:rPr>
                <w:b w:val="0"/>
                <w:i w:val="0"/>
              </w:rPr>
              <w:t xml:space="preserve"> → </w:t>
            </w:r>
            <w:r>
              <w:rPr>
                <w:rFonts w:ascii="Menlo" w:hAnsi="Menlo"/>
                <w:b w:val="0"/>
                <w:i w:val="0"/>
                <w:sz w:val="17"/>
              </w:rPr>
              <w:t>n_grupos_positivos</w:t>
            </w:r>
          </w:p>
        </w:tc>
      </w:tr>
      <w:tr>
        <w:tc>
          <w:tcPr>
            <w:tcW w:type="dxa" w:w="1037"/>
          </w:tcPr>
          <w:p>
            <w:r/>
            <w:r>
              <w:rPr>
                <w:b w:val="0"/>
                <w:i w:val="0"/>
              </w:rPr>
              <w:t>T20</w:t>
            </w:r>
          </w:p>
        </w:tc>
        <w:tc>
          <w:tcPr>
            <w:tcW w:type="dxa" w:w="3296"/>
          </w:tcPr>
          <w:p>
            <w:r/>
            <w:r>
              <w:rPr>
                <w:b w:val="0"/>
                <w:i w:val="0"/>
              </w:rPr>
              <w:t>Fuga de grupo en el esquema construido</w:t>
            </w:r>
          </w:p>
        </w:tc>
        <w:tc>
          <w:tcPr>
            <w:tcW w:type="dxa" w:w="2020"/>
          </w:tcPr>
          <w:p>
            <w:r/>
            <w:r>
              <w:rPr>
                <w:b w:val="0"/>
                <w:i w:val="0"/>
              </w:rPr>
              <w:t>false</w:t>
            </w:r>
          </w:p>
        </w:tc>
        <w:tc>
          <w:tcPr>
            <w:tcW w:type="dxa" w:w="3296"/>
          </w:tcPr>
          <w:p>
            <w:r/>
            <w:r>
              <w:rPr>
                <w:rFonts w:ascii="Menlo" w:hAnsi="Menlo"/>
                <w:b w:val="0"/>
                <w:i w:val="0"/>
                <w:sz w:val="17"/>
              </w:rPr>
              <w:t>diseno-validacion.json</w:t>
            </w:r>
            <w:r>
              <w:rPr>
                <w:b w:val="0"/>
                <w:i w:val="0"/>
              </w:rPr>
              <w:t xml:space="preserve"> → </w:t>
            </w:r>
            <w:r>
              <w:rPr>
                <w:rFonts w:ascii="Menlo" w:hAnsi="Menlo"/>
                <w:b w:val="0"/>
                <w:i w:val="0"/>
                <w:sz w:val="17"/>
              </w:rPr>
              <w:t>fuga_de_grupo_detectada</w:t>
            </w:r>
          </w:p>
        </w:tc>
      </w:tr>
      <w:tr>
        <w:tc>
          <w:tcPr>
            <w:tcW w:type="dxa" w:w="1037"/>
          </w:tcPr>
          <w:p>
            <w:r/>
            <w:r>
              <w:rPr>
                <w:b w:val="0"/>
                <w:i w:val="0"/>
              </w:rPr>
              <w:t>T21</w:t>
            </w:r>
          </w:p>
        </w:tc>
        <w:tc>
          <w:tcPr>
            <w:tcW w:type="dxa" w:w="3296"/>
          </w:tcPr>
          <w:p>
            <w:r/>
            <w:r>
              <w:rPr>
                <w:b w:val="0"/>
                <w:i w:val="0"/>
              </w:rPr>
              <w:t>Pacientes repartidos bajo partición ingenua (conteo)</w:t>
            </w:r>
          </w:p>
        </w:tc>
        <w:tc>
          <w:tcPr>
            <w:tcW w:type="dxa" w:w="2020"/>
          </w:tcPr>
          <w:p>
            <w:r/>
            <w:r>
              <w:rPr>
                <w:b w:val="0"/>
                <w:i w:val="0"/>
              </w:rPr>
              <w:t>1032 de 1042</w:t>
            </w:r>
          </w:p>
        </w:tc>
        <w:tc>
          <w:tcPr>
            <w:tcW w:type="dxa" w:w="3296"/>
          </w:tcPr>
          <w:p>
            <w:r/>
            <w:r>
              <w:rPr>
                <w:rFonts w:ascii="Menlo" w:hAnsi="Menlo"/>
                <w:b w:val="0"/>
                <w:i w:val="0"/>
                <w:sz w:val="17"/>
              </w:rPr>
              <w:t>diseno-validacion.json</w:t>
            </w:r>
            <w:r>
              <w:rPr>
                <w:b w:val="0"/>
                <w:i w:val="0"/>
              </w:rPr>
              <w:t xml:space="preserve"> → </w:t>
            </w:r>
            <w:r>
              <w:rPr>
                <w:rFonts w:ascii="Menlo" w:hAnsi="Menlo"/>
                <w:b w:val="0"/>
                <w:i w:val="0"/>
                <w:sz w:val="17"/>
              </w:rPr>
              <w:t>comparacion_particion_naive.n_grupos_con_fuga</w:t>
            </w:r>
          </w:p>
        </w:tc>
      </w:tr>
      <w:tr>
        <w:tc>
          <w:tcPr>
            <w:tcW w:type="dxa" w:w="1037"/>
          </w:tcPr>
          <w:p>
            <w:r/>
            <w:r>
              <w:rPr>
                <w:b w:val="0"/>
                <w:i w:val="0"/>
              </w:rPr>
              <w:t>T22</w:t>
            </w:r>
          </w:p>
        </w:tc>
        <w:tc>
          <w:tcPr>
            <w:tcW w:type="dxa" w:w="3296"/>
          </w:tcPr>
          <w:p>
            <w:r/>
            <w:r>
              <w:rPr>
                <w:b w:val="0"/>
                <w:i w:val="0"/>
              </w:rPr>
              <w:t>Positivos en validación por fold</w:t>
            </w:r>
          </w:p>
        </w:tc>
        <w:tc>
          <w:tcPr>
            <w:tcW w:type="dxa" w:w="2020"/>
          </w:tcPr>
          <w:p>
            <w:r/>
            <w:r>
              <w:rPr>
                <w:b w:val="0"/>
                <w:i w:val="0"/>
              </w:rPr>
              <w:t>78, 78, 83, 77, 77</w:t>
            </w:r>
          </w:p>
        </w:tc>
        <w:tc>
          <w:tcPr>
            <w:tcW w:type="dxa" w:w="3296"/>
          </w:tcPr>
          <w:p>
            <w:r/>
            <w:r>
              <w:rPr>
                <w:rFonts w:ascii="Menlo" w:hAnsi="Menlo"/>
                <w:b w:val="0"/>
                <w:i w:val="0"/>
                <w:sz w:val="17"/>
              </w:rPr>
              <w:t>diseno-validacion.json</w:t>
            </w:r>
            <w:r>
              <w:rPr>
                <w:b w:val="0"/>
                <w:i w:val="0"/>
              </w:rPr>
              <w:t xml:space="preserve"> → </w:t>
            </w:r>
            <w:r>
              <w:rPr>
                <w:rFonts w:ascii="Menlo" w:hAnsi="Menlo"/>
                <w:b w:val="0"/>
                <w:i w:val="0"/>
                <w:sz w:val="17"/>
              </w:rPr>
              <w:t>por_fold[].n_val_positivos</w:t>
            </w:r>
          </w:p>
        </w:tc>
      </w:tr>
      <w:tr>
        <w:tc>
          <w:tcPr>
            <w:tcW w:type="dxa" w:w="1037"/>
          </w:tcPr>
          <w:p>
            <w:r/>
            <w:r>
              <w:rPr>
                <w:b w:val="0"/>
                <w:i w:val="0"/>
              </w:rPr>
              <w:t>T23</w:t>
            </w:r>
          </w:p>
        </w:tc>
        <w:tc>
          <w:tcPr>
            <w:tcW w:type="dxa" w:w="3296"/>
          </w:tcPr>
          <w:p>
            <w:r/>
            <w:r>
              <w:rPr>
                <w:b w:val="0"/>
                <w:i w:val="0"/>
              </w:rPr>
              <w:t>Filas en validación por fold</w:t>
            </w:r>
          </w:p>
        </w:tc>
        <w:tc>
          <w:tcPr>
            <w:tcW w:type="dxa" w:w="2020"/>
          </w:tcPr>
          <w:p>
            <w:r/>
            <w:r>
              <w:rPr>
                <w:b w:val="0"/>
                <w:i w:val="0"/>
              </w:rPr>
              <w:t>80210–80216</w:t>
            </w:r>
          </w:p>
        </w:tc>
        <w:tc>
          <w:tcPr>
            <w:tcW w:type="dxa" w:w="3296"/>
          </w:tcPr>
          <w:p>
            <w:r/>
            <w:r>
              <w:rPr>
                <w:rFonts w:ascii="Menlo" w:hAnsi="Menlo"/>
                <w:b w:val="0"/>
                <w:i w:val="0"/>
                <w:sz w:val="17"/>
              </w:rPr>
              <w:t>diseno-validacion.json</w:t>
            </w:r>
            <w:r>
              <w:rPr>
                <w:b w:val="0"/>
                <w:i w:val="0"/>
              </w:rPr>
              <w:t xml:space="preserve"> → </w:t>
            </w:r>
            <w:r>
              <w:rPr>
                <w:rFonts w:ascii="Menlo" w:hAnsi="Menlo"/>
                <w:b w:val="0"/>
                <w:i w:val="0"/>
                <w:sz w:val="17"/>
              </w:rPr>
              <w:t>por_fold[].n_val_filas</w:t>
            </w:r>
          </w:p>
        </w:tc>
      </w:tr>
      <w:tr>
        <w:tc>
          <w:tcPr>
            <w:tcW w:type="dxa" w:w="1037"/>
          </w:tcPr>
          <w:p>
            <w:r/>
            <w:r>
              <w:rPr>
                <w:b w:val="0"/>
                <w:i w:val="0"/>
              </w:rPr>
              <w:t>T24</w:t>
            </w:r>
          </w:p>
        </w:tc>
        <w:tc>
          <w:tcPr>
            <w:tcW w:type="dxa" w:w="3296"/>
          </w:tcPr>
          <w:p>
            <w:r/>
            <w:r>
              <w:rPr>
                <w:b w:val="0"/>
                <w:i w:val="0"/>
              </w:rPr>
              <w:t>Columnas constante e identificadora</w:t>
            </w:r>
          </w:p>
        </w:tc>
        <w:tc>
          <w:tcPr>
            <w:tcW w:type="dxa" w:w="2020"/>
          </w:tcPr>
          <w:p>
            <w:r/>
            <w:r>
              <w:rPr>
                <w:rFonts w:ascii="Menlo" w:hAnsi="Menlo"/>
                <w:b w:val="0"/>
                <w:i w:val="0"/>
                <w:sz w:val="17"/>
              </w:rPr>
              <w:t>image_type</w:t>
            </w:r>
            <w:r>
              <w:rPr>
                <w:b w:val="0"/>
                <w:i w:val="0"/>
              </w:rPr>
              <w:t xml:space="preserve">, </w:t>
            </w:r>
            <w:r>
              <w:rPr>
                <w:rFonts w:ascii="Menlo" w:hAnsi="Menlo"/>
                <w:b w:val="0"/>
                <w:i w:val="0"/>
                <w:sz w:val="17"/>
              </w:rPr>
              <w:t>isic_id</w:t>
            </w:r>
          </w:p>
        </w:tc>
        <w:tc>
          <w:tcPr>
            <w:tcW w:type="dxa" w:w="3296"/>
          </w:tcPr>
          <w:p>
            <w:r/>
            <w:r>
              <w:rPr>
                <w:rFonts w:ascii="Menlo" w:hAnsi="Menlo"/>
                <w:b w:val="0"/>
                <w:i w:val="0"/>
                <w:sz w:val="17"/>
              </w:rPr>
              <w:t>auditoria-de-fugas.json</w:t>
            </w:r>
            <w:r>
              <w:rPr>
                <w:b w:val="0"/>
                <w:i w:val="0"/>
              </w:rPr>
              <w:t xml:space="preserve"> → </w:t>
            </w:r>
            <w:r>
              <w:rPr>
                <w:rFonts w:ascii="Menlo" w:hAnsi="Menlo"/>
                <w:b w:val="0"/>
                <w:i w:val="0"/>
                <w:sz w:val="17"/>
              </w:rPr>
              <w:t>columnas_constantes</w:t>
            </w:r>
            <w:r>
              <w:rPr>
                <w:b w:val="0"/>
                <w:i w:val="0"/>
              </w:rPr>
              <w:t xml:space="preserve">, </w:t>
            </w:r>
            <w:r>
              <w:rPr>
                <w:rFonts w:ascii="Menlo" w:hAnsi="Menlo"/>
                <w:b w:val="0"/>
                <w:i w:val="0"/>
                <w:sz w:val="17"/>
              </w:rPr>
              <w:t>columnas_identificador</w:t>
            </w:r>
          </w:p>
        </w:tc>
      </w:tr>
      <w:tr>
        <w:tc>
          <w:tcPr>
            <w:tcW w:type="dxa" w:w="1037"/>
          </w:tcPr>
          <w:p>
            <w:r/>
            <w:r>
              <w:rPr>
                <w:b w:val="0"/>
                <w:i w:val="0"/>
              </w:rPr>
              <w:t>T25</w:t>
            </w:r>
          </w:p>
        </w:tc>
        <w:tc>
          <w:tcPr>
            <w:tcW w:type="dxa" w:w="3296"/>
          </w:tcPr>
          <w:p>
            <w:r/>
            <w:r>
              <w:rPr>
                <w:b w:val="0"/>
                <w:i w:val="0"/>
              </w:rPr>
              <w:t>Columnas utilizables para modelar</w:t>
            </w:r>
          </w:p>
        </w:tc>
        <w:tc>
          <w:tcPr>
            <w:tcW w:type="dxa" w:w="2020"/>
          </w:tcPr>
          <w:p>
            <w:r/>
            <w:r>
              <w:rPr>
                <w:b w:val="0"/>
                <w:i w:val="0"/>
              </w:rPr>
              <w:t>41</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n_features_usadas</w:t>
            </w:r>
          </w:p>
        </w:tc>
      </w:tr>
      <w:tr>
        <w:tc>
          <w:tcPr>
            <w:tcW w:type="dxa" w:w="1037"/>
          </w:tcPr>
          <w:p>
            <w:r/>
            <w:r>
              <w:rPr>
                <w:b w:val="0"/>
                <w:i w:val="0"/>
              </w:rPr>
              <w:t>T26</w:t>
            </w:r>
          </w:p>
        </w:tc>
        <w:tc>
          <w:tcPr>
            <w:tcW w:type="dxa" w:w="3296"/>
          </w:tcPr>
          <w:p>
            <w:r/>
            <w:r>
              <w:rPr>
                <w:b w:val="0"/>
                <w:i w:val="0"/>
              </w:rPr>
              <w:t>Umbral de AUC para marcar sospecha</w:t>
            </w:r>
          </w:p>
        </w:tc>
        <w:tc>
          <w:tcPr>
            <w:tcW w:type="dxa" w:w="2020"/>
          </w:tcPr>
          <w:p>
            <w:r/>
            <w:r>
              <w:rPr>
                <w:b w:val="0"/>
                <w:i w:val="0"/>
              </w:rPr>
              <w:t>0.90</w:t>
            </w:r>
          </w:p>
        </w:tc>
        <w:tc>
          <w:tcPr>
            <w:tcW w:type="dxa" w:w="3296"/>
          </w:tcPr>
          <w:p>
            <w:r/>
            <w:r>
              <w:rPr>
                <w:rFonts w:ascii="Menlo" w:hAnsi="Menlo"/>
                <w:b w:val="0"/>
                <w:i w:val="0"/>
                <w:sz w:val="17"/>
              </w:rPr>
              <w:t>auditoria-de-fugas.json</w:t>
            </w:r>
            <w:r>
              <w:rPr>
                <w:b w:val="0"/>
                <w:i w:val="0"/>
              </w:rPr>
              <w:t xml:space="preserve"> → </w:t>
            </w:r>
            <w:r>
              <w:rPr>
                <w:rFonts w:ascii="Menlo" w:hAnsi="Menlo"/>
                <w:b w:val="0"/>
                <w:i w:val="0"/>
                <w:sz w:val="17"/>
              </w:rPr>
              <w:t>umbral_auc_sospechoso</w:t>
            </w:r>
          </w:p>
        </w:tc>
      </w:tr>
      <w:tr>
        <w:tc>
          <w:tcPr>
            <w:tcW w:type="dxa" w:w="1037"/>
          </w:tcPr>
          <w:p>
            <w:r/>
            <w:r>
              <w:rPr>
                <w:b w:val="0"/>
                <w:i w:val="0"/>
              </w:rPr>
              <w:t>T27</w:t>
            </w:r>
          </w:p>
        </w:tc>
        <w:tc>
          <w:tcPr>
            <w:tcW w:type="dxa" w:w="3296"/>
          </w:tcPr>
          <w:p>
            <w:r/>
            <w:r>
              <w:rPr>
                <w:b w:val="0"/>
                <w:i w:val="0"/>
              </w:rPr>
              <w:t xml:space="preserve">AUC univariado de </w:t>
            </w:r>
            <w:r>
              <w:rPr>
                <w:rFonts w:ascii="Menlo" w:hAnsi="Menlo"/>
                <w:b w:val="0"/>
                <w:i w:val="0"/>
                <w:sz w:val="17"/>
              </w:rPr>
              <w:t>tbp_lv_H</w:t>
            </w:r>
          </w:p>
        </w:tc>
        <w:tc>
          <w:tcPr>
            <w:tcW w:type="dxa" w:w="2020"/>
          </w:tcPr>
          <w:p>
            <w:r/>
            <w:r>
              <w:rPr>
                <w:b w:val="0"/>
                <w:i w:val="0"/>
              </w:rPr>
              <w:t>0.8053</w:t>
            </w:r>
          </w:p>
        </w:tc>
        <w:tc>
          <w:tcPr>
            <w:tcW w:type="dxa" w:w="3296"/>
          </w:tcPr>
          <w:p>
            <w:r/>
            <w:r>
              <w:rPr>
                <w:rFonts w:ascii="Menlo" w:hAnsi="Menlo"/>
                <w:b w:val="0"/>
                <w:i w:val="0"/>
                <w:sz w:val="17"/>
              </w:rPr>
              <w:t>auditoria-de-fugas.json</w:t>
            </w:r>
            <w:r>
              <w:rPr>
                <w:b w:val="0"/>
                <w:i w:val="0"/>
              </w:rPr>
              <w:t xml:space="preserve"> → </w:t>
            </w:r>
            <w:r>
              <w:rPr>
                <w:rFonts w:ascii="Menlo" w:hAnsi="Menlo"/>
                <w:b w:val="0"/>
                <w:i w:val="0"/>
                <w:sz w:val="17"/>
              </w:rPr>
              <w:t>univariado[]</w:t>
            </w:r>
          </w:p>
        </w:tc>
      </w:tr>
      <w:tr>
        <w:tc>
          <w:tcPr>
            <w:tcW w:type="dxa" w:w="1037"/>
          </w:tcPr>
          <w:p>
            <w:r/>
            <w:r>
              <w:rPr>
                <w:b w:val="0"/>
                <w:i w:val="0"/>
              </w:rPr>
              <w:t>T28</w:t>
            </w:r>
          </w:p>
        </w:tc>
        <w:tc>
          <w:tcPr>
            <w:tcW w:type="dxa" w:w="3296"/>
          </w:tcPr>
          <w:p>
            <w:r/>
            <w:r>
              <w:rPr>
                <w:b w:val="0"/>
                <w:i w:val="0"/>
              </w:rPr>
              <w:t xml:space="preserve">AUC univariado de </w:t>
            </w:r>
            <w:r>
              <w:rPr>
                <w:rFonts w:ascii="Menlo" w:hAnsi="Menlo"/>
                <w:b w:val="0"/>
                <w:i w:val="0"/>
                <w:sz w:val="17"/>
              </w:rPr>
              <w:t>tbp_lv_deltaB</w:t>
            </w:r>
          </w:p>
        </w:tc>
        <w:tc>
          <w:tcPr>
            <w:tcW w:type="dxa" w:w="2020"/>
          </w:tcPr>
          <w:p>
            <w:r/>
            <w:r>
              <w:rPr>
                <w:b w:val="0"/>
                <w:i w:val="0"/>
              </w:rPr>
              <w:t>0.7541</w:t>
            </w:r>
          </w:p>
        </w:tc>
        <w:tc>
          <w:tcPr>
            <w:tcW w:type="dxa" w:w="3296"/>
          </w:tcPr>
          <w:p>
            <w:r/>
            <w:r>
              <w:rPr>
                <w:rFonts w:ascii="Menlo" w:hAnsi="Menlo"/>
                <w:b w:val="0"/>
                <w:i w:val="0"/>
                <w:sz w:val="17"/>
              </w:rPr>
              <w:t>auditoria-de-fugas.json</w:t>
            </w:r>
            <w:r>
              <w:rPr>
                <w:b w:val="0"/>
                <w:i w:val="0"/>
              </w:rPr>
              <w:t xml:space="preserve"> → </w:t>
            </w:r>
            <w:r>
              <w:rPr>
                <w:rFonts w:ascii="Menlo" w:hAnsi="Menlo"/>
                <w:b w:val="0"/>
                <w:i w:val="0"/>
                <w:sz w:val="17"/>
              </w:rPr>
              <w:t>univariado[]</w:t>
            </w:r>
          </w:p>
        </w:tc>
      </w:tr>
      <w:tr>
        <w:tc>
          <w:tcPr>
            <w:tcW w:type="dxa" w:w="1037"/>
          </w:tcPr>
          <w:p>
            <w:r/>
            <w:r>
              <w:rPr>
                <w:b w:val="0"/>
                <w:i w:val="0"/>
              </w:rPr>
              <w:t>T29</w:t>
            </w:r>
          </w:p>
        </w:tc>
        <w:tc>
          <w:tcPr>
            <w:tcW w:type="dxa" w:w="3296"/>
          </w:tcPr>
          <w:p>
            <w:r/>
            <w:r>
              <w:rPr>
                <w:b w:val="0"/>
                <w:i w:val="0"/>
              </w:rPr>
              <w:t xml:space="preserve">AUC univariado de </w:t>
            </w:r>
            <w:r>
              <w:rPr>
                <w:rFonts w:ascii="Menlo" w:hAnsi="Menlo"/>
                <w:b w:val="0"/>
                <w:i w:val="0"/>
                <w:sz w:val="17"/>
              </w:rPr>
              <w:t>tbp_lv_Hext</w:t>
            </w:r>
          </w:p>
        </w:tc>
        <w:tc>
          <w:tcPr>
            <w:tcW w:type="dxa" w:w="2020"/>
          </w:tcPr>
          <w:p>
            <w:r/>
            <w:r>
              <w:rPr>
                <w:b w:val="0"/>
                <w:i w:val="0"/>
              </w:rPr>
              <w:t>0.7195</w:t>
            </w:r>
          </w:p>
        </w:tc>
        <w:tc>
          <w:tcPr>
            <w:tcW w:type="dxa" w:w="3296"/>
          </w:tcPr>
          <w:p>
            <w:r/>
            <w:r>
              <w:rPr>
                <w:rFonts w:ascii="Menlo" w:hAnsi="Menlo"/>
                <w:b w:val="0"/>
                <w:i w:val="0"/>
                <w:sz w:val="17"/>
              </w:rPr>
              <w:t>auditoria-de-fugas.json</w:t>
            </w:r>
            <w:r>
              <w:rPr>
                <w:b w:val="0"/>
                <w:i w:val="0"/>
              </w:rPr>
              <w:t xml:space="preserve"> → </w:t>
            </w:r>
            <w:r>
              <w:rPr>
                <w:rFonts w:ascii="Menlo" w:hAnsi="Menlo"/>
                <w:b w:val="0"/>
                <w:i w:val="0"/>
                <w:sz w:val="17"/>
              </w:rPr>
              <w:t>univariado[]</w:t>
            </w:r>
          </w:p>
        </w:tc>
      </w:tr>
      <w:tr>
        <w:tc>
          <w:tcPr>
            <w:tcW w:type="dxa" w:w="1037"/>
          </w:tcPr>
          <w:p>
            <w:r/>
            <w:r>
              <w:rPr>
                <w:b w:val="0"/>
                <w:i w:val="0"/>
              </w:rPr>
              <w:t>T30</w:t>
            </w:r>
          </w:p>
        </w:tc>
        <w:tc>
          <w:tcPr>
            <w:tcW w:type="dxa" w:w="3296"/>
          </w:tcPr>
          <w:p>
            <w:r/>
            <w:r>
              <w:rPr>
                <w:b w:val="0"/>
                <w:i w:val="0"/>
              </w:rPr>
              <w:t>Preguntas abiertas planteadas</w:t>
            </w:r>
          </w:p>
        </w:tc>
        <w:tc>
          <w:tcPr>
            <w:tcW w:type="dxa" w:w="2020"/>
          </w:tcPr>
          <w:p>
            <w:r/>
            <w:r>
              <w:rPr>
                <w:b w:val="0"/>
                <w:i w:val="0"/>
              </w:rPr>
              <w:t>10</w:t>
            </w:r>
          </w:p>
        </w:tc>
        <w:tc>
          <w:tcPr>
            <w:tcW w:type="dxa" w:w="3296"/>
          </w:tcPr>
          <w:p>
            <w:r/>
            <w:r>
              <w:rPr>
                <w:rFonts w:ascii="Menlo" w:hAnsi="Menlo"/>
                <w:b w:val="0"/>
                <w:i w:val="0"/>
                <w:sz w:val="17"/>
              </w:rPr>
              <w:t>auditoria-de-fugas.json</w:t>
            </w:r>
            <w:r>
              <w:rPr>
                <w:b w:val="0"/>
                <w:i w:val="0"/>
              </w:rPr>
              <w:t xml:space="preserve"> → </w:t>
            </w:r>
            <w:r>
              <w:rPr>
                <w:rFonts w:ascii="Menlo" w:hAnsi="Menlo"/>
                <w:b w:val="0"/>
                <w:i w:val="0"/>
                <w:sz w:val="17"/>
              </w:rPr>
              <w:t>preguntas_abiertas</w:t>
            </w:r>
            <w:r>
              <w:rPr>
                <w:b w:val="0"/>
                <w:i w:val="0"/>
              </w:rPr>
              <w:t xml:space="preserve"> (longitud)</w:t>
            </w:r>
          </w:p>
        </w:tc>
      </w:tr>
      <w:tr>
        <w:tc>
          <w:tcPr>
            <w:tcW w:type="dxa" w:w="1037"/>
          </w:tcPr>
          <w:p>
            <w:r/>
            <w:r>
              <w:rPr>
                <w:b w:val="0"/>
                <w:i w:val="0"/>
              </w:rPr>
              <w:t>T30b</w:t>
            </w:r>
          </w:p>
        </w:tc>
        <w:tc>
          <w:tcPr>
            <w:tcW w:type="dxa" w:w="3296"/>
          </w:tcPr>
          <w:p>
            <w:r/>
            <w:r>
              <w:rPr>
                <w:b w:val="0"/>
                <w:i w:val="0"/>
              </w:rPr>
              <w:t>pAUC medio del nivel 2a</w:t>
            </w:r>
          </w:p>
        </w:tc>
        <w:tc>
          <w:tcPr>
            <w:tcW w:type="dxa" w:w="2020"/>
          </w:tcPr>
          <w:p>
            <w:r/>
            <w:r>
              <w:rPr>
                <w:b w:val="0"/>
                <w:i w:val="0"/>
              </w:rPr>
              <w:t>0.0013</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nivel_2a_....pauc_media</w:t>
            </w:r>
          </w:p>
        </w:tc>
      </w:tr>
      <w:tr>
        <w:tc>
          <w:tcPr>
            <w:tcW w:type="dxa" w:w="1037"/>
          </w:tcPr>
          <w:p>
            <w:r/>
            <w:r>
              <w:rPr>
                <w:b w:val="0"/>
                <w:i w:val="0"/>
              </w:rPr>
              <w:t>T31</w:t>
            </w:r>
          </w:p>
        </w:tc>
        <w:tc>
          <w:tcPr>
            <w:tcW w:type="dxa" w:w="3296"/>
          </w:tcPr>
          <w:p>
            <w:r/>
            <w:r>
              <w:rPr>
                <w:b w:val="0"/>
                <w:i w:val="0"/>
              </w:rPr>
              <w:t xml:space="preserve">AUC univariado de </w:t>
            </w:r>
            <w:r>
              <w:rPr>
                <w:rFonts w:ascii="Menlo" w:hAnsi="Menlo"/>
                <w:b w:val="0"/>
                <w:i w:val="0"/>
                <w:sz w:val="17"/>
              </w:rPr>
              <w:t>tbp_lv_nevi_confidence</w:t>
            </w:r>
          </w:p>
        </w:tc>
        <w:tc>
          <w:tcPr>
            <w:tcW w:type="dxa" w:w="2020"/>
          </w:tcPr>
          <w:p>
            <w:r/>
            <w:r>
              <w:rPr>
                <w:b w:val="0"/>
                <w:i w:val="0"/>
              </w:rPr>
              <w:t>0.6457</w:t>
            </w:r>
          </w:p>
        </w:tc>
        <w:tc>
          <w:tcPr>
            <w:tcW w:type="dxa" w:w="3296"/>
          </w:tcPr>
          <w:p>
            <w:r/>
            <w:r>
              <w:rPr>
                <w:rFonts w:ascii="Menlo" w:hAnsi="Menlo"/>
                <w:b w:val="0"/>
                <w:i w:val="0"/>
                <w:sz w:val="17"/>
              </w:rPr>
              <w:t>auditoria-de-fugas.json</w:t>
            </w:r>
            <w:r>
              <w:rPr>
                <w:b w:val="0"/>
                <w:i w:val="0"/>
              </w:rPr>
              <w:t xml:space="preserve"> → </w:t>
            </w:r>
            <w:r>
              <w:rPr>
                <w:rFonts w:ascii="Menlo" w:hAnsi="Menlo"/>
                <w:b w:val="0"/>
                <w:i w:val="0"/>
                <w:sz w:val="17"/>
              </w:rPr>
              <w:t>univariado[]</w:t>
            </w:r>
          </w:p>
        </w:tc>
      </w:tr>
      <w:tr>
        <w:tc>
          <w:tcPr>
            <w:tcW w:type="dxa" w:w="1037"/>
          </w:tcPr>
          <w:p>
            <w:r/>
            <w:r>
              <w:rPr>
                <w:b w:val="0"/>
                <w:i w:val="0"/>
              </w:rPr>
              <w:t>T32</w:t>
            </w:r>
          </w:p>
        </w:tc>
        <w:tc>
          <w:tcPr>
            <w:tcW w:type="dxa" w:w="3296"/>
          </w:tcPr>
          <w:p>
            <w:r/>
            <w:r>
              <w:rPr>
                <w:b w:val="0"/>
                <w:i w:val="0"/>
              </w:rPr>
              <w:t>Métrica verificada contra fuente oficial</w:t>
            </w:r>
          </w:p>
        </w:tc>
        <w:tc>
          <w:tcPr>
            <w:tcW w:type="dxa" w:w="2020"/>
          </w:tcPr>
          <w:p>
            <w:r/>
            <w:r>
              <w:rPr>
                <w:b w:val="0"/>
                <w:i w:val="0"/>
              </w:rPr>
              <w:t>true</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metrica_verificada_contra_fuente_oficial</w:t>
            </w:r>
            <w:r>
              <w:rPr>
                <w:b w:val="0"/>
                <w:i w:val="0"/>
              </w:rPr>
              <w:t xml:space="preserve">, </w:t>
            </w:r>
            <w:r>
              <w:rPr>
                <w:rFonts w:ascii="Menlo" w:hAnsi="Menlo"/>
                <w:b w:val="0"/>
                <w:i w:val="0"/>
                <w:sz w:val="17"/>
              </w:rPr>
              <w:t>metrica_fuente</w:t>
            </w:r>
          </w:p>
        </w:tc>
      </w:tr>
      <w:tr>
        <w:tc>
          <w:tcPr>
            <w:tcW w:type="dxa" w:w="1037"/>
          </w:tcPr>
          <w:p>
            <w:r/>
            <w:r>
              <w:rPr>
                <w:b w:val="0"/>
                <w:i w:val="0"/>
              </w:rPr>
              <w:t>T33</w:t>
            </w:r>
          </w:p>
        </w:tc>
        <w:tc>
          <w:tcPr>
            <w:tcW w:type="dxa" w:w="3296"/>
          </w:tcPr>
          <w:p>
            <w:r/>
            <w:r>
              <w:rPr>
                <w:b w:val="0"/>
                <w:i w:val="0"/>
              </w:rPr>
              <w:t>pAUC del azar</w:t>
            </w:r>
          </w:p>
        </w:tc>
        <w:tc>
          <w:tcPr>
            <w:tcW w:type="dxa" w:w="2020"/>
          </w:tcPr>
          <w:p>
            <w:r/>
            <w:r>
              <w:rPr>
                <w:b w:val="0"/>
                <w:i w:val="0"/>
              </w:rPr>
              <w:t>0.02</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escala_de_referencia_pauc.azar</w:t>
            </w:r>
          </w:p>
        </w:tc>
      </w:tr>
      <w:tr>
        <w:tc>
          <w:tcPr>
            <w:tcW w:type="dxa" w:w="1037"/>
          </w:tcPr>
          <w:p>
            <w:r/>
            <w:r>
              <w:rPr>
                <w:b w:val="0"/>
                <w:i w:val="0"/>
              </w:rPr>
              <w:t>T34</w:t>
            </w:r>
          </w:p>
        </w:tc>
        <w:tc>
          <w:tcPr>
            <w:tcW w:type="dxa" w:w="3296"/>
          </w:tcPr>
          <w:p>
            <w:r/>
            <w:r>
              <w:rPr>
                <w:b w:val="0"/>
                <w:i w:val="0"/>
              </w:rPr>
              <w:t>pAUC máximo alcanzable</w:t>
            </w:r>
          </w:p>
        </w:tc>
        <w:tc>
          <w:tcPr>
            <w:tcW w:type="dxa" w:w="2020"/>
          </w:tcPr>
          <w:p>
            <w:r/>
            <w:r>
              <w:rPr>
                <w:b w:val="0"/>
                <w:i w:val="0"/>
              </w:rPr>
              <w:t>0.2</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escala_de_referencia_pauc.maximo</w:t>
            </w:r>
          </w:p>
        </w:tc>
      </w:tr>
      <w:tr>
        <w:tc>
          <w:tcPr>
            <w:tcW w:type="dxa" w:w="1037"/>
          </w:tcPr>
          <w:p>
            <w:r/>
            <w:r>
              <w:rPr>
                <w:b w:val="0"/>
                <w:i w:val="0"/>
              </w:rPr>
              <w:t>T35</w:t>
            </w:r>
          </w:p>
        </w:tc>
        <w:tc>
          <w:tcPr>
            <w:tcW w:type="dxa" w:w="3296"/>
          </w:tcPr>
          <w:p>
            <w:r/>
            <w:r>
              <w:rPr>
                <w:b w:val="0"/>
                <w:i w:val="0"/>
              </w:rPr>
              <w:t>pAUC medio del nivel 0</w:t>
            </w:r>
          </w:p>
        </w:tc>
        <w:tc>
          <w:tcPr>
            <w:tcW w:type="dxa" w:w="2020"/>
          </w:tcPr>
          <w:p>
            <w:r/>
            <w:r>
              <w:rPr>
                <w:b w:val="0"/>
                <w:i w:val="0"/>
              </w:rPr>
              <w:t>0.0809</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nivel_0_....pauc_media</w:t>
            </w:r>
          </w:p>
        </w:tc>
      </w:tr>
      <w:tr>
        <w:tc>
          <w:tcPr>
            <w:tcW w:type="dxa" w:w="1037"/>
          </w:tcPr>
          <w:p>
            <w:r/>
            <w:r>
              <w:rPr>
                <w:b w:val="0"/>
                <w:i w:val="0"/>
              </w:rPr>
              <w:t>T36</w:t>
            </w:r>
          </w:p>
        </w:tc>
        <w:tc>
          <w:tcPr>
            <w:tcW w:type="dxa" w:w="3296"/>
          </w:tcPr>
          <w:p>
            <w:r/>
            <w:r>
              <w:rPr>
                <w:b w:val="0"/>
                <w:i w:val="0"/>
              </w:rPr>
              <w:t>Desviación entre folds del nivel 0</w:t>
            </w:r>
          </w:p>
        </w:tc>
        <w:tc>
          <w:tcPr>
            <w:tcW w:type="dxa" w:w="2020"/>
          </w:tcPr>
          <w:p>
            <w:r/>
            <w:r>
              <w:rPr>
                <w:b w:val="0"/>
                <w:i w:val="0"/>
              </w:rPr>
              <w:t>0.0247</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nivel_0_....pauc_std</w:t>
            </w:r>
          </w:p>
        </w:tc>
      </w:tr>
      <w:tr>
        <w:tc>
          <w:tcPr>
            <w:tcW w:type="dxa" w:w="1037"/>
          </w:tcPr>
          <w:p>
            <w:r/>
            <w:r>
              <w:rPr>
                <w:b w:val="0"/>
                <w:i w:val="0"/>
              </w:rPr>
              <w:t>T37</w:t>
            </w:r>
          </w:p>
        </w:tc>
        <w:tc>
          <w:tcPr>
            <w:tcW w:type="dxa" w:w="3296"/>
          </w:tcPr>
          <w:p>
            <w:r/>
            <w:r>
              <w:rPr>
                <w:b w:val="0"/>
                <w:i w:val="0"/>
              </w:rPr>
              <w:t>Posición en la escala del nivel 0</w:t>
            </w:r>
          </w:p>
        </w:tc>
        <w:tc>
          <w:tcPr>
            <w:tcW w:type="dxa" w:w="2020"/>
          </w:tcPr>
          <w:p>
            <w:r/>
            <w:r>
              <w:rPr>
                <w:b w:val="0"/>
                <w:i w:val="0"/>
              </w:rPr>
              <w:t>0.3383</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nivel_0_....posicion_en_escala</w:t>
            </w:r>
          </w:p>
        </w:tc>
      </w:tr>
      <w:tr>
        <w:tc>
          <w:tcPr>
            <w:tcW w:type="dxa" w:w="1037"/>
          </w:tcPr>
          <w:p>
            <w:r/>
            <w:r>
              <w:rPr>
                <w:b w:val="0"/>
                <w:i w:val="0"/>
              </w:rPr>
              <w:t>T38</w:t>
            </w:r>
          </w:p>
        </w:tc>
        <w:tc>
          <w:tcPr>
            <w:tcW w:type="dxa" w:w="3296"/>
          </w:tcPr>
          <w:p>
            <w:r/>
            <w:r>
              <w:rPr>
                <w:b w:val="0"/>
                <w:i w:val="0"/>
              </w:rPr>
              <w:t>pAUC medio del nivel 1</w:t>
            </w:r>
          </w:p>
        </w:tc>
        <w:tc>
          <w:tcPr>
            <w:tcW w:type="dxa" w:w="2020"/>
          </w:tcPr>
          <w:p>
            <w:r/>
            <w:r>
              <w:rPr>
                <w:b w:val="0"/>
                <w:i w:val="0"/>
              </w:rPr>
              <w:t>0.1331</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nivel_1_....pauc_media</w:t>
            </w:r>
          </w:p>
        </w:tc>
      </w:tr>
      <w:tr>
        <w:tc>
          <w:tcPr>
            <w:tcW w:type="dxa" w:w="1037"/>
          </w:tcPr>
          <w:p>
            <w:r/>
            <w:r>
              <w:rPr>
                <w:b w:val="0"/>
                <w:i w:val="0"/>
              </w:rPr>
              <w:t>T39</w:t>
            </w:r>
          </w:p>
        </w:tc>
        <w:tc>
          <w:tcPr>
            <w:tcW w:type="dxa" w:w="3296"/>
          </w:tcPr>
          <w:p>
            <w:r/>
            <w:r>
              <w:rPr>
                <w:b w:val="0"/>
                <w:i w:val="0"/>
              </w:rPr>
              <w:t>Desviación entre folds del nivel 1</w:t>
            </w:r>
          </w:p>
        </w:tc>
        <w:tc>
          <w:tcPr>
            <w:tcW w:type="dxa" w:w="2020"/>
          </w:tcPr>
          <w:p>
            <w:r/>
            <w:r>
              <w:rPr>
                <w:b w:val="0"/>
                <w:i w:val="0"/>
              </w:rPr>
              <w:t>0.0173</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nivel_1_....pauc_std</w:t>
            </w:r>
          </w:p>
        </w:tc>
      </w:tr>
      <w:tr>
        <w:tc>
          <w:tcPr>
            <w:tcW w:type="dxa" w:w="1037"/>
          </w:tcPr>
          <w:p>
            <w:r/>
            <w:r>
              <w:rPr>
                <w:b w:val="0"/>
                <w:i w:val="0"/>
              </w:rPr>
              <w:t>T40</w:t>
            </w:r>
          </w:p>
        </w:tc>
        <w:tc>
          <w:tcPr>
            <w:tcW w:type="dxa" w:w="3296"/>
          </w:tcPr>
          <w:p>
            <w:r/>
            <w:r>
              <w:rPr>
                <w:b w:val="0"/>
                <w:i w:val="0"/>
              </w:rPr>
              <w:t>Posición en la escala del nivel 1</w:t>
            </w:r>
          </w:p>
        </w:tc>
        <w:tc>
          <w:tcPr>
            <w:tcW w:type="dxa" w:w="2020"/>
          </w:tcPr>
          <w:p>
            <w:r/>
            <w:r>
              <w:rPr>
                <w:b w:val="0"/>
                <w:i w:val="0"/>
              </w:rPr>
              <w:t>0.6283</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nivel_1_....posicion_en_escala</w:t>
            </w:r>
          </w:p>
        </w:tc>
      </w:tr>
      <w:tr>
        <w:tc>
          <w:tcPr>
            <w:tcW w:type="dxa" w:w="1037"/>
          </w:tcPr>
          <w:p>
            <w:r/>
            <w:r>
              <w:rPr>
                <w:b w:val="0"/>
                <w:i w:val="0"/>
              </w:rPr>
              <w:t>T41</w:t>
            </w:r>
          </w:p>
        </w:tc>
        <w:tc>
          <w:tcPr>
            <w:tcW w:type="dxa" w:w="3296"/>
          </w:tcPr>
          <w:p>
            <w:r/>
            <w:r>
              <w:rPr>
                <w:b w:val="0"/>
                <w:i w:val="0"/>
              </w:rPr>
              <w:t>Desviación entre folds del nivel 2a</w:t>
            </w:r>
          </w:p>
        </w:tc>
        <w:tc>
          <w:tcPr>
            <w:tcW w:type="dxa" w:w="2020"/>
          </w:tcPr>
          <w:p>
            <w:r/>
            <w:r>
              <w:rPr>
                <w:b w:val="0"/>
                <w:i w:val="0"/>
              </w:rPr>
              <w:t>0.0015</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nivel_2a_....pauc_std</w:t>
            </w:r>
          </w:p>
        </w:tc>
      </w:tr>
      <w:tr>
        <w:tc>
          <w:tcPr>
            <w:tcW w:type="dxa" w:w="1037"/>
          </w:tcPr>
          <w:p>
            <w:r/>
            <w:r>
              <w:rPr>
                <w:b w:val="0"/>
                <w:i w:val="0"/>
              </w:rPr>
              <w:t>T42</w:t>
            </w:r>
          </w:p>
        </w:tc>
        <w:tc>
          <w:tcPr>
            <w:tcW w:type="dxa" w:w="3296"/>
          </w:tcPr>
          <w:p>
            <w:r/>
            <w:r>
              <w:rPr>
                <w:b w:val="0"/>
                <w:i w:val="0"/>
              </w:rPr>
              <w:t>Posición en la escala del nivel 2a</w:t>
            </w:r>
          </w:p>
        </w:tc>
        <w:tc>
          <w:tcPr>
            <w:tcW w:type="dxa" w:w="2020"/>
          </w:tcPr>
          <w:p>
            <w:r/>
            <w:r>
              <w:rPr>
                <w:b w:val="0"/>
                <w:i w:val="0"/>
              </w:rPr>
              <w:t>−0.1039</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nivel_2a_....posicion_en_escala</w:t>
            </w:r>
          </w:p>
        </w:tc>
      </w:tr>
      <w:tr>
        <w:tc>
          <w:tcPr>
            <w:tcW w:type="dxa" w:w="1037"/>
          </w:tcPr>
          <w:p>
            <w:r/>
            <w:r>
              <w:rPr>
                <w:b w:val="0"/>
                <w:i w:val="0"/>
              </w:rPr>
              <w:t>T43</w:t>
            </w:r>
          </w:p>
        </w:tc>
        <w:tc>
          <w:tcPr>
            <w:tcW w:type="dxa" w:w="3296"/>
          </w:tcPr>
          <w:p>
            <w:r/>
            <w:r>
              <w:rPr>
                <w:b w:val="0"/>
                <w:i w:val="0"/>
              </w:rPr>
              <w:t>pAUC medio del nivel 2b</w:t>
            </w:r>
          </w:p>
        </w:tc>
        <w:tc>
          <w:tcPr>
            <w:tcW w:type="dxa" w:w="2020"/>
          </w:tcPr>
          <w:p>
            <w:r/>
            <w:r>
              <w:rPr>
                <w:b w:val="0"/>
                <w:i w:val="0"/>
              </w:rPr>
              <w:t>0.1451</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nivel_2b_....pauc_media</w:t>
            </w:r>
          </w:p>
        </w:tc>
      </w:tr>
      <w:tr>
        <w:tc>
          <w:tcPr>
            <w:tcW w:type="dxa" w:w="1037"/>
          </w:tcPr>
          <w:p>
            <w:r/>
            <w:r>
              <w:rPr>
                <w:b w:val="0"/>
                <w:i w:val="0"/>
              </w:rPr>
              <w:t>T44</w:t>
            </w:r>
          </w:p>
        </w:tc>
        <w:tc>
          <w:tcPr>
            <w:tcW w:type="dxa" w:w="3296"/>
          </w:tcPr>
          <w:p>
            <w:r/>
            <w:r>
              <w:rPr>
                <w:b w:val="0"/>
                <w:i w:val="0"/>
              </w:rPr>
              <w:t>Desviación entre folds del nivel 2b</w:t>
            </w:r>
          </w:p>
        </w:tc>
        <w:tc>
          <w:tcPr>
            <w:tcW w:type="dxa" w:w="2020"/>
          </w:tcPr>
          <w:p>
            <w:r/>
            <w:r>
              <w:rPr>
                <w:b w:val="0"/>
                <w:i w:val="0"/>
              </w:rPr>
              <w:t>0.0055</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nivel_2b_....pauc_std</w:t>
            </w:r>
          </w:p>
        </w:tc>
      </w:tr>
      <w:tr>
        <w:tc>
          <w:tcPr>
            <w:tcW w:type="dxa" w:w="1037"/>
          </w:tcPr>
          <w:p>
            <w:r/>
            <w:r>
              <w:rPr>
                <w:b w:val="0"/>
                <w:i w:val="0"/>
              </w:rPr>
              <w:t>T45</w:t>
            </w:r>
          </w:p>
        </w:tc>
        <w:tc>
          <w:tcPr>
            <w:tcW w:type="dxa" w:w="3296"/>
          </w:tcPr>
          <w:p>
            <w:r/>
            <w:r>
              <w:rPr>
                <w:b w:val="0"/>
                <w:i w:val="0"/>
              </w:rPr>
              <w:t>Posición en la escala del nivel 2b</w:t>
            </w:r>
          </w:p>
        </w:tc>
        <w:tc>
          <w:tcPr>
            <w:tcW w:type="dxa" w:w="2020"/>
          </w:tcPr>
          <w:p>
            <w:r/>
            <w:r>
              <w:rPr>
                <w:b w:val="0"/>
                <w:i w:val="0"/>
              </w:rPr>
              <w:t>0.695</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nivel_2b_....posicion_en_escala</w:t>
            </w:r>
          </w:p>
        </w:tc>
      </w:tr>
      <w:tr>
        <w:tc>
          <w:tcPr>
            <w:tcW w:type="dxa" w:w="1037"/>
          </w:tcPr>
          <w:p>
            <w:r/>
            <w:r>
              <w:rPr>
                <w:b w:val="0"/>
                <w:i w:val="0"/>
              </w:rPr>
              <w:t>T46</w:t>
            </w:r>
          </w:p>
        </w:tc>
        <w:tc>
          <w:tcPr>
            <w:tcW w:type="dxa" w:w="3296"/>
          </w:tcPr>
          <w:p>
            <w:r/>
            <w:r>
              <w:rPr>
                <w:b w:val="0"/>
                <w:i w:val="0"/>
              </w:rPr>
              <w:t>Única diferencia entre 2a y 2b</w:t>
            </w:r>
          </w:p>
        </w:tc>
        <w:tc>
          <w:tcPr>
            <w:tcW w:type="dxa" w:w="2020"/>
          </w:tcPr>
          <w:p>
            <w:r/>
            <w:r>
              <w:rPr>
                <w:rFonts w:ascii="Menlo" w:hAnsi="Menlo"/>
                <w:b w:val="0"/>
                <w:i w:val="0"/>
                <w:sz w:val="17"/>
              </w:rPr>
              <w:t>class_weight</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nivel_2a_....modelo</w:t>
            </w:r>
            <w:r>
              <w:rPr>
                <w:b w:val="0"/>
                <w:i w:val="0"/>
              </w:rPr>
              <w:t xml:space="preserve">, </w:t>
            </w:r>
            <w:r>
              <w:rPr>
                <w:rFonts w:ascii="Menlo" w:hAnsi="Menlo"/>
                <w:b w:val="0"/>
                <w:i w:val="0"/>
                <w:sz w:val="17"/>
              </w:rPr>
              <w:t>nivel_2b_....modelo</w:t>
            </w:r>
          </w:p>
        </w:tc>
      </w:tr>
      <w:tr>
        <w:tc>
          <w:tcPr>
            <w:tcW w:type="dxa" w:w="1037"/>
          </w:tcPr>
          <w:p>
            <w:r/>
            <w:r>
              <w:rPr>
                <w:b w:val="0"/>
                <w:i w:val="0"/>
              </w:rPr>
              <w:t>T47</w:t>
            </w:r>
          </w:p>
        </w:tc>
        <w:tc>
          <w:tcPr>
            <w:tcW w:type="dxa" w:w="3296"/>
          </w:tcPr>
          <w:p>
            <w:r/>
            <w:r>
              <w:rPr>
                <w:b w:val="0"/>
                <w:i w:val="0"/>
              </w:rPr>
              <w:t>El conjunto de prueba es un marcador de posición</w:t>
            </w:r>
          </w:p>
        </w:tc>
        <w:tc>
          <w:tcPr>
            <w:tcW w:type="dxa" w:w="2020"/>
          </w:tcPr>
          <w:p>
            <w:r/>
            <w:r>
              <w:rPr>
                <w:b w:val="0"/>
                <w:i w:val="0"/>
              </w:rPr>
              <w:t>true</w:t>
            </w:r>
          </w:p>
        </w:tc>
        <w:tc>
          <w:tcPr>
            <w:tcW w:type="dxa" w:w="3296"/>
          </w:tcPr>
          <w:p>
            <w:r/>
            <w:r>
              <w:rPr>
                <w:rFonts w:ascii="Menlo" w:hAnsi="Menlo"/>
                <w:b w:val="0"/>
                <w:i w:val="0"/>
                <w:sz w:val="17"/>
              </w:rPr>
              <w:t>eda-diagnostico.json</w:t>
            </w:r>
            <w:r>
              <w:rPr>
                <w:b w:val="0"/>
                <w:i w:val="0"/>
              </w:rPr>
              <w:t xml:space="preserve"> → </w:t>
            </w:r>
            <w:r>
              <w:rPr>
                <w:rFonts w:ascii="Menlo" w:hAnsi="Menlo"/>
                <w:b w:val="0"/>
                <w:i w:val="0"/>
                <w:sz w:val="17"/>
              </w:rPr>
              <w:t>test_is_placeholder</w:t>
            </w:r>
          </w:p>
        </w:tc>
      </w:tr>
      <w:tr>
        <w:tc>
          <w:tcPr>
            <w:tcW w:type="dxa" w:w="1037"/>
          </w:tcPr>
          <w:p>
            <w:r/>
            <w:r>
              <w:rPr>
                <w:b w:val="0"/>
                <w:i w:val="0"/>
              </w:rPr>
              <w:t>T48</w:t>
            </w:r>
          </w:p>
        </w:tc>
        <w:tc>
          <w:tcPr>
            <w:tcW w:type="dxa" w:w="3296"/>
          </w:tcPr>
          <w:p>
            <w:r/>
            <w:r>
              <w:rPr>
                <w:b w:val="0"/>
                <w:i w:val="0"/>
              </w:rPr>
              <w:t>pAUC del nivel 1 en cada fold</w:t>
            </w:r>
          </w:p>
        </w:tc>
        <w:tc>
          <w:tcPr>
            <w:tcW w:type="dxa" w:w="2020"/>
          </w:tcPr>
          <w:p>
            <w:r/>
            <w:r>
              <w:rPr>
                <w:b w:val="0"/>
                <w:i w:val="0"/>
              </w:rPr>
              <w:t>0.1524, 0.1253, 0.1553, 0.1142, 0.1184</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nivel_1_....pauc_por_fold</w:t>
            </w:r>
          </w:p>
        </w:tc>
      </w:tr>
      <w:tr>
        <w:tc>
          <w:tcPr>
            <w:tcW w:type="dxa" w:w="1037"/>
          </w:tcPr>
          <w:p>
            <w:r/>
            <w:r>
              <w:rPr>
                <w:b w:val="0"/>
                <w:i w:val="0"/>
              </w:rPr>
              <w:t>T49</w:t>
            </w:r>
          </w:p>
        </w:tc>
        <w:tc>
          <w:tcPr>
            <w:tcW w:type="dxa" w:w="3296"/>
          </w:tcPr>
          <w:p>
            <w:r/>
            <w:r>
              <w:rPr>
                <w:b w:val="0"/>
                <w:i w:val="0"/>
              </w:rPr>
              <w:t>pAUC del nivel 2b en cada fold</w:t>
            </w:r>
          </w:p>
        </w:tc>
        <w:tc>
          <w:tcPr>
            <w:tcW w:type="dxa" w:w="2020"/>
          </w:tcPr>
          <w:p>
            <w:r/>
            <w:r>
              <w:rPr>
                <w:b w:val="0"/>
                <w:i w:val="0"/>
              </w:rPr>
              <w:t>0.1509, 0.1386, 0.1499, 0.1478, 0.1385</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nivel_2b_....pauc_por_fold</w:t>
            </w:r>
          </w:p>
        </w:tc>
      </w:tr>
      <w:tr>
        <w:tc>
          <w:tcPr>
            <w:tcW w:type="dxa" w:w="1037"/>
          </w:tcPr>
          <w:p>
            <w:r/>
            <w:r>
              <w:rPr>
                <w:b w:val="0"/>
                <w:i w:val="0"/>
              </w:rPr>
              <w:t>T50</w:t>
            </w:r>
          </w:p>
        </w:tc>
        <w:tc>
          <w:tcPr>
            <w:tcW w:type="dxa" w:w="3296"/>
          </w:tcPr>
          <w:p>
            <w:r/>
            <w:r>
              <w:rPr>
                <w:b w:val="0"/>
                <w:i w:val="0"/>
              </w:rPr>
              <w:t>Diseño de la validación repetida</w:t>
            </w:r>
          </w:p>
        </w:tc>
        <w:tc>
          <w:tcPr>
            <w:tcW w:type="dxa" w:w="2020"/>
          </w:tcPr>
          <w:p>
            <w:r/>
            <w:r>
              <w:rPr>
                <w:b w:val="0"/>
                <w:i w:val="0"/>
              </w:rPr>
              <w:t>10 semillas × 5 folds</w:t>
            </w:r>
          </w:p>
        </w:tc>
        <w:tc>
          <w:tcPr>
            <w:tcW w:type="dxa" w:w="3296"/>
          </w:tcPr>
          <w:p>
            <w:r/>
            <w:r>
              <w:rPr>
                <w:rFonts w:ascii="Menlo" w:hAnsi="Menlo"/>
                <w:b w:val="0"/>
                <w:i w:val="0"/>
                <w:sz w:val="17"/>
              </w:rPr>
              <w:t>validacion-repetida.json</w:t>
            </w:r>
            <w:r>
              <w:rPr>
                <w:b w:val="0"/>
                <w:i w:val="0"/>
              </w:rPr>
              <w:t xml:space="preserve"> → </w:t>
            </w:r>
            <w:r>
              <w:rPr>
                <w:rFonts w:ascii="Menlo" w:hAnsi="Menlo"/>
                <w:b w:val="0"/>
                <w:i w:val="0"/>
                <w:sz w:val="17"/>
              </w:rPr>
              <w:t>semillas_corridas</w:t>
            </w:r>
            <w:r>
              <w:rPr>
                <w:b w:val="0"/>
                <w:i w:val="0"/>
              </w:rPr>
              <w:t xml:space="preserve">, </w:t>
            </w:r>
            <w:r>
              <w:rPr>
                <w:rFonts w:ascii="Menlo" w:hAnsi="Menlo"/>
                <w:b w:val="0"/>
                <w:i w:val="0"/>
                <w:sz w:val="17"/>
              </w:rPr>
              <w:t>n_splits</w:t>
            </w:r>
          </w:p>
        </w:tc>
      </w:tr>
      <w:tr>
        <w:tc>
          <w:tcPr>
            <w:tcW w:type="dxa" w:w="1037"/>
          </w:tcPr>
          <w:p>
            <w:r/>
            <w:r>
              <w:rPr>
                <w:b w:val="0"/>
                <w:i w:val="0"/>
              </w:rPr>
              <w:t>T51</w:t>
            </w:r>
          </w:p>
        </w:tc>
        <w:tc>
          <w:tcPr>
            <w:tcW w:type="dxa" w:w="3296"/>
          </w:tcPr>
          <w:p>
            <w:r/>
            <w:r>
              <w:rPr>
                <w:b w:val="0"/>
                <w:i w:val="0"/>
              </w:rPr>
              <w:t>Desviación entre folds del nivel 1, diez semillas</w:t>
            </w:r>
          </w:p>
        </w:tc>
        <w:tc>
          <w:tcPr>
            <w:tcW w:type="dxa" w:w="2020"/>
          </w:tcPr>
          <w:p>
            <w:r/>
            <w:r>
              <w:rPr>
                <w:b w:val="0"/>
                <w:i w:val="0"/>
              </w:rPr>
              <w:t>0.012</w:t>
            </w:r>
          </w:p>
        </w:tc>
        <w:tc>
          <w:tcPr>
            <w:tcW w:type="dxa" w:w="3296"/>
          </w:tcPr>
          <w:p>
            <w:r/>
            <w:r>
              <w:rPr>
                <w:rFonts w:ascii="Menlo" w:hAnsi="Menlo"/>
                <w:b w:val="0"/>
                <w:i w:val="0"/>
                <w:sz w:val="17"/>
              </w:rPr>
              <w:t>validacion-repetida.json</w:t>
            </w:r>
            <w:r>
              <w:rPr>
                <w:b w:val="0"/>
                <w:i w:val="0"/>
              </w:rPr>
              <w:t xml:space="preserve"> → </w:t>
            </w:r>
            <w:r>
              <w:rPr>
                <w:rFonts w:ascii="Menlo" w:hAnsi="Menlo"/>
                <w:b w:val="0"/>
                <w:i w:val="0"/>
                <w:sz w:val="17"/>
              </w:rPr>
              <w:t>nivel_1_....pauc_std_entre_folds</w:t>
            </w:r>
          </w:p>
        </w:tc>
      </w:tr>
      <w:tr>
        <w:tc>
          <w:tcPr>
            <w:tcW w:type="dxa" w:w="1037"/>
          </w:tcPr>
          <w:p>
            <w:r/>
            <w:r>
              <w:rPr>
                <w:b w:val="0"/>
                <w:i w:val="0"/>
              </w:rPr>
              <w:t>T52</w:t>
            </w:r>
          </w:p>
        </w:tc>
        <w:tc>
          <w:tcPr>
            <w:tcW w:type="dxa" w:w="3296"/>
          </w:tcPr>
          <w:p>
            <w:r/>
            <w:r>
              <w:rPr>
                <w:b w:val="0"/>
                <w:i w:val="0"/>
              </w:rPr>
              <w:t>Desviación entre folds del nivel 2b, diez semillas</w:t>
            </w:r>
          </w:p>
        </w:tc>
        <w:tc>
          <w:tcPr>
            <w:tcW w:type="dxa" w:w="2020"/>
          </w:tcPr>
          <w:p>
            <w:r/>
            <w:r>
              <w:rPr>
                <w:b w:val="0"/>
                <w:i w:val="0"/>
              </w:rPr>
              <w:t>0.0142</w:t>
            </w:r>
          </w:p>
        </w:tc>
        <w:tc>
          <w:tcPr>
            <w:tcW w:type="dxa" w:w="3296"/>
          </w:tcPr>
          <w:p>
            <w:r/>
            <w:r>
              <w:rPr>
                <w:rFonts w:ascii="Menlo" w:hAnsi="Menlo"/>
                <w:b w:val="0"/>
                <w:i w:val="0"/>
                <w:sz w:val="17"/>
              </w:rPr>
              <w:t>validacion-repetida.json</w:t>
            </w:r>
            <w:r>
              <w:rPr>
                <w:b w:val="0"/>
                <w:i w:val="0"/>
              </w:rPr>
              <w:t xml:space="preserve"> → </w:t>
            </w:r>
            <w:r>
              <w:rPr>
                <w:rFonts w:ascii="Menlo" w:hAnsi="Menlo"/>
                <w:b w:val="0"/>
                <w:i w:val="0"/>
                <w:sz w:val="17"/>
              </w:rPr>
              <w:t>nivel_2b_....pauc_std_entre_folds</w:t>
            </w:r>
          </w:p>
        </w:tc>
      </w:tr>
      <w:tr>
        <w:tc>
          <w:tcPr>
            <w:tcW w:type="dxa" w:w="1037"/>
          </w:tcPr>
          <w:p>
            <w:r/>
            <w:r>
              <w:rPr>
                <w:b w:val="0"/>
                <w:i w:val="0"/>
              </w:rPr>
              <w:t>T53</w:t>
            </w:r>
          </w:p>
        </w:tc>
        <w:tc>
          <w:tcPr>
            <w:tcW w:type="dxa" w:w="3296"/>
          </w:tcPr>
          <w:p>
            <w:r/>
            <w:r>
              <w:rPr>
                <w:b w:val="0"/>
                <w:i w:val="0"/>
              </w:rPr>
              <w:t>pAUC medio global, diez semillas</w:t>
            </w:r>
          </w:p>
        </w:tc>
        <w:tc>
          <w:tcPr>
            <w:tcW w:type="dxa" w:w="2020"/>
          </w:tcPr>
          <w:p>
            <w:r/>
            <w:r>
              <w:rPr>
                <w:b w:val="0"/>
                <w:i w:val="0"/>
              </w:rPr>
              <w:t>0.131 (nivel 1), 0.1435 (nivel 2b)</w:t>
            </w:r>
          </w:p>
        </w:tc>
        <w:tc>
          <w:tcPr>
            <w:tcW w:type="dxa" w:w="3296"/>
          </w:tcPr>
          <w:p>
            <w:r/>
            <w:r>
              <w:rPr>
                <w:rFonts w:ascii="Menlo" w:hAnsi="Menlo"/>
                <w:b w:val="0"/>
                <w:i w:val="0"/>
                <w:sz w:val="17"/>
              </w:rPr>
              <w:t>validacion-repetida.json</w:t>
            </w:r>
            <w:r>
              <w:rPr>
                <w:b w:val="0"/>
                <w:i w:val="0"/>
              </w:rPr>
              <w:t xml:space="preserve"> → </w:t>
            </w:r>
            <w:r>
              <w:rPr>
                <w:rFonts w:ascii="Menlo" w:hAnsi="Menlo"/>
                <w:b w:val="0"/>
                <w:i w:val="0"/>
                <w:sz w:val="17"/>
              </w:rPr>
              <w:t>nivel_1_....pauc_media_global</w:t>
            </w:r>
            <w:r>
              <w:rPr>
                <w:b w:val="0"/>
                <w:i w:val="0"/>
              </w:rPr>
              <w:t xml:space="preserve">, </w:t>
            </w:r>
            <w:r>
              <w:rPr>
                <w:rFonts w:ascii="Menlo" w:hAnsi="Menlo"/>
                <w:b w:val="0"/>
                <w:i w:val="0"/>
                <w:sz w:val="17"/>
              </w:rPr>
              <w:t>nivel_2b_....pauc_media_global</w:t>
            </w:r>
          </w:p>
        </w:tc>
      </w:tr>
      <w:tr>
        <w:tc>
          <w:tcPr>
            <w:tcW w:type="dxa" w:w="1037"/>
          </w:tcPr>
          <w:p>
            <w:r/>
            <w:r>
              <w:rPr>
                <w:b w:val="0"/>
                <w:i w:val="0"/>
              </w:rPr>
              <w:t>T54</w:t>
            </w:r>
          </w:p>
        </w:tc>
        <w:tc>
          <w:tcPr>
            <w:tcW w:type="dxa" w:w="3296"/>
          </w:tcPr>
          <w:p>
            <w:r/>
            <w:r>
              <w:rPr>
                <w:b w:val="0"/>
                <w:i w:val="0"/>
              </w:rPr>
              <w:t>Folds en que 2b supera al nivel 1</w:t>
            </w:r>
          </w:p>
        </w:tc>
        <w:tc>
          <w:tcPr>
            <w:tcW w:type="dxa" w:w="2020"/>
          </w:tcPr>
          <w:p>
            <w:r/>
            <w:r>
              <w:rPr>
                <w:b w:val="0"/>
                <w:i w:val="0"/>
              </w:rPr>
              <w:t>40 de 50</w:t>
            </w:r>
          </w:p>
        </w:tc>
        <w:tc>
          <w:tcPr>
            <w:tcW w:type="dxa" w:w="3296"/>
          </w:tcPr>
          <w:p>
            <w:r/>
            <w:r>
              <w:rPr>
                <w:rFonts w:ascii="Menlo" w:hAnsi="Menlo"/>
                <w:b w:val="0"/>
                <w:i w:val="0"/>
                <w:sz w:val="17"/>
              </w:rPr>
              <w:t>validacion-repetida.json</w:t>
            </w:r>
            <w:r>
              <w:rPr>
                <w:b w:val="0"/>
                <w:i w:val="0"/>
              </w:rPr>
              <w:t xml:space="preserve"> → </w:t>
            </w:r>
            <w:r>
              <w:rPr>
                <w:rFonts w:ascii="Menlo" w:hAnsi="Menlo"/>
                <w:b w:val="0"/>
                <w:i w:val="0"/>
                <w:sz w:val="17"/>
              </w:rPr>
              <w:t>comparacion_pareada_2b_menos_1.gana_2b_en</w:t>
            </w:r>
            <w:r>
              <w:rPr>
                <w:b w:val="0"/>
                <w:i w:val="0"/>
              </w:rPr>
              <w:t xml:space="preserve">, </w:t>
            </w:r>
            <w:r>
              <w:rPr>
                <w:rFonts w:ascii="Menlo" w:hAnsi="Menlo"/>
                <w:b w:val="0"/>
                <w:i w:val="0"/>
                <w:sz w:val="17"/>
              </w:rPr>
              <w:t>.de</w:t>
            </w:r>
          </w:p>
        </w:tc>
      </w:tr>
      <w:tr>
        <w:tc>
          <w:tcPr>
            <w:tcW w:type="dxa" w:w="1037"/>
          </w:tcPr>
          <w:p>
            <w:r/>
            <w:r>
              <w:rPr>
                <w:b w:val="0"/>
                <w:i w:val="0"/>
              </w:rPr>
              <w:t>T55</w:t>
            </w:r>
          </w:p>
        </w:tc>
        <w:tc>
          <w:tcPr>
            <w:tcW w:type="dxa" w:w="3296"/>
          </w:tcPr>
          <w:p>
            <w:r/>
            <w:r>
              <w:rPr>
                <w:b w:val="0"/>
                <w:i w:val="0"/>
              </w:rPr>
              <w:t>Semillas en que 2b supera al nivel 1</w:t>
            </w:r>
          </w:p>
        </w:tc>
        <w:tc>
          <w:tcPr>
            <w:tcW w:type="dxa" w:w="2020"/>
          </w:tcPr>
          <w:p>
            <w:r/>
            <w:r>
              <w:rPr>
                <w:b w:val="0"/>
                <w:i w:val="0"/>
              </w:rPr>
              <w:t>10</w:t>
            </w:r>
          </w:p>
        </w:tc>
        <w:tc>
          <w:tcPr>
            <w:tcW w:type="dxa" w:w="3296"/>
          </w:tcPr>
          <w:p>
            <w:r/>
            <w:r>
              <w:rPr>
                <w:rFonts w:ascii="Menlo" w:hAnsi="Menlo"/>
                <w:b w:val="0"/>
                <w:i w:val="0"/>
                <w:sz w:val="17"/>
              </w:rPr>
              <w:t>validacion-repetida.json</w:t>
            </w:r>
            <w:r>
              <w:rPr>
                <w:b w:val="0"/>
                <w:i w:val="0"/>
              </w:rPr>
              <w:t xml:space="preserve"> → </w:t>
            </w:r>
            <w:r>
              <w:rPr>
                <w:rFonts w:ascii="Menlo" w:hAnsi="Menlo"/>
                <w:b w:val="0"/>
                <w:i w:val="0"/>
                <w:sz w:val="17"/>
              </w:rPr>
              <w:t>comparacion_pareada_2b_menos_1.semillas_a_favor_de_2b</w:t>
            </w:r>
          </w:p>
        </w:tc>
      </w:tr>
      <w:tr>
        <w:tc>
          <w:tcPr>
            <w:tcW w:type="dxa" w:w="1037"/>
          </w:tcPr>
          <w:p>
            <w:r/>
            <w:r>
              <w:rPr>
                <w:b w:val="0"/>
                <w:i w:val="0"/>
              </w:rPr>
              <w:t>T56</w:t>
            </w:r>
          </w:p>
        </w:tc>
        <w:tc>
          <w:tcPr>
            <w:tcW w:type="dxa" w:w="3296"/>
          </w:tcPr>
          <w:p>
            <w:r/>
            <w:r>
              <w:rPr>
                <w:b w:val="0"/>
                <w:i w:val="0"/>
              </w:rPr>
              <w:t>Media y desviación de las 50 diferencias 2b − 1</w:t>
            </w:r>
          </w:p>
        </w:tc>
        <w:tc>
          <w:tcPr>
            <w:tcW w:type="dxa" w:w="2020"/>
          </w:tcPr>
          <w:p>
            <w:r/>
            <w:r>
              <w:rPr>
                <w:b w:val="0"/>
                <w:i w:val="0"/>
              </w:rPr>
              <w:t>0.0125 / 0.0136</w:t>
            </w:r>
          </w:p>
        </w:tc>
        <w:tc>
          <w:tcPr>
            <w:tcW w:type="dxa" w:w="3296"/>
          </w:tcPr>
          <w:p>
            <w:r/>
            <w:r>
              <w:rPr>
                <w:rFonts w:ascii="Menlo" w:hAnsi="Menlo"/>
                <w:b w:val="0"/>
                <w:i w:val="0"/>
                <w:sz w:val="17"/>
              </w:rPr>
              <w:t>validacion-repetida.json</w:t>
            </w:r>
            <w:r>
              <w:rPr>
                <w:b w:val="0"/>
                <w:i w:val="0"/>
              </w:rPr>
              <w:t xml:space="preserve"> → </w:t>
            </w:r>
            <w:r>
              <w:rPr>
                <w:rFonts w:ascii="Menlo" w:hAnsi="Menlo"/>
                <w:b w:val="0"/>
                <w:i w:val="0"/>
                <w:sz w:val="17"/>
              </w:rPr>
              <w:t>comparacion_pareada_2b_menos_1.media</w:t>
            </w:r>
            <w:r>
              <w:rPr>
                <w:b w:val="0"/>
                <w:i w:val="0"/>
              </w:rPr>
              <w:t xml:space="preserve">, </w:t>
            </w:r>
            <w:r>
              <w:rPr>
                <w:rFonts w:ascii="Menlo" w:hAnsi="Menlo"/>
                <w:b w:val="0"/>
                <w:i w:val="0"/>
                <w:sz w:val="17"/>
              </w:rPr>
              <w:t>.desviacion</w:t>
            </w:r>
          </w:p>
        </w:tc>
      </w:tr>
      <w:tr>
        <w:tc>
          <w:tcPr>
            <w:tcW w:type="dxa" w:w="1037"/>
          </w:tcPr>
          <w:p>
            <w:r/>
            <w:r>
              <w:rPr>
                <w:b w:val="0"/>
                <w:i w:val="0"/>
              </w:rPr>
              <w:t>T57</w:t>
            </w:r>
          </w:p>
        </w:tc>
        <w:tc>
          <w:tcPr>
            <w:tcW w:type="dxa" w:w="3296"/>
          </w:tcPr>
          <w:p>
            <w:r/>
            <w:r>
              <w:rPr>
                <w:b w:val="0"/>
                <w:i w:val="0"/>
              </w:rPr>
              <w:t xml:space="preserve">Intervalo </w:t>
            </w:r>
            <w:r>
              <w:rPr>
                <w:b w:val="0"/>
                <w:i/>
              </w:rPr>
              <w:t>t</w:t>
            </w:r>
            <w:r>
              <w:rPr>
                <w:b w:val="0"/>
                <w:i w:val="0"/>
              </w:rPr>
              <w:t xml:space="preserve"> al 95% ingenuo sobre las 50 diferencias</w:t>
            </w:r>
          </w:p>
        </w:tc>
        <w:tc>
          <w:tcPr>
            <w:tcW w:type="dxa" w:w="2020"/>
          </w:tcPr>
          <w:p>
            <w:r/>
            <w:r>
              <w:rPr>
                <w:b w:val="0"/>
                <w:i w:val="0"/>
              </w:rPr>
              <w:t>0.0087 a 0.0164</w:t>
            </w:r>
          </w:p>
        </w:tc>
        <w:tc>
          <w:tcPr>
            <w:tcW w:type="dxa" w:w="3296"/>
          </w:tcPr>
          <w:p>
            <w:r/>
            <w:r>
              <w:rPr>
                <w:rFonts w:ascii="Menlo" w:hAnsi="Menlo"/>
                <w:b w:val="0"/>
                <w:i w:val="0"/>
                <w:sz w:val="17"/>
              </w:rPr>
              <w:t>validacion-repetida.json</w:t>
            </w:r>
            <w:r>
              <w:rPr>
                <w:b w:val="0"/>
                <w:i w:val="0"/>
              </w:rPr>
              <w:t xml:space="preserve"> → </w:t>
            </w:r>
            <w:r>
              <w:rPr>
                <w:rFonts w:ascii="Menlo" w:hAnsi="Menlo"/>
                <w:b w:val="0"/>
                <w:i w:val="0"/>
                <w:sz w:val="17"/>
              </w:rPr>
              <w:t>comparacion_pareada_2b_menos_1.intervalo_t_95</w:t>
            </w:r>
          </w:p>
        </w:tc>
      </w:tr>
      <w:tr>
        <w:tc>
          <w:tcPr>
            <w:tcW w:type="dxa" w:w="1037"/>
          </w:tcPr>
          <w:p>
            <w:r/>
            <w:r>
              <w:rPr>
                <w:b w:val="0"/>
                <w:i w:val="0"/>
              </w:rPr>
              <w:t>T58</w:t>
            </w:r>
          </w:p>
        </w:tc>
        <w:tc>
          <w:tcPr>
            <w:tcW w:type="dxa" w:w="3296"/>
          </w:tcPr>
          <w:p>
            <w:r/>
            <w:r>
              <w:rPr>
                <w:b w:val="0"/>
                <w:i w:val="0"/>
              </w:rPr>
              <w:t xml:space="preserve">Intervalo </w:t>
            </w:r>
            <w:r>
              <w:rPr>
                <w:b w:val="0"/>
                <w:i/>
              </w:rPr>
              <w:t>t</w:t>
            </w:r>
            <w:r>
              <w:rPr>
                <w:b w:val="0"/>
                <w:i w:val="0"/>
              </w:rPr>
              <w:t xml:space="preserve"> al 95% corregido por Nadeau y Bengio</w:t>
            </w:r>
          </w:p>
        </w:tc>
        <w:tc>
          <w:tcPr>
            <w:tcW w:type="dxa" w:w="2020"/>
          </w:tcPr>
          <w:p>
            <w:r/>
            <w:r>
              <w:rPr>
                <w:b w:val="0"/>
                <w:i w:val="0"/>
              </w:rPr>
              <w:t>−0.0017 a 0.0268</w:t>
            </w:r>
          </w:p>
        </w:tc>
        <w:tc>
          <w:tcPr>
            <w:tcW w:type="dxa" w:w="3296"/>
          </w:tcPr>
          <w:p>
            <w:r/>
            <w:r>
              <w:rPr>
                <w:rFonts w:ascii="Menlo" w:hAnsi="Menlo"/>
                <w:b w:val="0"/>
                <w:i w:val="0"/>
                <w:sz w:val="17"/>
              </w:rPr>
              <w:t>validacion-repetida.json</w:t>
            </w:r>
            <w:r>
              <w:rPr>
                <w:b w:val="0"/>
                <w:i w:val="0"/>
              </w:rPr>
              <w:t xml:space="preserve"> → </w:t>
            </w:r>
            <w:r>
              <w:rPr>
                <w:rFonts w:ascii="Menlo" w:hAnsi="Menlo"/>
                <w:b w:val="0"/>
                <w:i w:val="0"/>
                <w:sz w:val="17"/>
              </w:rPr>
              <w:t>comparacion_pareada_2b_menos_1.intervalo_t_95_nadeau_bengio</w:t>
            </w:r>
          </w:p>
        </w:tc>
      </w:tr>
      <w:tr>
        <w:tc>
          <w:tcPr>
            <w:tcW w:type="dxa" w:w="1037"/>
          </w:tcPr>
          <w:p>
            <w:r/>
            <w:r>
              <w:rPr>
                <w:b w:val="0"/>
                <w:i w:val="0"/>
              </w:rPr>
              <w:t>T59</w:t>
            </w:r>
          </w:p>
        </w:tc>
        <w:tc>
          <w:tcPr>
            <w:tcW w:type="dxa" w:w="3296"/>
          </w:tcPr>
          <w:p>
            <w:r/>
            <w:r>
              <w:rPr>
                <w:b w:val="0"/>
                <w:i w:val="0"/>
              </w:rPr>
              <w:t>AUC estándar medio del nivel 2a</w:t>
            </w:r>
          </w:p>
        </w:tc>
        <w:tc>
          <w:tcPr>
            <w:tcW w:type="dxa" w:w="2020"/>
          </w:tcPr>
          <w:p>
            <w:r/>
            <w:r>
              <w:rPr>
                <w:b w:val="0"/>
                <w:i w:val="0"/>
              </w:rPr>
              <w:t>0.6159</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nivel_2a_....auc_estandar_media</w:t>
            </w:r>
          </w:p>
        </w:tc>
      </w:tr>
      <w:tr>
        <w:tc>
          <w:tcPr>
            <w:tcW w:type="dxa" w:w="1037"/>
          </w:tcPr>
          <w:p>
            <w:r/>
            <w:r>
              <w:rPr>
                <w:b w:val="0"/>
                <w:i w:val="0"/>
              </w:rPr>
              <w:t>T60</w:t>
            </w:r>
          </w:p>
        </w:tc>
        <w:tc>
          <w:tcPr>
            <w:tcW w:type="dxa" w:w="3296"/>
          </w:tcPr>
          <w:p>
            <w:r/>
            <w:r>
              <w:rPr>
                <w:b w:val="0"/>
                <w:i w:val="0"/>
              </w:rPr>
              <w:t>AUC estándar medio de los niveles 1 y 2b</w:t>
            </w:r>
          </w:p>
        </w:tc>
        <w:tc>
          <w:tcPr>
            <w:tcW w:type="dxa" w:w="2020"/>
          </w:tcPr>
          <w:p>
            <w:r/>
            <w:r>
              <w:rPr>
                <w:b w:val="0"/>
                <w:i w:val="0"/>
              </w:rPr>
              <w:t>0.9013 / 0.93</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nivel_1_....auc_estandar_media</w:t>
            </w:r>
            <w:r>
              <w:rPr>
                <w:b w:val="0"/>
                <w:i w:val="0"/>
              </w:rPr>
              <w:t xml:space="preserve">, </w:t>
            </w:r>
            <w:r>
              <w:rPr>
                <w:rFonts w:ascii="Menlo" w:hAnsi="Menlo"/>
                <w:b w:val="0"/>
                <w:i w:val="0"/>
                <w:sz w:val="17"/>
              </w:rPr>
              <w:t>nivel_2b_....auc_estandar_media</w:t>
            </w:r>
          </w:p>
        </w:tc>
      </w:tr>
      <w:tr>
        <w:tc>
          <w:tcPr>
            <w:tcW w:type="dxa" w:w="1037"/>
          </w:tcPr>
          <w:p>
            <w:r/>
            <w:r>
              <w:rPr>
                <w:b w:val="0"/>
                <w:i w:val="0"/>
              </w:rPr>
              <w:t>T61</w:t>
            </w:r>
          </w:p>
        </w:tc>
        <w:tc>
          <w:tcPr>
            <w:tcW w:type="dxa" w:w="3296"/>
          </w:tcPr>
          <w:p>
            <w:r/>
            <w:r>
              <w:rPr>
                <w:b w:val="0"/>
                <w:i w:val="0"/>
              </w:rPr>
              <w:t>AUC estándar del nivel 2a en cada fold</w:t>
            </w:r>
          </w:p>
        </w:tc>
        <w:tc>
          <w:tcPr>
            <w:tcW w:type="dxa" w:w="2020"/>
          </w:tcPr>
          <w:p>
            <w:r/>
            <w:r>
              <w:rPr>
                <w:b w:val="0"/>
                <w:i w:val="0"/>
              </w:rPr>
              <w:t>0.6685, 0.7095, 0.5208, 0.6174, 0.5632</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nivel_2a_....auc_estandar_por_fold</w:t>
            </w:r>
          </w:p>
        </w:tc>
      </w:tr>
      <w:tr>
        <w:tc>
          <w:tcPr>
            <w:tcW w:type="dxa" w:w="1037"/>
          </w:tcPr>
          <w:p>
            <w:r/>
            <w:r>
              <w:rPr>
                <w:b w:val="0"/>
                <w:i w:val="0"/>
              </w:rPr>
              <w:t>T62</w:t>
            </w:r>
          </w:p>
        </w:tc>
        <w:tc>
          <w:tcPr>
            <w:tcW w:type="dxa" w:w="3296"/>
          </w:tcPr>
          <w:p>
            <w:r/>
            <w:r>
              <w:rPr>
                <w:b w:val="0"/>
                <w:i w:val="0"/>
              </w:rPr>
              <w:t>Las escalas del AUC y del pAUC tienen azares distintos y no son comparables entre sí</w:t>
            </w:r>
          </w:p>
        </w:tc>
        <w:tc>
          <w:tcPr>
            <w:tcW w:type="dxa" w:w="2020"/>
          </w:tcPr>
          <w:p>
            <w:r/>
            <w:r>
              <w:rPr>
                <w:b w:val="0"/>
                <w:i w:val="0"/>
              </w:rPr>
              <w:t>—</w:t>
            </w:r>
          </w:p>
        </w:tc>
        <w:tc>
          <w:tcPr>
            <w:tcW w:type="dxa" w:w="3296"/>
          </w:tcPr>
          <w:p>
            <w:r/>
            <w:r>
              <w:rPr>
                <w:rFonts w:ascii="Menlo" w:hAnsi="Menlo"/>
                <w:b w:val="0"/>
                <w:i w:val="0"/>
                <w:sz w:val="17"/>
              </w:rPr>
              <w:t>modelado-baseline.json</w:t>
            </w:r>
            <w:r>
              <w:rPr>
                <w:b w:val="0"/>
                <w:i w:val="0"/>
              </w:rPr>
              <w:t xml:space="preserve"> → </w:t>
            </w:r>
            <w:r>
              <w:rPr>
                <w:rFonts w:ascii="Menlo" w:hAnsi="Menlo"/>
                <w:b w:val="0"/>
                <w:i w:val="0"/>
                <w:sz w:val="17"/>
              </w:rPr>
              <w:t>nivel_0_....nota</w:t>
            </w:r>
          </w:p>
        </w:tc>
      </w:tr>
    </w:tbl>
    <w:p/>
    <w:p>
      <w:pPr>
        <w:pStyle w:val="Heading2"/>
      </w:pPr>
      <w:r>
        <w:rPr>
          <w:b w:val="0"/>
          <w:i w:val="0"/>
        </w:rPr>
        <w:t>10.2 Cifras y citas de fuentes externas</w:t>
      </w:r>
    </w:p>
    <w:p>
      <w:pPr>
        <w:jc w:val="both"/>
      </w:pPr>
      <w:r>
        <w:rPr>
          <w:b w:val="0"/>
          <w:i w:val="0"/>
        </w:rPr>
        <w:t xml:space="preserve">Estas no proceden de </w:t>
      </w:r>
      <w:r>
        <w:rPr>
          <w:rFonts w:ascii="Menlo" w:hAnsi="Menlo"/>
          <w:b w:val="0"/>
          <w:i w:val="0"/>
          <w:sz w:val="19"/>
        </w:rPr>
        <w:t>outputs/</w:t>
      </w:r>
      <w:r>
        <w:rPr>
          <w:b w:val="0"/>
          <w:i w:val="0"/>
        </w:rPr>
        <w:t xml:space="preserve"> sino de fuentes primarias —guardadas en </w:t>
      </w:r>
      <w:r>
        <w:rPr>
          <w:rFonts w:ascii="Menlo" w:hAnsi="Menlo"/>
          <w:b w:val="0"/>
          <w:i w:val="0"/>
          <w:sz w:val="19"/>
        </w:rPr>
        <w:t>referencias/</w:t>
      </w:r>
      <w:r>
        <w:rPr>
          <w:b w:val="0"/>
          <w:i w:val="0"/>
        </w:rPr>
        <w:t xml:space="preserve"> como texto completo o como ficha con las citas literales, según su licencia— o citadas por URL. Se separan a propósito: son contexto, no resultados medidos por este proyecto.</w:t>
      </w:r>
    </w:p>
    <w:tbl>
      <w:tblPr>
        <w:tblStyle w:val="TableGrid"/>
        <w:tblW w:type="auto" w:w="0"/>
        <w:tblLayout w:type="fixed"/>
        <w:tblLook w:firstColumn="1" w:firstRow="1" w:lastColumn="0" w:lastRow="0" w:noHBand="0" w:noVBand="1" w:val="04A0"/>
      </w:tblPr>
      <w:tblGrid>
        <w:gridCol w:w="3216"/>
        <w:gridCol w:w="3216"/>
        <w:gridCol w:w="3216"/>
      </w:tblGrid>
      <w:tr>
        <w:tc>
          <w:tcPr>
            <w:tcW w:type="dxa" w:w="1037"/>
          </w:tcPr>
          <w:p>
            <w:r>
              <w:rPr>
                <w:b/>
              </w:rPr>
            </w:r>
            <w:r>
              <w:rPr>
                <w:b/>
                <w:i w:val="0"/>
              </w:rPr>
              <w:t>Marca</w:t>
            </w:r>
          </w:p>
        </w:tc>
        <w:tc>
          <w:tcPr>
            <w:tcW w:type="dxa" w:w="4306"/>
          </w:tcPr>
          <w:p>
            <w:r>
              <w:rPr>
                <w:b/>
              </w:rPr>
            </w:r>
            <w:r>
              <w:rPr>
                <w:b/>
                <w:i w:val="0"/>
              </w:rPr>
              <w:t>Afirmación</w:t>
            </w:r>
          </w:p>
        </w:tc>
        <w:tc>
          <w:tcPr>
            <w:tcW w:type="dxa" w:w="4306"/>
          </w:tcPr>
          <w:p>
            <w:r>
              <w:rPr>
                <w:b/>
              </w:rPr>
            </w:r>
            <w:r>
              <w:rPr>
                <w:b/>
                <w:i w:val="0"/>
              </w:rPr>
              <w:t>Fuente</w:t>
            </w:r>
          </w:p>
        </w:tc>
      </w:tr>
      <w:tr>
        <w:tc>
          <w:tcPr>
            <w:tcW w:type="dxa" w:w="1037"/>
          </w:tcPr>
          <w:p>
            <w:r/>
            <w:r>
              <w:rPr>
                <w:b w:val="0"/>
                <w:i w:val="0"/>
              </w:rPr>
              <w:t>E1</w:t>
            </w:r>
          </w:p>
        </w:tc>
        <w:tc>
          <w:tcPr>
            <w:tcW w:type="dxa" w:w="4306"/>
          </w:tcPr>
          <w:p>
            <w:r/>
            <w:r>
              <w:rPr>
                <w:b w:val="0"/>
                <w:i w:val="0"/>
              </w:rPr>
              <w:t xml:space="preserve">Justificación clínica de la métrica: </w:t>
            </w:r>
            <w:r>
              <w:rPr>
                <w:b w:val="0"/>
                <w:i/>
              </w:rPr>
              <w:t>"there are regions in the ROC space where the values of TPR are unacceptable in clinical practice"</w:t>
            </w:r>
            <w:r>
              <w:rPr>
                <w:b w:val="0"/>
                <w:i w:val="0"/>
              </w:rPr>
              <w:t>, y el rango resultante [0.0, 0.2]</w:t>
            </w:r>
          </w:p>
        </w:tc>
        <w:tc>
          <w:tcPr>
            <w:tcW w:type="dxa" w:w="4306"/>
          </w:tcPr>
          <w:p>
            <w:r/>
            <w:r>
              <w:rPr>
                <w:rFonts w:ascii="Menlo" w:hAnsi="Menlo"/>
                <w:b w:val="0"/>
                <w:i w:val="0"/>
                <w:sz w:val="17"/>
              </w:rPr>
              <w:t>referencias/kaggle-evaluation.md</w:t>
            </w:r>
            <w:r>
              <w:rPr>
                <w:b w:val="0"/>
                <w:i w:val="0"/>
              </w:rPr>
              <w:t xml:space="preserve"> (ficha con las citas literales de la página de evaluación de Kaggle, 2026-08-11; texto completo solo en local, por su licencia)</w:t>
            </w:r>
          </w:p>
        </w:tc>
      </w:tr>
      <w:tr>
        <w:tc>
          <w:tcPr>
            <w:tcW w:type="dxa" w:w="1037"/>
          </w:tcPr>
          <w:p>
            <w:r/>
            <w:r>
              <w:rPr>
                <w:b w:val="0"/>
                <w:i w:val="0"/>
              </w:rPr>
              <w:t>E2</w:t>
            </w:r>
          </w:p>
        </w:tc>
        <w:tc>
          <w:tcPr>
            <w:tcW w:type="dxa" w:w="4306"/>
          </w:tcPr>
          <w:p>
            <w:r/>
            <w:r>
              <w:rPr>
                <w:b w:val="0"/>
                <w:i w:val="0"/>
              </w:rPr>
              <w:t>La mayoría de los casos negativos nunca fue biopsiada y se asume benigna</w:t>
            </w:r>
          </w:p>
        </w:tc>
        <w:tc>
          <w:tcPr>
            <w:tcW w:type="dxa" w:w="4306"/>
          </w:tcPr>
          <w:p>
            <w:r/>
            <w:r>
              <w:rPr>
                <w:b w:val="0"/>
                <w:i w:val="0"/>
              </w:rPr>
              <w:t>Artículo del dataset SLICE-3D, https://pmc.ncbi.nlm.nih.gov/articles/PMC11324883/</w:t>
            </w:r>
          </w:p>
        </w:tc>
      </w:tr>
      <w:tr>
        <w:tc>
          <w:tcPr>
            <w:tcW w:type="dxa" w:w="1037"/>
          </w:tcPr>
          <w:p>
            <w:r/>
            <w:r>
              <w:rPr>
                <w:b w:val="0"/>
                <w:i w:val="0"/>
              </w:rPr>
              <w:t>E3</w:t>
            </w:r>
          </w:p>
        </w:tc>
        <w:tc>
          <w:tcPr>
            <w:tcW w:type="dxa" w:w="4306"/>
          </w:tcPr>
          <w:p>
            <w:r/>
            <w:r>
              <w:rPr>
                <w:b w:val="0"/>
                <w:i w:val="0"/>
              </w:rPr>
              <w:t>Algoritmo oficial del pAUC, usado para verificar la implementación</w:t>
            </w:r>
          </w:p>
        </w:tc>
        <w:tc>
          <w:tcPr>
            <w:tcW w:type="dxa" w:w="4306"/>
          </w:tcPr>
          <w:p>
            <w:r/>
            <w:r>
              <w:rPr>
                <w:rFonts w:ascii="Menlo" w:hAnsi="Menlo"/>
                <w:b w:val="0"/>
                <w:i w:val="0"/>
                <w:sz w:val="17"/>
              </w:rPr>
              <w:t>referencias/isic-primary-metric-pauc.py.md</w:t>
            </w:r>
            <w:r>
              <w:rPr>
                <w:b w:val="0"/>
                <w:i w:val="0"/>
              </w:rPr>
              <w:t xml:space="preserve"> (ficha con las líneas literales del script del organizador, 2026-08-11; texto completo solo en local, por su licencia)</w:t>
            </w:r>
          </w:p>
        </w:tc>
      </w:tr>
      <w:tr>
        <w:tc>
          <w:tcPr>
            <w:tcW w:type="dxa" w:w="1037"/>
          </w:tcPr>
          <w:p>
            <w:r/>
            <w:r>
              <w:rPr>
                <w:b w:val="0"/>
                <w:i w:val="0"/>
              </w:rPr>
              <w:t>E4</w:t>
            </w:r>
          </w:p>
        </w:tc>
        <w:tc>
          <w:tcPr>
            <w:tcW w:type="dxa" w:w="4306"/>
          </w:tcPr>
          <w:p>
            <w:r/>
            <w:r>
              <w:rPr>
                <w:b w:val="0"/>
                <w:i w:val="0"/>
              </w:rPr>
              <w:t xml:space="preserve">Definición de </w:t>
            </w:r>
            <w:r>
              <w:rPr>
                <w:rFonts w:ascii="Menlo" w:hAnsi="Menlo"/>
                <w:b w:val="0"/>
                <w:i w:val="0"/>
                <w:sz w:val="17"/>
              </w:rPr>
              <w:t>tbp_lv_nevi_confidence</w:t>
            </w:r>
            <w:r>
              <w:rPr>
                <w:b w:val="0"/>
                <w:i w:val="0"/>
              </w:rPr>
              <w:t xml:space="preserve"> y del prefijo </w:t>
            </w:r>
            <w:r>
              <w:rPr>
                <w:b w:val="0"/>
                <w:i/>
              </w:rPr>
              <w:t>Lesion Visualizer</w:t>
            </w:r>
          </w:p>
        </w:tc>
        <w:tc>
          <w:tcPr>
            <w:tcW w:type="dxa" w:w="4306"/>
          </w:tcPr>
          <w:p>
            <w:r/>
            <w:r>
              <w:rPr>
                <w:rFonts w:ascii="Menlo" w:hAnsi="Menlo"/>
                <w:b w:val="0"/>
                <w:i w:val="0"/>
                <w:sz w:val="17"/>
              </w:rPr>
              <w:t>referencias/slice3d-metadata-tbp-lv.md</w:t>
            </w:r>
            <w:r>
              <w:rPr>
                <w:b w:val="0"/>
                <w:i w:val="0"/>
              </w:rPr>
              <w:t xml:space="preserve"> (definiciones literales de la Tabla 1 del artículo, 2026-08-11)</w:t>
            </w:r>
          </w:p>
        </w:tc>
      </w:tr>
      <w:tr>
        <w:tc>
          <w:tcPr>
            <w:tcW w:type="dxa" w:w="1037"/>
          </w:tcPr>
          <w:p>
            <w:r/>
            <w:r>
              <w:rPr>
                <w:b w:val="0"/>
                <w:i w:val="0"/>
              </w:rPr>
              <w:t>E5</w:t>
            </w:r>
          </w:p>
        </w:tc>
        <w:tc>
          <w:tcPr>
            <w:tcW w:type="dxa" w:w="4306"/>
          </w:tcPr>
          <w:p>
            <w:r/>
            <w:r>
              <w:rPr>
                <w:b w:val="0"/>
                <w:i w:val="0"/>
              </w:rPr>
              <w:t>El artículo no indica si las lesiones de entrenamiento del clasificador de nevus se solapan con el dataset</w:t>
            </w:r>
          </w:p>
        </w:tc>
        <w:tc>
          <w:tcPr>
            <w:tcW w:type="dxa" w:w="4306"/>
          </w:tcPr>
          <w:p>
            <w:r/>
            <w:r>
              <w:rPr>
                <w:rFonts w:ascii="Menlo" w:hAnsi="Menlo"/>
                <w:b w:val="0"/>
                <w:i w:val="0"/>
                <w:sz w:val="17"/>
              </w:rPr>
              <w:t>referencias/slice3d-metadata-tbp-lv.md</w:t>
            </w:r>
            <w:r>
              <w:rPr>
                <w:b w:val="0"/>
                <w:i w:val="0"/>
              </w:rPr>
              <w:t>, sección "Lo que el paper NO dice"</w:t>
            </w:r>
          </w:p>
        </w:tc>
      </w:tr>
      <w:tr>
        <w:tc>
          <w:tcPr>
            <w:tcW w:type="dxa" w:w="1037"/>
          </w:tcPr>
          <w:p>
            <w:r/>
            <w:r>
              <w:rPr>
                <w:b w:val="0"/>
                <w:i w:val="0"/>
              </w:rPr>
              <w:t>E6</w:t>
            </w:r>
          </w:p>
        </w:tc>
        <w:tc>
          <w:tcPr>
            <w:tcW w:type="dxa" w:w="4306"/>
          </w:tcPr>
          <w:p>
            <w:r/>
            <w:r>
              <w:rPr>
                <w:b w:val="0"/>
                <w:i w:val="0"/>
              </w:rPr>
              <w:t>Los datos provienen de siete centros dermatológicos</w:t>
            </w:r>
          </w:p>
        </w:tc>
        <w:tc>
          <w:tcPr>
            <w:tcW w:type="dxa" w:w="4306"/>
          </w:tcPr>
          <w:p>
            <w:r/>
            <w:r>
              <w:rPr>
                <w:b w:val="0"/>
                <w:i w:val="0"/>
              </w:rPr>
              <w:t>Artículo del dataset SLICE-3D, https://pmc.ncbi.nlm.nih.gov/articles/PMC11324883/</w:t>
            </w:r>
          </w:p>
        </w:tc>
      </w:tr>
      <w:tr>
        <w:tc>
          <w:tcPr>
            <w:tcW w:type="dxa" w:w="1037"/>
          </w:tcPr>
          <w:p>
            <w:r/>
            <w:r>
              <w:rPr>
                <w:b w:val="0"/>
                <w:i w:val="0"/>
              </w:rPr>
              <w:t>E7</w:t>
            </w:r>
          </w:p>
        </w:tc>
        <w:tc>
          <w:tcPr>
            <w:tcW w:type="dxa" w:w="4306"/>
          </w:tcPr>
          <w:p>
            <w:r/>
            <w:r>
              <w:rPr>
                <w:b w:val="0"/>
                <w:i w:val="0"/>
              </w:rPr>
              <w:t xml:space="preserve">El esquema de premios del organizador ISIC evalúa </w:t>
            </w:r>
            <w:r>
              <w:rPr>
                <w:b w:val="0"/>
                <w:i/>
              </w:rPr>
              <w:t>"above 88% true positive rate (TPR)"</w:t>
            </w:r>
            <w:r>
              <w:rPr>
                <w:b w:val="0"/>
                <w:i w:val="0"/>
              </w:rPr>
              <w:t>, con rango resultante [0.00, 0.12]</w:t>
            </w:r>
          </w:p>
        </w:tc>
        <w:tc>
          <w:tcPr>
            <w:tcW w:type="dxa" w:w="4306"/>
          </w:tcPr>
          <w:p>
            <w:r/>
            <w:r>
              <w:rPr>
                <w:rFonts w:ascii="Menlo" w:hAnsi="Menlo"/>
                <w:b w:val="0"/>
                <w:i w:val="0"/>
                <w:sz w:val="17"/>
              </w:rPr>
              <w:t>referencias/isic-metrics-readme.md</w:t>
            </w:r>
            <w:r>
              <w:rPr>
                <w:b w:val="0"/>
                <w:i w:val="0"/>
              </w:rPr>
              <w:t xml:space="preserve"> (ficha con las citas literales del README del repositorio de métricas del organizador, 2026-08-12; texto completo solo en local, por su licencia)</w:t>
            </w:r>
          </w:p>
        </w:tc>
      </w:tr>
    </w:tbl>
    <w:p/>
    <w:p>
      <w:pPr>
        <w:pStyle w:val="Heading2"/>
      </w:pPr>
      <w:r>
        <w:rPr>
          <w:b w:val="0"/>
          <w:i w:val="0"/>
        </w:rPr>
        <w:t>10.3 Cifras que estaban ausentes y ya no lo están</w:t>
      </w:r>
    </w:p>
    <w:p>
      <w:pPr>
        <w:jc w:val="both"/>
      </w:pPr>
      <w:r>
        <w:rPr>
          <w:b w:val="0"/>
          <w:i w:val="0"/>
        </w:rPr>
        <w:t xml:space="preserve">Una versión anterior de este anexo declaraba dos números deliberadamente ausentes: el AUC convencional de los niveles 2a y 2b. Procedían de un diagnóstico auxiliar, no estaban en ningún archivo de </w:t>
      </w:r>
      <w:r>
        <w:rPr>
          <w:rFonts w:ascii="Menlo" w:hAnsi="Menlo"/>
          <w:b w:val="0"/>
          <w:i w:val="0"/>
          <w:sz w:val="19"/>
        </w:rPr>
        <w:t>outputs/</w:t>
      </w:r>
      <w:r>
        <w:rPr>
          <w:b w:val="0"/>
          <w:i w:val="0"/>
        </w:rPr>
        <w:t xml:space="preserve">, y la regla de trazabilidad no admite excepciones por conveniencia narrativa — así que el contraste entre métricas de la sección 7.3 hubo de argumentarse en términos cualitativos. Se anotó entonces como mejora pendiente del instrumento </w:t>
      </w:r>
      <w:r>
        <w:rPr>
          <w:rFonts w:ascii="Menlo" w:hAnsi="Menlo"/>
          <w:b w:val="0"/>
          <w:i w:val="0"/>
          <w:sz w:val="19"/>
        </w:rPr>
        <w:t>modelado-baseline</w:t>
      </w:r>
      <w:r>
        <w:rPr>
          <w:b w:val="0"/>
          <w:i w:val="0"/>
        </w:rPr>
        <w:t>.</w:t>
      </w:r>
    </w:p>
    <w:p>
      <w:pPr>
        <w:jc w:val="both"/>
      </w:pPr>
      <w:r>
        <w:rPr>
          <w:b w:val="0"/>
          <w:i w:val="0"/>
        </w:rPr>
        <w:t xml:space="preserve">La mejora se implementó. El AUC estándar de cada nivel está hoy en </w:t>
      </w:r>
      <w:r>
        <w:rPr>
          <w:rFonts w:ascii="Menlo" w:hAnsi="Menlo"/>
          <w:b w:val="0"/>
          <w:i w:val="0"/>
          <w:sz w:val="19"/>
        </w:rPr>
        <w:t>modelado-baseline.json</w:t>
      </w:r>
      <w:r>
        <w:rPr>
          <w:b w:val="0"/>
          <w:i w:val="0"/>
        </w:rPr>
        <w:t xml:space="preserve"> → </w:t>
      </w:r>
      <w:r>
        <w:rPr>
          <w:rFonts w:ascii="Menlo" w:hAnsi="Menlo"/>
          <w:b w:val="0"/>
          <w:i w:val="0"/>
          <w:sz w:val="19"/>
        </w:rPr>
        <w:t>nivel_*.auc_estandar_media</w:t>
      </w:r>
      <w:r>
        <w:rPr>
          <w:b w:val="0"/>
          <w:i w:val="0"/>
        </w:rPr>
        <w:t xml:space="preserve"> y </w:t>
      </w:r>
      <w:r>
        <w:rPr>
          <w:rFonts w:ascii="Menlo" w:hAnsi="Menlo"/>
          <w:b w:val="0"/>
          <w:i w:val="0"/>
          <w:sz w:val="19"/>
        </w:rPr>
        <w:t>nivel_*.auc_estandar_por_fold</w:t>
      </w:r>
      <w:r>
        <w:rPr>
          <w:b w:val="0"/>
          <w:i w:val="0"/>
        </w:rPr>
        <w:t xml:space="preserve"> </w:t>
      </w:r>
      <w:r>
        <w:rPr>
          <w:rFonts w:ascii="Menlo" w:hAnsi="Menlo"/>
          <w:b w:val="0"/>
          <w:i w:val="0"/>
          <w:sz w:val="19"/>
        </w:rPr>
        <w:t>[T59]</w:t>
      </w:r>
      <w:r>
        <w:rPr>
          <w:b w:val="0"/>
          <w:i w:val="0"/>
        </w:rPr>
        <w:t xml:space="preserve"> </w:t>
      </w:r>
      <w:r>
        <w:rPr>
          <w:rFonts w:ascii="Menlo" w:hAnsi="Menlo"/>
          <w:b w:val="0"/>
          <w:i w:val="0"/>
          <w:sz w:val="19"/>
        </w:rPr>
        <w:t>[T60]</w:t>
      </w:r>
      <w:r>
        <w:rPr>
          <w:b w:val="0"/>
          <w:i w:val="0"/>
        </w:rPr>
        <w:t xml:space="preserve"> </w:t>
      </w:r>
      <w:r>
        <w:rPr>
          <w:rFonts w:ascii="Menlo" w:hAnsi="Menlo"/>
          <w:b w:val="0"/>
          <w:i w:val="0"/>
          <w:sz w:val="19"/>
        </w:rPr>
        <w:t>[T61]</w:t>
      </w:r>
      <w:r>
        <w:rPr>
          <w:b w:val="0"/>
          <w:i w:val="0"/>
        </w:rPr>
        <w:t>, y el contraste se argumenta con cifras.</w:t>
      </w:r>
    </w:p>
    <w:p>
      <w:pPr>
        <w:jc w:val="both"/>
      </w:pPr>
      <w:r>
        <w:rPr>
          <w:b w:val="0"/>
          <w:i w:val="0"/>
        </w:rPr>
        <w:t xml:space="preserve">Queda el registro de un defecto que esa medición hizo visible. Mientras el valor no existía, un AUC de 0,6685 llegó a atribuirse al nivel 2a en su conjunto; se retiró al verificar que no tenía respaldo en </w:t>
      </w:r>
      <w:r>
        <w:rPr>
          <w:rFonts w:ascii="Menlo" w:hAnsi="Menlo"/>
          <w:b w:val="0"/>
          <w:i w:val="0"/>
          <w:sz w:val="19"/>
        </w:rPr>
        <w:t>outputs/</w:t>
      </w:r>
      <w:r>
        <w:rPr>
          <w:b w:val="0"/>
          <w:i w:val="0"/>
        </w:rPr>
        <w:t xml:space="preserve">. Medido ya el AUC por fold, resulta que 0,6685 es el del </w:t>
      </w:r>
      <w:r>
        <w:rPr>
          <w:b/>
          <w:i w:val="0"/>
        </w:rPr>
        <w:t>primer fold</w:t>
      </w:r>
      <w:r>
        <w:rPr>
          <w:b w:val="0"/>
          <w:i w:val="0"/>
        </w:rPr>
        <w:t xml:space="preserve"> </w:t>
      </w:r>
      <w:r>
        <w:rPr>
          <w:rFonts w:ascii="Menlo" w:hAnsi="Menlo"/>
          <w:b w:val="0"/>
          <w:i w:val="0"/>
          <w:sz w:val="19"/>
        </w:rPr>
        <w:t>[T61]</w:t>
      </w:r>
      <w:r>
        <w:rPr>
          <w:b w:val="0"/>
          <w:i w:val="0"/>
        </w:rPr>
        <w:t xml:space="preserve">, no el del modelo, cuyo valor es 0,6159 </w:t>
      </w:r>
      <w:r>
        <w:rPr>
          <w:rFonts w:ascii="Menlo" w:hAnsi="Menlo"/>
          <w:b w:val="0"/>
          <w:i w:val="0"/>
          <w:sz w:val="19"/>
        </w:rPr>
        <w:t>[T59]</w:t>
      </w:r>
      <w:r>
        <w:rPr>
          <w:b w:val="0"/>
          <w:i w:val="0"/>
        </w:rPr>
        <w:t>. El número era real y estaba mal atribuido: ése es exactamente el modo de fallo que la regla de trazabilidad existe para atrapar, y la verificación lo atrapó sin necesidad de que nadie recordara de dónde había salido la cifra.</w:t>
      </w:r>
    </w:p>
    <w:p>
      <w:pPr>
        <w:pStyle w:val="Heading2"/>
      </w:pPr>
      <w:r>
        <w:rPr>
          <w:b w:val="0"/>
          <w:i w:val="0"/>
        </w:rPr>
        <w:t>10.4 Cifras señaladas por la verificación y resueltas a mano</w:t>
      </w:r>
    </w:p>
    <w:p>
      <w:pPr>
        <w:jc w:val="both"/>
      </w:pPr>
      <w:r>
        <w:rPr>
          <w:rFonts w:ascii="Menlo" w:hAnsi="Menlo"/>
          <w:b w:val="0"/>
          <w:i w:val="0"/>
          <w:sz w:val="19"/>
        </w:rPr>
        <w:t>verificar_trazabilidad.py</w:t>
      </w:r>
      <w:r>
        <w:rPr>
          <w:b w:val="0"/>
          <w:i w:val="0"/>
        </w:rPr>
        <w:t xml:space="preserve"> extrae todo número de este borrador y comprueba que tenga respaldo en </w:t>
      </w:r>
      <w:r>
        <w:rPr>
          <w:rFonts w:ascii="Menlo" w:hAnsi="Menlo"/>
          <w:b w:val="0"/>
          <w:i w:val="0"/>
          <w:sz w:val="19"/>
        </w:rPr>
        <w:t>outputs/*.json</w:t>
      </w:r>
      <w:r>
        <w:rPr>
          <w:b w:val="0"/>
          <w:i w:val="0"/>
        </w:rPr>
        <w:t>. Lo que el verificador señala no es una lista de errores: es una lista de cosas que un humano tiene que mirar. Esta sección es ese examen, hecho una por una.</w:t>
      </w:r>
    </w:p>
    <w:p>
      <w:pPr>
        <w:jc w:val="both"/>
      </w:pPr>
      <w:r>
        <w:rPr>
          <w:b w:val="0"/>
          <w:i w:val="0"/>
        </w:rPr>
        <w:t xml:space="preserve">Dos señalamientos fueron defectos reales del borrador y se corrigieron: un promedio redondeado a "casi 385" cuando la cifra medida es 384,89 </w:t>
      </w:r>
      <w:r>
        <w:rPr>
          <w:rFonts w:ascii="Menlo" w:hAnsi="Menlo"/>
          <w:b w:val="0"/>
          <w:i w:val="0"/>
          <w:sz w:val="19"/>
        </w:rPr>
        <w:t>[T7]</w:t>
      </w:r>
      <w:r>
        <w:rPr>
          <w:b w:val="0"/>
          <w:i w:val="0"/>
        </w:rPr>
        <w:t xml:space="preserve">, y un "menos de 85 positivos por fold" que sustituía el rango medido de 77 a 83 </w:t>
      </w:r>
      <w:r>
        <w:rPr>
          <w:rFonts w:ascii="Menlo" w:hAnsi="Menlo"/>
          <w:b w:val="0"/>
          <w:i w:val="0"/>
          <w:sz w:val="19"/>
        </w:rPr>
        <w:t>[T22]</w:t>
      </w:r>
      <w:r>
        <w:rPr>
          <w:b w:val="0"/>
          <w:i w:val="0"/>
        </w:rPr>
        <w:t>.</w:t>
      </w:r>
    </w:p>
    <w:p>
      <w:pPr>
        <w:jc w:val="both"/>
      </w:pPr>
      <w:r>
        <w:rPr>
          <w:b w:val="0"/>
          <w:i w:val="0"/>
        </w:rPr>
        <w:t xml:space="preserve">Los porcentajes que el informe usa como </w:t>
      </w:r>
      <w:r>
        <w:rPr>
          <w:b/>
          <w:i w:val="0"/>
        </w:rPr>
        <w:t>parámetros del método</w:t>
      </w:r>
      <w:r>
        <w:rPr>
          <w:b w:val="0"/>
          <w:i w:val="0"/>
        </w:rPr>
        <w:t xml:space="preserve"> y no como mediciones —el umbral de sensibilidad del pAUC </w:t>
      </w:r>
      <w:r>
        <w:rPr>
          <w:rFonts w:ascii="Menlo" w:hAnsi="Menlo"/>
          <w:b w:val="0"/>
          <w:i w:val="0"/>
          <w:sz w:val="19"/>
        </w:rPr>
        <w:t>[E1]</w:t>
      </w:r>
      <w:r>
        <w:rPr>
          <w:b w:val="0"/>
          <w:i w:val="0"/>
        </w:rPr>
        <w:t xml:space="preserve">, el umbral rival del esquema de premios </w:t>
      </w:r>
      <w:r>
        <w:rPr>
          <w:rFonts w:ascii="Menlo" w:hAnsi="Menlo"/>
          <w:b w:val="0"/>
          <w:i w:val="0"/>
          <w:sz w:val="19"/>
        </w:rPr>
        <w:t>[E7]</w:t>
      </w:r>
      <w:r>
        <w:rPr>
          <w:b w:val="0"/>
          <w:i w:val="0"/>
        </w:rPr>
        <w:t xml:space="preserve">, el nivel de confianza de los intervalos— los excluye el verificador por una lista declarada, y los reporta aparte en </w:t>
      </w:r>
      <w:r>
        <w:rPr>
          <w:rFonts w:ascii="Menlo" w:hAnsi="Menlo"/>
          <w:b w:val="0"/>
          <w:i w:val="0"/>
          <w:sz w:val="19"/>
        </w:rPr>
        <w:t>porcentajes_de_metodo_excluidos</w:t>
      </w:r>
      <w:r>
        <w:rPr>
          <w:b w:val="0"/>
          <w:i w:val="0"/>
        </w:rPr>
        <w:t>. No se cuentan como señalados porque el informe no los afirma como resultados propios.</w:t>
      </w:r>
    </w:p>
    <w:p>
      <w:pPr>
        <w:jc w:val="both"/>
      </w:pPr>
      <w:r>
        <w:rPr>
          <w:b w:val="0"/>
          <w:i w:val="0"/>
        </w:rPr>
        <w:t>Los que quedan señalados, y por qué:</w:t>
      </w:r>
    </w:p>
    <w:tbl>
      <w:tblPr>
        <w:tblStyle w:val="TableGrid"/>
        <w:tblW w:type="auto" w:w="0"/>
        <w:tblLayout w:type="fixed"/>
        <w:tblLook w:firstColumn="1" w:firstRow="1" w:lastColumn="0" w:lastRow="0" w:noHBand="0" w:noVBand="1" w:val="04A0"/>
      </w:tblPr>
      <w:tblGrid>
        <w:gridCol w:w="3216"/>
        <w:gridCol w:w="3216"/>
        <w:gridCol w:w="3216"/>
      </w:tblGrid>
      <w:tr>
        <w:tc>
          <w:tcPr>
            <w:tcW w:type="dxa" w:w="4306"/>
          </w:tcPr>
          <w:p>
            <w:r>
              <w:rPr>
                <w:b/>
              </w:rPr>
            </w:r>
            <w:r>
              <w:rPr>
                <w:b/>
                <w:i w:val="0"/>
              </w:rPr>
              <w:t>Cifra</w:t>
            </w:r>
          </w:p>
        </w:tc>
        <w:tc>
          <w:tcPr>
            <w:tcW w:type="dxa" w:w="1037"/>
          </w:tcPr>
          <w:p>
            <w:r>
              <w:rPr>
                <w:b/>
              </w:rPr>
            </w:r>
            <w:r>
              <w:rPr>
                <w:b/>
                <w:i w:val="0"/>
              </w:rPr>
              <w:t>Sección</w:t>
            </w:r>
          </w:p>
        </w:tc>
        <w:tc>
          <w:tcPr>
            <w:tcW w:type="dxa" w:w="4306"/>
          </w:tcPr>
          <w:p>
            <w:r>
              <w:rPr>
                <w:b/>
              </w:rPr>
            </w:r>
            <w:r>
              <w:rPr>
                <w:b/>
                <w:i w:val="0"/>
              </w:rPr>
              <w:t xml:space="preserve">Por qué no está en </w:t>
            </w:r>
            <w:r>
              <w:rPr>
                <w:rFonts w:ascii="Menlo" w:hAnsi="Menlo"/>
                <w:b/>
                <w:i w:val="0"/>
                <w:sz w:val="17"/>
              </w:rPr>
              <w:t>outputs/*.json</w:t>
            </w:r>
          </w:p>
        </w:tc>
      </w:tr>
      <w:tr>
        <w:tc>
          <w:tcPr>
            <w:tcW w:type="dxa" w:w="4306"/>
          </w:tcPr>
          <w:p>
            <w:r/>
            <w:r>
              <w:rPr>
                <w:b w:val="0"/>
                <w:i w:val="0"/>
              </w:rPr>
              <w:t>15 líneas</w:t>
            </w:r>
          </w:p>
        </w:tc>
        <w:tc>
          <w:tcPr>
            <w:tcW w:type="dxa" w:w="1037"/>
          </w:tcPr>
          <w:p>
            <w:r/>
            <w:r>
              <w:rPr>
                <w:b w:val="0"/>
                <w:i w:val="0"/>
              </w:rPr>
              <w:t>§3.1</w:t>
            </w:r>
          </w:p>
        </w:tc>
        <w:tc>
          <w:tcPr>
            <w:tcW w:type="dxa" w:w="4306"/>
          </w:tcPr>
          <w:p>
            <w:r/>
            <w:r>
              <w:rPr>
                <w:b w:val="0"/>
                <w:i w:val="0"/>
              </w:rPr>
              <w:t xml:space="preserve">Restricción de diseño de las skills, fijada en </w:t>
            </w:r>
            <w:r>
              <w:rPr>
                <w:rFonts w:ascii="Menlo" w:hAnsi="Menlo"/>
                <w:b w:val="0"/>
                <w:i w:val="0"/>
                <w:sz w:val="17"/>
              </w:rPr>
              <w:t>CLAUDE.md</w:t>
            </w:r>
            <w:r>
              <w:rPr>
                <w:b w:val="0"/>
                <w:i w:val="0"/>
              </w:rPr>
              <w:t>. Es una regla del proyecto, no una magnitud medida: ningún script la produce.</w:t>
            </w:r>
          </w:p>
        </w:tc>
      </w:tr>
      <w:tr>
        <w:tc>
          <w:tcPr>
            <w:tcW w:type="dxa" w:w="4306"/>
          </w:tcPr>
          <w:p>
            <w:r/>
            <w:r>
              <w:rPr>
                <w:b w:val="0"/>
                <w:i w:val="0"/>
              </w:rPr>
              <w:t>200 casos</w:t>
            </w:r>
          </w:p>
        </w:tc>
        <w:tc>
          <w:tcPr>
            <w:tcW w:type="dxa" w:w="1037"/>
          </w:tcPr>
          <w:p>
            <w:r/>
            <w:r>
              <w:rPr>
                <w:b w:val="0"/>
                <w:i w:val="0"/>
              </w:rPr>
              <w:t>§3.4</w:t>
            </w:r>
          </w:p>
        </w:tc>
        <w:tc>
          <w:tcPr>
            <w:tcW w:type="dxa" w:w="4306"/>
          </w:tcPr>
          <w:p>
            <w:r/>
            <w:r>
              <w:rPr>
                <w:b w:val="0"/>
                <w:i w:val="0"/>
              </w:rPr>
              <w:t xml:space="preserve">Tamaño de la comprobación de la métrica contra el script del organizador </w:t>
            </w:r>
            <w:r>
              <w:rPr>
                <w:rFonts w:ascii="Menlo" w:hAnsi="Menlo"/>
                <w:b w:val="0"/>
                <w:i w:val="0"/>
                <w:sz w:val="17"/>
              </w:rPr>
              <w:t>[E3]</w:t>
            </w:r>
            <w:r>
              <w:rPr>
                <w:b w:val="0"/>
                <w:i w:val="0"/>
              </w:rPr>
              <w:t>. Es un detalle del procedimiento de verificación, no un resultado del modelado.</w:t>
            </w:r>
          </w:p>
        </w:tc>
      </w:tr>
      <w:tr>
        <w:tc>
          <w:tcPr>
            <w:tcW w:type="dxa" w:w="4306"/>
          </w:tcPr>
          <w:p>
            <w:r/>
            <w:r>
              <w:rPr>
                <w:b w:val="0"/>
                <w:i w:val="0"/>
              </w:rPr>
              <w:t>80/20</w:t>
            </w:r>
          </w:p>
        </w:tc>
        <w:tc>
          <w:tcPr>
            <w:tcW w:type="dxa" w:w="1037"/>
          </w:tcPr>
          <w:p>
            <w:r/>
            <w:r>
              <w:rPr>
                <w:b w:val="0"/>
                <w:i w:val="0"/>
              </w:rPr>
              <w:t>§5.3</w:t>
            </w:r>
          </w:p>
        </w:tc>
        <w:tc>
          <w:tcPr>
            <w:tcW w:type="dxa" w:w="4306"/>
          </w:tcPr>
          <w:p>
            <w:r/>
            <w:r>
              <w:rPr>
                <w:b w:val="0"/>
                <w:i w:val="0"/>
              </w:rPr>
              <w:t xml:space="preserve">Proporción de la partición aleatoria que el instrumento corre </w:t>
            </w:r>
            <w:r>
              <w:rPr>
                <w:b/>
                <w:i w:val="0"/>
              </w:rPr>
              <w:t>para mostrar que no debe usarse</w:t>
            </w:r>
            <w:r>
              <w:rPr>
                <w:b w:val="0"/>
                <w:i w:val="0"/>
              </w:rPr>
              <w:t>. Es la convención de tutorial que la sección critica, no un parámetro del diseño adoptado.</w:t>
            </w:r>
          </w:p>
        </w:tc>
      </w:tr>
      <w:tr>
        <w:tc>
          <w:tcPr>
            <w:tcW w:type="dxa" w:w="4306"/>
          </w:tcPr>
          <w:p>
            <w:r/>
            <w:r>
              <w:rPr>
                <w:b w:val="0"/>
                <w:i w:val="0"/>
              </w:rPr>
              <w:t>57.000 lesiones</w:t>
            </w:r>
          </w:p>
        </w:tc>
        <w:tc>
          <w:tcPr>
            <w:tcW w:type="dxa" w:w="1037"/>
          </w:tcPr>
          <w:p>
            <w:r/>
            <w:r>
              <w:rPr>
                <w:b w:val="0"/>
                <w:i w:val="0"/>
              </w:rPr>
              <w:t>§6.3</w:t>
            </w:r>
          </w:p>
        </w:tc>
        <w:tc>
          <w:tcPr>
            <w:tcW w:type="dxa" w:w="4306"/>
          </w:tcPr>
          <w:p>
            <w:r/>
            <w:r>
              <w:rPr>
                <w:b w:val="0"/>
                <w:i w:val="0"/>
              </w:rPr>
              <w:t xml:space="preserve">Cifra externa, del artículo que describe la metadata </w:t>
            </w:r>
            <w:r>
              <w:rPr>
                <w:rFonts w:ascii="Menlo" w:hAnsi="Menlo"/>
                <w:b w:val="0"/>
                <w:i w:val="0"/>
                <w:sz w:val="17"/>
              </w:rPr>
              <w:t>[E5]</w:t>
            </w:r>
            <w:r>
              <w:rPr>
                <w:b w:val="0"/>
                <w:i w:val="0"/>
              </w:rPr>
              <w:t>, citada dentro de un supuesto declarado. No procede de este proyecto.</w:t>
            </w:r>
          </w:p>
        </w:tc>
      </w:tr>
      <w:tr>
        <w:tc>
          <w:tcPr>
            <w:tcW w:type="dxa" w:w="4306"/>
          </w:tcPr>
          <w:p>
            <w:r/>
            <w:r>
              <w:rPr>
                <w:b w:val="0"/>
                <w:i w:val="0"/>
              </w:rPr>
              <w:t>0,44</w:t>
            </w:r>
          </w:p>
        </w:tc>
        <w:tc>
          <w:tcPr>
            <w:tcW w:type="dxa" w:w="1037"/>
          </w:tcPr>
          <w:p>
            <w:r/>
            <w:r>
              <w:rPr>
                <w:b w:val="0"/>
                <w:i w:val="0"/>
              </w:rPr>
              <w:t>§7.1</w:t>
            </w:r>
          </w:p>
        </w:tc>
        <w:tc>
          <w:tcPr>
            <w:tcW w:type="dxa" w:w="4306"/>
          </w:tcPr>
          <w:p>
            <w:r/>
            <w:r>
              <w:rPr>
                <w:b w:val="0"/>
                <w:i w:val="0"/>
              </w:rPr>
              <w:t xml:space="preserve">Derivación ilustrativa: es dónde caería en la escala un pAUC hipotético de 0,10, calculada desde </w:t>
            </w:r>
            <w:r>
              <w:rPr>
                <w:rFonts w:ascii="Menlo" w:hAnsi="Menlo"/>
                <w:b w:val="0"/>
                <w:i w:val="0"/>
                <w:sz w:val="17"/>
              </w:rPr>
              <w:t>[T33]</w:t>
            </w:r>
            <w:r>
              <w:rPr>
                <w:b w:val="0"/>
                <w:i w:val="0"/>
              </w:rPr>
              <w:t xml:space="preserve"> y </w:t>
            </w:r>
            <w:r>
              <w:rPr>
                <w:rFonts w:ascii="Menlo" w:hAnsi="Menlo"/>
                <w:b w:val="0"/>
                <w:i w:val="0"/>
                <w:sz w:val="17"/>
              </w:rPr>
              <w:t>[T34]</w:t>
            </w:r>
            <w:r>
              <w:rPr>
                <w:b w:val="0"/>
                <w:i w:val="0"/>
              </w:rPr>
              <w:t>. Ningún modelo del proyecto obtuvo ese valor.</w:t>
            </w:r>
          </w:p>
        </w:tc>
      </w:tr>
      <w:tr>
        <w:tc>
          <w:tcPr>
            <w:tcW w:type="dxa" w:w="4306"/>
          </w:tcPr>
          <w:p>
            <w:r/>
            <w:r>
              <w:rPr>
                <w:b w:val="0"/>
                <w:i w:val="0"/>
              </w:rPr>
              <w:t>11 columnas</w:t>
            </w:r>
          </w:p>
        </w:tc>
        <w:tc>
          <w:tcPr>
            <w:tcW w:type="dxa" w:w="1037"/>
          </w:tcPr>
          <w:p>
            <w:r/>
            <w:r>
              <w:rPr>
                <w:b w:val="0"/>
                <w:i w:val="0"/>
              </w:rPr>
              <w:t>§10.1</w:t>
            </w:r>
          </w:p>
        </w:tc>
        <w:tc>
          <w:tcPr>
            <w:tcW w:type="dxa" w:w="4306"/>
          </w:tcPr>
          <w:p>
            <w:r/>
            <w:r>
              <w:rPr>
                <w:b w:val="0"/>
                <w:i w:val="0"/>
              </w:rPr>
              <w:t xml:space="preserve">Es la </w:t>
            </w:r>
            <w:r>
              <w:rPr>
                <w:b/>
                <w:i w:val="0"/>
              </w:rPr>
              <w:t>longitud</w:t>
            </w:r>
            <w:r>
              <w:rPr>
                <w:b w:val="0"/>
                <w:i w:val="0"/>
              </w:rPr>
              <w:t xml:space="preserve"> de la lista </w:t>
            </w:r>
            <w:r>
              <w:rPr>
                <w:rFonts w:ascii="Menlo" w:hAnsi="Menlo"/>
                <w:b w:val="0"/>
                <w:i w:val="0"/>
                <w:sz w:val="17"/>
              </w:rPr>
              <w:t>columnas_solo_en_train</w:t>
            </w:r>
            <w:r>
              <w:rPr>
                <w:b w:val="0"/>
                <w:i w:val="0"/>
              </w:rPr>
              <w:t>, no un número almacenado. El verificador lee valores, no cuenta elementos. Limitación del instrumento, no cifra sin origen.</w:t>
            </w:r>
          </w:p>
        </w:tc>
      </w:tr>
      <w:tr>
        <w:tc>
          <w:tcPr>
            <w:tcW w:type="dxa" w:w="4306"/>
          </w:tcPr>
          <w:p>
            <w:r/>
            <w:r>
              <w:rPr>
                <w:b w:val="0"/>
                <w:i w:val="0"/>
              </w:rPr>
              <w:t xml:space="preserve">Diferencias por fold, su media (0,0120), su desviación (0,0160) y el intervalo </w:t>
            </w:r>
            <w:r>
              <w:rPr>
                <w:b w:val="0"/>
                <w:i/>
              </w:rPr>
              <w:t>t</w:t>
            </w:r>
            <w:r>
              <w:rPr>
                <w:b w:val="0"/>
                <w:i w:val="0"/>
              </w:rPr>
              <w:t xml:space="preserve"> (−0,008 a +0,032)</w:t>
            </w:r>
          </w:p>
        </w:tc>
        <w:tc>
          <w:tcPr>
            <w:tcW w:type="dxa" w:w="1037"/>
          </w:tcPr>
          <w:p>
            <w:r/>
            <w:r>
              <w:rPr>
                <w:b w:val="0"/>
                <w:i w:val="0"/>
              </w:rPr>
              <w:t>§7.4</w:t>
            </w:r>
          </w:p>
        </w:tc>
        <w:tc>
          <w:tcPr>
            <w:tcW w:type="dxa" w:w="4306"/>
          </w:tcPr>
          <w:p>
            <w:r/>
            <w:r>
              <w:rPr>
                <w:b w:val="0"/>
                <w:i w:val="0"/>
              </w:rPr>
              <w:t xml:space="preserve">Estadísticos derivados, calculados en este informe a partir de los pAUC por fold </w:t>
            </w:r>
            <w:r>
              <w:rPr>
                <w:rFonts w:ascii="Menlo" w:hAnsi="Menlo"/>
                <w:b w:val="0"/>
                <w:i w:val="0"/>
                <w:sz w:val="17"/>
              </w:rPr>
              <w:t>[T48]</w:t>
            </w:r>
            <w:r>
              <w:rPr>
                <w:b w:val="0"/>
                <w:i w:val="0"/>
              </w:rPr>
              <w:t xml:space="preserve"> y </w:t>
            </w:r>
            <w:r>
              <w:rPr>
                <w:rFonts w:ascii="Menlo" w:hAnsi="Menlo"/>
                <w:b w:val="0"/>
                <w:i w:val="0"/>
                <w:sz w:val="17"/>
              </w:rPr>
              <w:t>[T49]</w:t>
            </w:r>
            <w:r>
              <w:rPr>
                <w:b w:val="0"/>
                <w:i w:val="0"/>
              </w:rPr>
              <w:t xml:space="preserve">, que sí están en </w:t>
            </w:r>
            <w:r>
              <w:rPr>
                <w:rFonts w:ascii="Menlo" w:hAnsi="Menlo"/>
                <w:b w:val="0"/>
                <w:i w:val="0"/>
                <w:sz w:val="17"/>
              </w:rPr>
              <w:t>outputs/</w:t>
            </w:r>
            <w:r>
              <w:rPr>
                <w:b w:val="0"/>
                <w:i w:val="0"/>
              </w:rPr>
              <w:t>. Provienen de restar dos columnas que están allí; el cálculo es reproducible con los dos vectores del anexo y no requiere volver a entrenar nada.</w:t>
            </w:r>
          </w:p>
        </w:tc>
      </w:tr>
    </w:tbl>
    <w:p/>
    <w:p>
      <w:pPr>
        <w:jc w:val="both"/>
      </w:pPr>
      <w:r>
        <w:rPr>
          <w:b w:val="0"/>
          <w:i w:val="0"/>
        </w:rPr>
        <w:t xml:space="preserve">Queda un residuo que conviene nombrar en vez de disimular: </w:t>
      </w:r>
      <w:r>
        <w:rPr>
          <w:b/>
          <w:i w:val="0"/>
        </w:rPr>
        <w:t>esta misma sección duplica todos sus señalamientos</w:t>
      </w:r>
      <w:r>
        <w:rPr>
          <w:b w:val="0"/>
          <w:i w:val="0"/>
        </w:rPr>
        <w:t>. Para justificar una cifra hay que volver a escribirla, así que cada fila de la tabla de arriba reaparece marcada, igual que las citas de los dos defectos ya corregidos. El verificador cuenta ocurrencias, no cifras distintas, y no distingue una afirmación de su propia auditoría. Es el precio de documentar la revisión dentro del documento revisado, y se prefiere a la alternativa de no dejar constancia.</w:t>
      </w:r>
    </w:p>
    <w:p>
      <w:pPr>
        <w:jc w:val="both"/>
      </w:pPr>
      <w:r>
        <w:rPr>
          <w:b w:val="0"/>
          <w:i w:val="0"/>
        </w:rPr>
        <w:t>Ningún número del informe queda, tras esta revisión, sin origen identificado.</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