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708"/>
        <w:gridCol w:w="7170"/>
      </w:tblGrid>
      <w:tr w:rsidR="00C97AEA" w14:paraId="3416B159" w14:textId="77777777" w:rsidTr="00935472">
        <w:trPr>
          <w:trHeight w:val="416"/>
        </w:trPr>
        <w:tc>
          <w:tcPr>
            <w:tcW w:w="1472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9CC2E5" w:themeFill="accent1" w:themeFillTint="99"/>
          </w:tcPr>
          <w:p w14:paraId="177CF5F6" w14:textId="31FDC087" w:rsidR="00C97AEA" w:rsidRDefault="00C97AEA">
            <w:r w:rsidRPr="00C97AEA">
              <w:t>CU_</w:t>
            </w:r>
            <w:r w:rsidR="000B781C">
              <w:t>DCJ</w:t>
            </w:r>
            <w:r w:rsidRPr="00C97AEA">
              <w:t>_001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9CC2E5" w:themeFill="accent1" w:themeFillTint="99"/>
          </w:tcPr>
          <w:p w14:paraId="552CD5E6" w14:textId="77CC7345" w:rsidR="00C97AEA" w:rsidRDefault="00622C4D">
            <w:r>
              <w:t>R</w:t>
            </w:r>
            <w:r w:rsidRPr="00622C4D">
              <w:t>ealizar depósitos en efectivo en cuentas judiciales</w:t>
            </w:r>
            <w:r>
              <w:t xml:space="preserve"> mediante TAS</w:t>
            </w:r>
            <w:r w:rsidR="00935472">
              <w:t xml:space="preserve"> (Terminal Auto Servicio)</w:t>
            </w:r>
          </w:p>
        </w:tc>
      </w:tr>
      <w:tr w:rsidR="00AC20E8" w14:paraId="4852D7AD" w14:textId="77777777" w:rsidTr="0093547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B69D5C6" w14:textId="3AE7922D" w:rsidR="00AC20E8" w:rsidRPr="00364A70" w:rsidRDefault="005A2678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8" w:space="0" w:color="4472C4" w:themeColor="accent5"/>
              <w:right w:val="single" w:sz="4" w:space="0" w:color="4472C4" w:themeColor="accent5"/>
            </w:tcBorders>
          </w:tcPr>
          <w:p w14:paraId="763AC98B" w14:textId="76237402" w:rsidR="00AC20E8" w:rsidRDefault="005A2678" w:rsidP="006A1CB9">
            <w:r>
              <w:t>001</w:t>
            </w:r>
          </w:p>
        </w:tc>
      </w:tr>
      <w:tr w:rsidR="006A1CB9" w14:paraId="62F6CEFD" w14:textId="77777777" w:rsidTr="0093547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59E602C" w14:textId="6EFB80F5" w:rsidR="006A1CB9" w:rsidRPr="00364A70" w:rsidRDefault="006A1CB9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Precondición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8" w:space="0" w:color="4472C4" w:themeColor="accent5"/>
              <w:right w:val="single" w:sz="4" w:space="0" w:color="4472C4" w:themeColor="accent5"/>
            </w:tcBorders>
          </w:tcPr>
          <w:p w14:paraId="2D103CBC" w14:textId="5958AC23" w:rsidR="006A1CB9" w:rsidRDefault="00935472" w:rsidP="006A1CB9">
            <w:r w:rsidRPr="00935472">
              <w:t xml:space="preserve">Cuenta Judicial </w:t>
            </w:r>
            <w:r w:rsidR="00C03D6D">
              <w:t>a</w:t>
            </w:r>
            <w:r w:rsidRPr="00935472">
              <w:t>ctiva</w:t>
            </w:r>
            <w:r>
              <w:t xml:space="preserve"> a la cual se va a realizar el depósito</w:t>
            </w:r>
            <w:r w:rsidRPr="00935472">
              <w:t xml:space="preserve"> - DNI </w:t>
            </w:r>
            <w:r>
              <w:t>del c</w:t>
            </w:r>
            <w:r w:rsidRPr="00935472">
              <w:t>liente</w:t>
            </w:r>
          </w:p>
        </w:tc>
      </w:tr>
      <w:tr w:rsidR="00364A70" w14:paraId="41DE9CC6" w14:textId="77777777" w:rsidTr="0093547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16F9FD2" w14:textId="784BE473" w:rsidR="00364A70" w:rsidRPr="00364A70" w:rsidRDefault="00364A70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Descripción</w:t>
            </w:r>
          </w:p>
        </w:tc>
        <w:tc>
          <w:tcPr>
            <w:tcW w:w="7878" w:type="dxa"/>
            <w:gridSpan w:val="2"/>
            <w:tcBorders>
              <w:top w:val="single" w:sz="8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57E85C4" w14:textId="64F543FC" w:rsidR="00364A70" w:rsidRPr="00C03D6D" w:rsidRDefault="00C03D6D" w:rsidP="00C03D6D">
            <w:pPr>
              <w:pStyle w:val="Textoindependiente"/>
              <w:jc w:val="both"/>
              <w:rPr>
                <w:rFonts w:ascii="Arial" w:hAnsi="Arial" w:cs="Arial"/>
                <w:bCs/>
                <w:color w:val="000080"/>
              </w:rPr>
            </w:pPr>
            <w:r w:rsidRPr="00C03D6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VE" w:eastAsia="en-US"/>
              </w:rPr>
              <w:t>Se desarrollará una nueva opción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VE" w:eastAsia="en-US"/>
              </w:rPr>
              <w:t xml:space="preserve"> de</w:t>
            </w:r>
            <w:r w:rsidRPr="00C03D6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VE" w:eastAsia="en-US"/>
              </w:rPr>
              <w:t xml:space="preserve"> “Depósitos” dentro del menú “Operar sin clave”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VE" w:eastAsia="en-US"/>
              </w:rPr>
              <w:t>, en la TAS (Terminal Auto Servicio),</w:t>
            </w:r>
            <w:r w:rsidRPr="00C03D6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VE" w:eastAsia="en-US"/>
              </w:rPr>
              <w:t xml:space="preserve"> donde se podrá realizar depósitos en efectivo en cuentas judiciales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VE" w:eastAsia="en-US"/>
              </w:rPr>
              <w:t>.</w:t>
            </w:r>
          </w:p>
        </w:tc>
      </w:tr>
      <w:tr w:rsidR="00CD5460" w14:paraId="387FC0EE" w14:textId="77777777" w:rsidTr="00935472">
        <w:tc>
          <w:tcPr>
            <w:tcW w:w="147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14313957" w14:textId="349D88BF" w:rsidR="00CD5460" w:rsidRPr="00364A70" w:rsidRDefault="00CD5460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F71772D" w14:textId="3F0BD635" w:rsidR="00CD5460" w:rsidRPr="00364A70" w:rsidRDefault="00CD5460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Paso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8" w:space="0" w:color="4472C4" w:themeColor="accent5"/>
            </w:tcBorders>
          </w:tcPr>
          <w:p w14:paraId="7EF5D881" w14:textId="57B0BB05" w:rsidR="00CD5460" w:rsidRPr="00364A70" w:rsidRDefault="00CD5460">
            <w:pPr>
              <w:rPr>
                <w:b/>
                <w:bCs/>
              </w:rPr>
            </w:pPr>
            <w:r w:rsidRPr="00364A70">
              <w:rPr>
                <w:b/>
                <w:bCs/>
              </w:rPr>
              <w:t>Acción</w:t>
            </w:r>
          </w:p>
        </w:tc>
      </w:tr>
      <w:tr w:rsidR="00CD5460" w14:paraId="40509701" w14:textId="77777777" w:rsidTr="0093547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8192BE0" w14:textId="77777777" w:rsidR="00CD5460" w:rsidRDefault="00CD5460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8B4F9CF" w14:textId="32039013" w:rsidR="00CD5460" w:rsidRDefault="00CD5460" w:rsidP="00364A70">
            <w:pPr>
              <w:jc w:val="center"/>
            </w:pPr>
            <w:r>
              <w:t>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1E02DF9" w14:textId="0A523C4C" w:rsidR="00CD5460" w:rsidRDefault="00CD5460">
            <w:r>
              <w:t xml:space="preserve">El </w:t>
            </w:r>
            <w:r w:rsidR="00751860">
              <w:t>usuario</w:t>
            </w:r>
            <w:r>
              <w:t xml:space="preserve"> t</w:t>
            </w:r>
            <w:r w:rsidRPr="008B5683">
              <w:t>oca la pantalla de la TAS</w:t>
            </w:r>
            <w:r>
              <w:t>.</w:t>
            </w:r>
          </w:p>
        </w:tc>
      </w:tr>
      <w:tr w:rsidR="00CD5460" w14:paraId="0C3EB5F1" w14:textId="77777777" w:rsidTr="0093547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EBDCA6A" w14:textId="77777777" w:rsidR="00CD5460" w:rsidRDefault="00CD5460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20B4889" w14:textId="36558DAD" w:rsidR="00CD5460" w:rsidRDefault="00CD5460" w:rsidP="00364A70">
            <w:pPr>
              <w:jc w:val="center"/>
            </w:pPr>
            <w:r>
              <w:t>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5EA6559" w14:textId="2CE1CF6A" w:rsidR="00CD5460" w:rsidRDefault="00CD5460">
            <w:r>
              <w:t>El sistema abre la pantalla de inicio.</w:t>
            </w:r>
          </w:p>
        </w:tc>
      </w:tr>
      <w:tr w:rsidR="00CD5460" w14:paraId="7B586BEA" w14:textId="77777777" w:rsidTr="0093547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CD6A845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20245D3" w14:textId="7A8C404B" w:rsidR="00CD5460" w:rsidRDefault="00CD5460" w:rsidP="00C332C9">
            <w:pPr>
              <w:jc w:val="center"/>
            </w:pPr>
            <w:r>
              <w:t>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C3D6BAC" w14:textId="5AD3EEF9" w:rsidR="00CD5460" w:rsidRDefault="00CD5460" w:rsidP="00C332C9">
            <w:r>
              <w:t xml:space="preserve">El </w:t>
            </w:r>
            <w:r w:rsidR="00751860">
              <w:t>usuario</w:t>
            </w:r>
            <w:r>
              <w:t xml:space="preserve"> p</w:t>
            </w:r>
            <w:r w:rsidRPr="008B5683">
              <w:t>ulsa el botón “Depósito” dentro del menú “Operar sin Clave”</w:t>
            </w:r>
            <w:r>
              <w:t>.</w:t>
            </w:r>
          </w:p>
        </w:tc>
      </w:tr>
      <w:tr w:rsidR="00CD5460" w14:paraId="043B2BC9" w14:textId="77777777" w:rsidTr="008B5683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0A30E653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100AA70" w14:textId="292DF895" w:rsidR="00CD5460" w:rsidRDefault="00CD5460" w:rsidP="00C332C9">
            <w:pPr>
              <w:jc w:val="center"/>
            </w:pPr>
            <w:r>
              <w:t>4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1974B93" w14:textId="54401AA2" w:rsidR="00CD5460" w:rsidRDefault="00CD5460" w:rsidP="00C332C9">
            <w:r>
              <w:t>El sistema muestra la pantalla con los botones correspondientes a los distintos tipos de depósitos.</w:t>
            </w:r>
          </w:p>
        </w:tc>
      </w:tr>
      <w:tr w:rsidR="00CD5460" w14:paraId="2D416D60" w14:textId="77777777" w:rsidTr="008B5683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F693B5A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316BE0B" w14:textId="1BB269A3" w:rsidR="00CD5460" w:rsidRDefault="00CD5460" w:rsidP="00C332C9">
            <w:pPr>
              <w:jc w:val="center"/>
            </w:pPr>
            <w:r>
              <w:t>5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A857760" w14:textId="31B85DBD" w:rsidR="00CD5460" w:rsidRDefault="00CD5460" w:rsidP="00C332C9">
            <w:pPr>
              <w:autoSpaceDE w:val="0"/>
              <w:autoSpaceDN w:val="0"/>
              <w:adjustRightInd w:val="0"/>
            </w:pPr>
            <w:r>
              <w:t>El usuario p</w:t>
            </w:r>
            <w:r w:rsidRPr="00C332C9">
              <w:t>ulsa el botón "Depósitos cuentas Judiciales".</w:t>
            </w:r>
          </w:p>
        </w:tc>
      </w:tr>
      <w:tr w:rsidR="00CD5460" w14:paraId="784D4107" w14:textId="77777777" w:rsidTr="008B5683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19D932E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5241C56" w14:textId="3A4A946A" w:rsidR="00CD5460" w:rsidRDefault="00CD5460" w:rsidP="00C332C9">
            <w:pPr>
              <w:jc w:val="center"/>
            </w:pPr>
            <w:r>
              <w:t>6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55FD3CC" w14:textId="640D34EE" w:rsidR="00CD5460" w:rsidRDefault="00CD5460" w:rsidP="00C332C9">
            <w:pPr>
              <w:ind w:left="34"/>
            </w:pPr>
            <w:r>
              <w:t>El sistema abre la pantalla “Tipo y Nro de Documento” donde muestra los botones “Cuenta” y CBU”.</w:t>
            </w:r>
          </w:p>
        </w:tc>
      </w:tr>
      <w:tr w:rsidR="00CD5460" w14:paraId="527D6E0E" w14:textId="77777777" w:rsidTr="006A6866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81B7701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0B1180F" w14:textId="5A2C7EFF" w:rsidR="00CD5460" w:rsidRDefault="00CD5460" w:rsidP="00C332C9">
            <w:pPr>
              <w:jc w:val="center"/>
            </w:pPr>
            <w:r>
              <w:t>7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4F4E837" w14:textId="46EFEDA9" w:rsidR="00CD5460" w:rsidRDefault="00CD5460" w:rsidP="00C332C9">
            <w:r>
              <w:t xml:space="preserve">El </w:t>
            </w:r>
            <w:r w:rsidR="00751860">
              <w:t>usuario</w:t>
            </w:r>
            <w:r>
              <w:t xml:space="preserve"> pulsa el botón “Cuenta” o “CBU”, según prefiera.</w:t>
            </w:r>
          </w:p>
        </w:tc>
      </w:tr>
      <w:tr w:rsidR="00CD5460" w14:paraId="17C0C801" w14:textId="77777777" w:rsidTr="00B674A0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75381ED9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5047321" w14:textId="106B5131" w:rsidR="00CD5460" w:rsidRDefault="00CD5460" w:rsidP="00C332C9">
            <w:pPr>
              <w:jc w:val="center"/>
            </w:pPr>
            <w:r>
              <w:t>8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6C17C0D" w14:textId="0F14A8E3" w:rsidR="00CD5460" w:rsidRDefault="00CD5460" w:rsidP="00C332C9">
            <w:r>
              <w:t xml:space="preserve">El sistema muestra </w:t>
            </w:r>
            <w:r w:rsidRPr="004E3EA0">
              <w:t>la pantalla "Cuenta Propia / Validación"</w:t>
            </w:r>
            <w:r>
              <w:t xml:space="preserve"> que muestra un</w:t>
            </w:r>
            <w:r w:rsidRPr="004E3EA0">
              <w:t xml:space="preserve"> campo que permite caracteres numéricos </w:t>
            </w:r>
            <w:r>
              <w:t xml:space="preserve">para </w:t>
            </w:r>
            <w:r w:rsidRPr="004E3EA0">
              <w:t>ingresar un número de cuenta Judicial</w:t>
            </w:r>
            <w:r>
              <w:t xml:space="preserve"> o CBU.</w:t>
            </w:r>
          </w:p>
        </w:tc>
      </w:tr>
      <w:tr w:rsidR="00CD5460" w14:paraId="3D0D1FB6" w14:textId="77777777" w:rsidTr="003C3F21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9C59A90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CC77C1A" w14:textId="0BB5193D" w:rsidR="00CD5460" w:rsidRDefault="00CD5460" w:rsidP="00C332C9">
            <w:pPr>
              <w:jc w:val="center"/>
            </w:pPr>
            <w:r>
              <w:t>9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BF0B99A" w14:textId="4A07BCF3" w:rsidR="00CD5460" w:rsidRDefault="00CD5460" w:rsidP="00C332C9">
            <w:r>
              <w:t xml:space="preserve">El </w:t>
            </w:r>
            <w:r w:rsidR="00751860">
              <w:t>usuario</w:t>
            </w:r>
            <w:r>
              <w:t xml:space="preserve"> ingresa el Nro de cuenta o de CBU en el campo y pulsa el botón “Aceptar”.</w:t>
            </w:r>
          </w:p>
        </w:tc>
      </w:tr>
      <w:tr w:rsidR="00CD5460" w14:paraId="6FB88990" w14:textId="77777777" w:rsidTr="003461A4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8A3E37B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25AD3C0" w14:textId="6C09761E" w:rsidR="00CD5460" w:rsidRDefault="00CD5460" w:rsidP="00C332C9">
            <w:pPr>
              <w:jc w:val="center"/>
            </w:pPr>
            <w:r>
              <w:t>10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17A6670" w14:textId="38B88D84" w:rsidR="00CD5460" w:rsidRDefault="00CD5460" w:rsidP="00C332C9">
            <w:r>
              <w:t xml:space="preserve">El sistema muestra </w:t>
            </w:r>
            <w:r w:rsidRPr="004E3EA0">
              <w:t>la pantalla "Cuenta Propia / Validación"</w:t>
            </w:r>
            <w:r>
              <w:t xml:space="preserve"> que muestra un</w:t>
            </w:r>
            <w:r w:rsidRPr="004E3EA0">
              <w:t xml:space="preserve"> campo que permite caracteres numéricos </w:t>
            </w:r>
            <w:r>
              <w:t xml:space="preserve">para </w:t>
            </w:r>
            <w:r w:rsidRPr="004E3EA0">
              <w:t xml:space="preserve">ingresar </w:t>
            </w:r>
            <w:r>
              <w:t>el DNI del cliente.</w:t>
            </w:r>
          </w:p>
        </w:tc>
      </w:tr>
      <w:tr w:rsidR="00CD5460" w14:paraId="075A19D2" w14:textId="77777777" w:rsidTr="00F4312B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5823FF8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0DCBAE0" w14:textId="1E9B604F" w:rsidR="00CD5460" w:rsidRDefault="00CD5460" w:rsidP="00C332C9">
            <w:pPr>
              <w:jc w:val="center"/>
            </w:pPr>
            <w:r>
              <w:t>11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EF9FC8A" w14:textId="69297B52" w:rsidR="00CD5460" w:rsidRDefault="00CD5460" w:rsidP="00C332C9">
            <w:r>
              <w:t xml:space="preserve">El </w:t>
            </w:r>
            <w:r w:rsidR="00751860">
              <w:t>usuario</w:t>
            </w:r>
            <w:r>
              <w:t xml:space="preserve"> ingresa su DNI en el campo y pulsa el botón “Aceptar”.</w:t>
            </w:r>
          </w:p>
        </w:tc>
      </w:tr>
      <w:tr w:rsidR="00CD5460" w14:paraId="3AD5BB0B" w14:textId="77777777" w:rsidTr="00202A71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269D3F1E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98B33B8" w14:textId="05345477" w:rsidR="00CD5460" w:rsidRDefault="00CD5460" w:rsidP="00C332C9">
            <w:pPr>
              <w:jc w:val="center"/>
            </w:pPr>
            <w:r>
              <w:t>12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C4C012B" w14:textId="20990025" w:rsidR="00CD5460" w:rsidRDefault="00CD5460" w:rsidP="00C332C9">
            <w:r>
              <w:t>El sistema muestra una pantalla con los datos ingresados por el cliente.</w:t>
            </w:r>
            <w:r w:rsidR="003F12E1">
              <w:t xml:space="preserve"> E</w:t>
            </w:r>
            <w:r w:rsidR="003F12E1" w:rsidRPr="003F12E1">
              <w:t xml:space="preserve">n caso que el </w:t>
            </w:r>
            <w:r w:rsidR="003F12E1">
              <w:t>DNI</w:t>
            </w:r>
            <w:r w:rsidR="003F12E1" w:rsidRPr="003F12E1">
              <w:t xml:space="preserve"> ingresado pertenezca a un cliente activo</w:t>
            </w:r>
            <w:r w:rsidR="003F12E1">
              <w:t>, se muestra</w:t>
            </w:r>
            <w:r w:rsidR="003F12E1" w:rsidRPr="003F12E1">
              <w:t xml:space="preserve"> el Nombre y Apellido, </w:t>
            </w:r>
            <w:r w:rsidR="003F12E1">
              <w:t xml:space="preserve">y </w:t>
            </w:r>
            <w:r w:rsidR="003F12E1" w:rsidRPr="003F12E1">
              <w:t>en caso que no exista</w:t>
            </w:r>
            <w:r w:rsidR="003F12E1">
              <w:t>, sólo se muestra el Nro de DNI.</w:t>
            </w:r>
          </w:p>
        </w:tc>
      </w:tr>
      <w:tr w:rsidR="00CD5460" w14:paraId="2710EC24" w14:textId="77777777" w:rsidTr="00C85BA5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52330965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AFC4342" w14:textId="625E03DB" w:rsidR="00CD5460" w:rsidRDefault="00CD5460" w:rsidP="00C332C9">
            <w:pPr>
              <w:jc w:val="center"/>
            </w:pPr>
            <w:r>
              <w:t>13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AACED1B" w14:textId="2AE3B696" w:rsidR="00CD5460" w:rsidRDefault="00CD5460" w:rsidP="00C332C9">
            <w:r>
              <w:t xml:space="preserve">El </w:t>
            </w:r>
            <w:r w:rsidR="00751860">
              <w:t>usuario</w:t>
            </w:r>
            <w:r>
              <w:t xml:space="preserve"> verifica los datos y pulsa el botón “Aceptar”.</w:t>
            </w:r>
          </w:p>
        </w:tc>
      </w:tr>
      <w:tr w:rsidR="00CD5460" w14:paraId="2E393215" w14:textId="77777777" w:rsidTr="009336A9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4F3FF7EB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416E037" w14:textId="23561224" w:rsidR="00CD5460" w:rsidRDefault="00CD5460" w:rsidP="00C332C9">
            <w:pPr>
              <w:jc w:val="center"/>
            </w:pPr>
            <w:r>
              <w:t>14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CA482C2" w14:textId="747D42BB" w:rsidR="00CD5460" w:rsidRDefault="00CD5460" w:rsidP="00C332C9">
            <w:r>
              <w:t xml:space="preserve">El sistema abre la pantalla “Depósitos/Ctas. Judiciales” que </w:t>
            </w:r>
            <w:r w:rsidRPr="00B83D69">
              <w:t>indica las características que deben tener los billetes a depositar</w:t>
            </w:r>
            <w:r>
              <w:t>.</w:t>
            </w:r>
          </w:p>
        </w:tc>
      </w:tr>
      <w:tr w:rsidR="00CD5460" w14:paraId="79C4287E" w14:textId="77777777" w:rsidTr="00180D8E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4AE2DF7F" w14:textId="77777777" w:rsidR="00CD5460" w:rsidRDefault="00CD5460" w:rsidP="00C332C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CA4DEAE" w14:textId="531039A9" w:rsidR="00CD5460" w:rsidRDefault="00CD5460" w:rsidP="00C332C9">
            <w:pPr>
              <w:jc w:val="center"/>
            </w:pPr>
            <w:r>
              <w:t>15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BFFA75B" w14:textId="44EEADD5" w:rsidR="00CD5460" w:rsidRDefault="00CD5460" w:rsidP="00C332C9">
            <w:r>
              <w:t xml:space="preserve">El </w:t>
            </w:r>
            <w:r w:rsidR="00751860">
              <w:t>usuario</w:t>
            </w:r>
            <w:r>
              <w:t xml:space="preserve"> pulsa el botón “Aceptar”.</w:t>
            </w:r>
          </w:p>
        </w:tc>
      </w:tr>
      <w:tr w:rsidR="00CD5460" w14:paraId="06DCDA27" w14:textId="77777777" w:rsidTr="00367F1F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75527330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719FDBB" w14:textId="5C4E5FA3" w:rsidR="00CD5460" w:rsidRDefault="00CD5460" w:rsidP="00B83D69">
            <w:pPr>
              <w:jc w:val="center"/>
            </w:pPr>
            <w:r>
              <w:t>16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B27F488" w14:textId="0C1F7C1C" w:rsidR="00CD5460" w:rsidRDefault="00CD5460" w:rsidP="00B83D69">
            <w:r>
              <w:t xml:space="preserve">El sistema abre la pantalla “Depósitos/Ctas. Propias Efectivo” que </w:t>
            </w:r>
            <w:r w:rsidRPr="00B83D69">
              <w:t xml:space="preserve">indica </w:t>
            </w:r>
            <w:r>
              <w:t xml:space="preserve">que se “Inserte el efectivo en el </w:t>
            </w:r>
            <w:r w:rsidR="007D50E5">
              <w:t>escáner</w:t>
            </w:r>
            <w:r>
              <w:t>”.</w:t>
            </w:r>
          </w:p>
        </w:tc>
      </w:tr>
      <w:tr w:rsidR="00CD5460" w14:paraId="451FB50A" w14:textId="77777777" w:rsidTr="00155996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1A9CE5A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A5E37C6" w14:textId="3B8C562F" w:rsidR="00CD5460" w:rsidRDefault="00CD5460" w:rsidP="00B83D69">
            <w:pPr>
              <w:jc w:val="center"/>
            </w:pPr>
            <w:r>
              <w:t>17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B8E820C" w14:textId="09258B77" w:rsidR="00CD5460" w:rsidRDefault="00CD5460" w:rsidP="00B83D69">
            <w:r>
              <w:t xml:space="preserve">El </w:t>
            </w:r>
            <w:r w:rsidR="00751860">
              <w:t>usuario</w:t>
            </w:r>
            <w:r>
              <w:t xml:space="preserve"> coloca los billetes en el </w:t>
            </w:r>
            <w:r w:rsidR="007D50E5">
              <w:t>escáner</w:t>
            </w:r>
            <w:r>
              <w:t>.</w:t>
            </w:r>
          </w:p>
        </w:tc>
      </w:tr>
      <w:tr w:rsidR="00CD5460" w14:paraId="608D28A9" w14:textId="77777777" w:rsidTr="001110BA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6C7120B0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AFFFAE5" w14:textId="64EC61AF" w:rsidR="00CD5460" w:rsidRDefault="00CD5460" w:rsidP="00B83D69">
            <w:pPr>
              <w:jc w:val="center"/>
            </w:pPr>
            <w:r>
              <w:t>18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948FFE0" w14:textId="0D98BEA0" w:rsidR="00CD5460" w:rsidRDefault="00CD5460" w:rsidP="00B83D69">
            <w:r>
              <w:t>El sistema</w:t>
            </w:r>
            <w:r w:rsidRPr="004A4350">
              <w:t xml:space="preserve"> genera una pantalla indicando el importe total, el Nro de cuenta o CBU al que se realiza el depósito y detalla los billetes ingresados por denominación</w:t>
            </w:r>
            <w:r>
              <w:t>.</w:t>
            </w:r>
          </w:p>
        </w:tc>
      </w:tr>
      <w:tr w:rsidR="00CD5460" w14:paraId="731D75E9" w14:textId="77777777" w:rsidTr="009607FB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CFA967C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46BE4CB" w14:textId="27ABAA65" w:rsidR="00CD5460" w:rsidRDefault="00CD5460" w:rsidP="00B83D69">
            <w:pPr>
              <w:jc w:val="center"/>
            </w:pPr>
            <w:r>
              <w:t>19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A35201B" w14:textId="19E72CA7" w:rsidR="00CD5460" w:rsidRDefault="00CD5460" w:rsidP="00B83D69">
            <w:r>
              <w:t xml:space="preserve">El </w:t>
            </w:r>
            <w:r w:rsidR="00751860">
              <w:t>usuario</w:t>
            </w:r>
            <w:r>
              <w:t xml:space="preserve"> pulsa el botón “Aceptar”.</w:t>
            </w:r>
          </w:p>
        </w:tc>
      </w:tr>
      <w:tr w:rsidR="00CD5460" w14:paraId="240389BD" w14:textId="77777777" w:rsidTr="00F22B49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4C415E22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2C52D2D" w14:textId="593BA493" w:rsidR="00CD5460" w:rsidRDefault="00CD5460" w:rsidP="00B83D69">
            <w:pPr>
              <w:jc w:val="center"/>
            </w:pPr>
            <w:r>
              <w:t>20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162BD42" w14:textId="0BF28936" w:rsidR="00CD5460" w:rsidRDefault="00CD5460" w:rsidP="00B83D69">
            <w:r>
              <w:t>El sistema</w:t>
            </w:r>
            <w:r w:rsidRPr="00E47ED7">
              <w:t xml:space="preserve"> abre una pantalla indicando que se ha confirmado el depósito, y que se retire el ticket</w:t>
            </w:r>
            <w:r>
              <w:t>.</w:t>
            </w:r>
          </w:p>
        </w:tc>
      </w:tr>
      <w:tr w:rsidR="00CD5460" w14:paraId="45658E87" w14:textId="77777777" w:rsidTr="00E94078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36C7CC56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9F6CD52" w14:textId="1B7C55C1" w:rsidR="00CD5460" w:rsidRDefault="00CD5460" w:rsidP="00B83D69">
            <w:pPr>
              <w:jc w:val="center"/>
            </w:pPr>
            <w:r>
              <w:t>21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C2F809A" w14:textId="66B4113D" w:rsidR="00CD5460" w:rsidRDefault="00CD5460" w:rsidP="00B83D69">
            <w:r>
              <w:t xml:space="preserve">El </w:t>
            </w:r>
            <w:r w:rsidR="00751860">
              <w:t>usuario</w:t>
            </w:r>
            <w:r>
              <w:t xml:space="preserve"> p</w:t>
            </w:r>
            <w:r w:rsidRPr="001C73AB">
              <w:t>ulsa el botón "Aceptar" y retira el ticket</w:t>
            </w:r>
            <w:r>
              <w:t>.</w:t>
            </w:r>
          </w:p>
        </w:tc>
      </w:tr>
      <w:tr w:rsidR="00CD5460" w14:paraId="64D0E1CB" w14:textId="77777777" w:rsidTr="00F904B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44031E5D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6B0AE0D" w14:textId="2028B939" w:rsidR="00CD5460" w:rsidRDefault="00CD5460" w:rsidP="00B83D69">
            <w:pPr>
              <w:jc w:val="center"/>
            </w:pPr>
            <w:r>
              <w:t>22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3120184" w14:textId="7EA00552" w:rsidR="00CD5460" w:rsidRDefault="00CD5460" w:rsidP="00B83D69">
            <w:r>
              <w:t>El sistema muestra una pantalla preguntando si el cliente desea realizar otra operación.</w:t>
            </w:r>
          </w:p>
        </w:tc>
      </w:tr>
      <w:tr w:rsidR="00CD5460" w14:paraId="05A36810" w14:textId="77777777" w:rsidTr="008B5683">
        <w:tc>
          <w:tcPr>
            <w:tcW w:w="147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C731578" w14:textId="77777777" w:rsidR="00CD5460" w:rsidRDefault="00CD5460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60B7C94" w14:textId="73340539" w:rsidR="00CD5460" w:rsidRDefault="00CD5460" w:rsidP="00B83D69">
            <w:pPr>
              <w:jc w:val="center"/>
            </w:pPr>
            <w:r>
              <w:t>23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1B70765" w14:textId="7BA06EA8" w:rsidR="00CD5460" w:rsidRDefault="00CD5460" w:rsidP="00B83D69">
            <w:r>
              <w:t xml:space="preserve">El </w:t>
            </w:r>
            <w:r w:rsidR="00751860">
              <w:t>usuario</w:t>
            </w:r>
            <w:r>
              <w:t xml:space="preserve"> pulsa los botones “SI” o “NO”.</w:t>
            </w:r>
          </w:p>
        </w:tc>
      </w:tr>
      <w:tr w:rsidR="00B83D69" w14:paraId="47B9D498" w14:textId="77777777" w:rsidTr="00935472"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0AFCB77" w14:textId="42523E87" w:rsidR="00B83D69" w:rsidRDefault="00B83D69" w:rsidP="00B83D69">
            <w:r>
              <w:t>Postcondición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4F5E0B1" w14:textId="6CC677A8" w:rsidR="00B83D69" w:rsidRDefault="00CC3392" w:rsidP="00B83D69">
            <w:pPr>
              <w:ind w:left="34"/>
            </w:pPr>
            <w:r>
              <w:t>Ticket comprobante de la transacción</w:t>
            </w:r>
            <w:r w:rsidR="00413955">
              <w:t xml:space="preserve"> exitosa</w:t>
            </w:r>
            <w:r>
              <w:t>.</w:t>
            </w:r>
          </w:p>
        </w:tc>
      </w:tr>
      <w:tr w:rsidR="00B83D69" w14:paraId="61C50E54" w14:textId="77777777" w:rsidTr="00935472">
        <w:tc>
          <w:tcPr>
            <w:tcW w:w="147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p w14:paraId="734E53E5" w14:textId="52E58568" w:rsidR="00B83D69" w:rsidRDefault="00B83D69" w:rsidP="00B83D69">
            <w:r>
              <w:lastRenderedPageBreak/>
              <w:t>Excepciones</w:t>
            </w:r>
          </w:p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EF57FBD" w14:textId="77FFF92A" w:rsidR="00B83D69" w:rsidRDefault="00D31E79" w:rsidP="00B83D69">
            <w:pPr>
              <w:jc w:val="center"/>
            </w:pPr>
            <w:r>
              <w:t>9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B323FC4" w14:textId="043BE8E9" w:rsidR="00B83D69" w:rsidRDefault="00B83D69" w:rsidP="00B83D69">
            <w:r>
              <w:t xml:space="preserve">Si el cliente </w:t>
            </w:r>
            <w:r w:rsidR="00413955">
              <w:t>ingresa el Nro de cuenta o el CBU de manera errónea, se abre una pantalla indicando que se verifique los datos y vuelva a intentar</w:t>
            </w:r>
            <w:r>
              <w:t>.</w:t>
            </w:r>
          </w:p>
        </w:tc>
      </w:tr>
      <w:tr w:rsidR="00B83D69" w14:paraId="59CD0AE1" w14:textId="77777777" w:rsidTr="0093547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126EAC3B" w14:textId="77777777" w:rsidR="00B83D69" w:rsidRDefault="00B83D69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AD20B2F" w14:textId="1381B31B" w:rsidR="00B83D69" w:rsidRDefault="00D31E79" w:rsidP="00B83D69">
            <w:pPr>
              <w:jc w:val="center"/>
            </w:pPr>
            <w:r>
              <w:t>17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703D9F3" w14:textId="1F1623D9" w:rsidR="00B83D69" w:rsidRDefault="00B83D69" w:rsidP="007D50E5">
            <w:r>
              <w:t xml:space="preserve">Si el </w:t>
            </w:r>
            <w:r w:rsidR="007D50E5">
              <w:t>cliente no inserta billetes en el escáner, el sistema muestra una pantalla donde se indica que no se reconoció ningún billete, y consulta si quiere intentar nuevamente.</w:t>
            </w:r>
          </w:p>
        </w:tc>
      </w:tr>
      <w:tr w:rsidR="005E6B2C" w14:paraId="1A9A5C04" w14:textId="77777777" w:rsidTr="00935472">
        <w:tc>
          <w:tcPr>
            <w:tcW w:w="1472" w:type="dxa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14:paraId="093E7098" w14:textId="77777777" w:rsidR="005E6B2C" w:rsidRDefault="005E6B2C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B723616" w14:textId="6676A81A" w:rsidR="005E6B2C" w:rsidRDefault="005E6B2C" w:rsidP="00B83D69">
            <w:pPr>
              <w:jc w:val="center"/>
            </w:pPr>
            <w:r>
              <w:t>17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791ACAE" w14:textId="6F9DCEEA" w:rsidR="005E6B2C" w:rsidRDefault="005E6B2C" w:rsidP="007D50E5">
            <w:r>
              <w:t>En caso de no reconocer uno o más billetes, estos será devueltos en el paso siguiente.</w:t>
            </w:r>
          </w:p>
        </w:tc>
      </w:tr>
      <w:tr w:rsidR="00B83D69" w14:paraId="1827915F" w14:textId="77777777" w:rsidTr="00935472">
        <w:tc>
          <w:tcPr>
            <w:tcW w:w="147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D410A16" w14:textId="77777777" w:rsidR="00B83D69" w:rsidRDefault="00B83D69" w:rsidP="00B83D69"/>
        </w:tc>
        <w:tc>
          <w:tcPr>
            <w:tcW w:w="708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32C95A2" w14:textId="6BEFD6E5" w:rsidR="00B83D69" w:rsidRDefault="00D31E79" w:rsidP="00B83D69">
            <w:pPr>
              <w:jc w:val="center"/>
            </w:pPr>
            <w:r>
              <w:t>18</w:t>
            </w:r>
          </w:p>
        </w:tc>
        <w:tc>
          <w:tcPr>
            <w:tcW w:w="7170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0751EB3" w14:textId="09C4276D" w:rsidR="00B83D69" w:rsidRDefault="00B83D69" w:rsidP="00D31E79">
            <w:r>
              <w:t xml:space="preserve">Si el cliente </w:t>
            </w:r>
            <w:r w:rsidR="00D31E79">
              <w:t>no está de acuerdo con alguna información que muestra la pantalla, al pulsar el botón “Atrás” o “Salir”, el sistema abre una pantalla indicando que retire el efectivo del escáner en menos de 29 segundos, o sino el dinero será retenido por seguridad.</w:t>
            </w:r>
          </w:p>
        </w:tc>
      </w:tr>
      <w:tr w:rsidR="00B83D69" w14:paraId="198EA30C" w14:textId="77777777" w:rsidTr="00935472">
        <w:trPr>
          <w:trHeight w:val="455"/>
        </w:trPr>
        <w:tc>
          <w:tcPr>
            <w:tcW w:w="1472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8" w:space="0" w:color="4472C4" w:themeColor="accent5"/>
            </w:tcBorders>
          </w:tcPr>
          <w:p w14:paraId="5AE9B48F" w14:textId="41D99B8B" w:rsidR="00B83D69" w:rsidRDefault="00B83D69" w:rsidP="00B83D69">
            <w:r>
              <w:t>Comentarios</w:t>
            </w:r>
          </w:p>
        </w:tc>
        <w:tc>
          <w:tcPr>
            <w:tcW w:w="7878" w:type="dxa"/>
            <w:gridSpan w:val="2"/>
            <w:tcBorders>
              <w:top w:val="single" w:sz="4" w:space="0" w:color="4472C4" w:themeColor="accent5"/>
              <w:left w:val="single" w:sz="8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6BE9CB5" w14:textId="77777777" w:rsidR="00B83D69" w:rsidRDefault="00B83D69" w:rsidP="00B83D69"/>
        </w:tc>
      </w:tr>
    </w:tbl>
    <w:p w14:paraId="0CBFD988" w14:textId="5B3826E4" w:rsidR="00825FE8" w:rsidRDefault="00825FE8"/>
    <w:sectPr w:rsidR="0082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EA"/>
    <w:rsid w:val="000132A3"/>
    <w:rsid w:val="00096044"/>
    <w:rsid w:val="000960BE"/>
    <w:rsid w:val="000B781C"/>
    <w:rsid w:val="00120E92"/>
    <w:rsid w:val="00184E87"/>
    <w:rsid w:val="001C73AB"/>
    <w:rsid w:val="001C7557"/>
    <w:rsid w:val="00291D33"/>
    <w:rsid w:val="002C0E58"/>
    <w:rsid w:val="002F415A"/>
    <w:rsid w:val="00304C34"/>
    <w:rsid w:val="00320182"/>
    <w:rsid w:val="003253D3"/>
    <w:rsid w:val="00364A70"/>
    <w:rsid w:val="00373E07"/>
    <w:rsid w:val="00386672"/>
    <w:rsid w:val="003F12E1"/>
    <w:rsid w:val="00413955"/>
    <w:rsid w:val="00450C55"/>
    <w:rsid w:val="00466206"/>
    <w:rsid w:val="004A4350"/>
    <w:rsid w:val="004E3EA0"/>
    <w:rsid w:val="005532B9"/>
    <w:rsid w:val="005A2678"/>
    <w:rsid w:val="005E6B2C"/>
    <w:rsid w:val="00612B28"/>
    <w:rsid w:val="00622C4D"/>
    <w:rsid w:val="00683DF4"/>
    <w:rsid w:val="006A1CB9"/>
    <w:rsid w:val="00722446"/>
    <w:rsid w:val="00723D62"/>
    <w:rsid w:val="00730E31"/>
    <w:rsid w:val="00751860"/>
    <w:rsid w:val="00755AD5"/>
    <w:rsid w:val="00770E01"/>
    <w:rsid w:val="00784643"/>
    <w:rsid w:val="007C044F"/>
    <w:rsid w:val="007D50E5"/>
    <w:rsid w:val="007F77B3"/>
    <w:rsid w:val="00825FE8"/>
    <w:rsid w:val="008B5683"/>
    <w:rsid w:val="009118B8"/>
    <w:rsid w:val="00935472"/>
    <w:rsid w:val="00952C16"/>
    <w:rsid w:val="00984E44"/>
    <w:rsid w:val="00993701"/>
    <w:rsid w:val="00AC20E8"/>
    <w:rsid w:val="00AD601B"/>
    <w:rsid w:val="00B662A9"/>
    <w:rsid w:val="00B83D69"/>
    <w:rsid w:val="00B902E4"/>
    <w:rsid w:val="00BB336D"/>
    <w:rsid w:val="00C03D6D"/>
    <w:rsid w:val="00C3107B"/>
    <w:rsid w:val="00C332C9"/>
    <w:rsid w:val="00C97AEA"/>
    <w:rsid w:val="00CC3392"/>
    <w:rsid w:val="00CD5460"/>
    <w:rsid w:val="00D31E79"/>
    <w:rsid w:val="00D62238"/>
    <w:rsid w:val="00DB4AB5"/>
    <w:rsid w:val="00E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2017"/>
  <w15:chartTrackingRefBased/>
  <w15:docId w15:val="{ACF3325D-5A63-428A-B294-1FFEE38B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C03D6D"/>
    <w:pPr>
      <w:autoSpaceDE w:val="0"/>
      <w:autoSpaceDN w:val="0"/>
      <w:adjustRightInd w:val="0"/>
      <w:spacing w:after="0" w:line="240" w:lineRule="atLeast"/>
    </w:pPr>
    <w:rPr>
      <w:rFonts w:ascii="Helv" w:eastAsia="Times New Roman" w:hAnsi="Helv" w:cs="Helv"/>
      <w:color w:val="000000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03D6D"/>
    <w:rPr>
      <w:rFonts w:ascii="Helv" w:eastAsia="Times New Roman" w:hAnsi="Helv" w:cs="Helv"/>
      <w:color w:val="000000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57</cp:revision>
  <dcterms:created xsi:type="dcterms:W3CDTF">2020-05-19T21:56:00Z</dcterms:created>
  <dcterms:modified xsi:type="dcterms:W3CDTF">2020-05-31T00:18:00Z</dcterms:modified>
</cp:coreProperties>
</file>